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360"/>
        <w:jc w:val="center"/>
        <w:rPr>
          <w:rFonts w:ascii="Arial" w:hAnsi="Arial" w:cs="Arial"/>
          <w:b/>
          <w:b/>
          <w:highlight w:val="yellow"/>
          <w:lang w:val="cs-CZ"/>
        </w:rPr>
      </w:pPr>
      <w:r>
        <w:rPr>
          <w:rFonts w:cs="Arial" w:ascii="Arial" w:hAnsi="Arial"/>
          <w:b/>
          <w:sz w:val="28"/>
          <w:szCs w:val="28"/>
          <w:lang w:val="cs-CZ"/>
        </w:rPr>
        <w:t>Šablona – Plán řízení rizik tvorby strategie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Charakteristika a účel Plánu řízení rizik tvorby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Plán řízení rizik tvorby strategie (dále také Plán řízení rizik) je dokument obsahující postupy související s identifikací, hodnocením, zabezpečováním, monitorováním a průběžnou kontrolou rizik tvorby strategie.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Podoba Plánu řízení rizik se může lišit v závislosti na komplexnosti připravované strategie. V případě rozsáhlých strategií je nutné vypracovat dostatečně detailní Plán řízení rizik. Při přípravě menších strategií je pak možné obsah Plánu řízení rizik (respektive jednotlivých činností realizovaných v rámci řízení rizik tvorby strategie) zjednodušit (například role jednotlivých aktérů spojit v jedné osobě).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5754370" cy="16878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687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copy"/>
                              <w:spacing w:lineRule="atLeast" w:line="240" w:before="0" w:after="120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Řízení rizik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zde znamená strukturovaný přístup k identifikaci, vyhodnocování, ošetřování, monitorování a průběžné kontrole rizik, která mohou vzniknout v průběhu tvorby strategie a ovlivnit úspěšnost této tvorby.</w:t>
                            </w:r>
                          </w:p>
                          <w:p>
                            <w:pPr>
                              <w:pStyle w:val="Bodycopy"/>
                              <w:spacing w:lineRule="atLeast" w:line="240" w:before="0" w:after="120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Riziko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je nebezpečí vzniku události, která může negativně ovlivnit dosažení stanovených cílů (v tomto případě cílů tvorby strategie – viz výše). </w:t>
                            </w:r>
                          </w:p>
                          <w:p>
                            <w:pPr>
                              <w:pStyle w:val="Bodycopy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>Jedná se o budoucí tzv. rizikovou událost, která má náhodnou povahu (tj. může, ale nemusí nastat a mít negativní dopad) a není ani nemožná, ani jistá. Riziko spojujeme s negativními vlivy, nepříznivými dopady a ztrátami a chápeme jej jako synonymum nebezpečí, hrozby, úskalí a nejistoty. Protipólem rizika je příležitost, která je spojována s příznivými vlivy a dopady.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silver" stroked="f" style="position:absolute;margin-left:0pt;margin-top:-132.9pt;width:453pt;height:132.8pt;mso-position-vertical:top">
                <w10:wrap type="square"/>
                <v:fill o:detectmouseclick="t" type="solid" color2="#3f3f3f" opacity="0.69"/>
                <v:stroke color="#3465a4" joinstyle="round" endcap="flat"/>
                <v:textbox>
                  <w:txbxContent>
                    <w:p>
                      <w:pPr>
                        <w:pStyle w:val="Bodycopy"/>
                        <w:spacing w:lineRule="atLeast" w:line="240" w:before="0" w:after="120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>Řízení rizik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 zde znamená strukturovaný přístup k identifikaci, vyhodnocování, ošetřování, monitorování a průběžné kontrole rizik, která mohou vzniknout v průběhu tvorby strategie a ovlivnit úspěšnost této tvorby.</w:t>
                      </w:r>
                    </w:p>
                    <w:p>
                      <w:pPr>
                        <w:pStyle w:val="Bodycopy"/>
                        <w:spacing w:lineRule="atLeast" w:line="240" w:before="0" w:after="120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 xml:space="preserve">Riziko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je nebezpečí vzniku události, která může negativně ovlivnit dosažení stanovených cílů (v tomto případě cílů tvorby strategie – viz výše). </w:t>
                      </w:r>
                    </w:p>
                    <w:p>
                      <w:pPr>
                        <w:pStyle w:val="Bodycopy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>Jedná se o budoucí tzv. rizikovou událost, která má náhodnou povahu (tj. může, ale nemusí nastat a mít negativní dopad) a není ani nemožná, ani jistá. Riziko spojujeme s negativními vlivy, nepříznivými dopady a ztrátami a chápeme jej jako synonymum nebezpečí, hrozby, úskalí a nejistoty. Protipólem rizika je příležitost, která je spojována s příznivými vlivy a dopady.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Plán řízení rizik obsahuje především: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tvorbě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 identifikace a hodnocení významnosti rizik,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 tvorby opatření ke snížení významnosti rizik,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strukturu řízení rizik,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postupy monitorování a průběžné kontroly rizik.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Plán řízení rizik může být součástí Plánu tvorby strategie nebo může být koncipován jako samostatný dokument. Zároveň však platí, že Plán tvorby strategie, Plán spolupráce a komunikace a Plán řízení rizik tvorby strategie jsou vzájemně propojeny a tvoří dohromady jeden celek – „řídicí dokumentaci“ tvorby strategie.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Tato řídicí dokumentace tvorby strategie by měla vznikat souběžně, protože její jednotlivé části jsou vzájemně propojeny (například Plán řízení rizik je provázán s rozpočtem, harmonogramem i s organizační strukturou tvorby strategie).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Za tvorbu Plánu řízení rizik je odpovědný Koordinátor tvorby strategie, který na jeho zpracování spolupracuje především s Týmem pro tvorbu strategie (dále také Zpracovatelé).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</w:r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Vzorová struktura a popis jednotlivých částí Plánu řízení rizik tvorby strategie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Základní informace o tvorbě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popíší Zpracovatelé kontext tvorby strategie a základní informace – zejména název strategie, doba trvání tvorby strategie, účel Plánu tvorby strategie, Gestor a Koordinátor tvorby strategie.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Postup identifikace a hodnocení významnosti rizik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popíší Zpracovatelé postup identifikace potenciálních rizik, která mohou ovlivnit úspěšnou realizaci tvorby strategie. Budou zde uvedeny zdroje informací pro identifikaci rizik a popis postupů, jak je možné rizika identifikovat. Dále bude v této kapitole popsán postup hodnocení významnosti rizik.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Součástí této kapitoly bude vedle popisu postupu identifikace a hodnocení rizik také uvedení aktérů zodpovědných za realizaci těchto aktivit.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5754370" cy="3025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302508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 xml:space="preserve">Příklad možných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>zdrojů informací pro identifikaci rizik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 xml:space="preserve"> tvorby strategie: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hlavní rizika tvorby strategie identifikovaná ve Vstupní zprávě,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informace o rizikových událostech obdobných realizovaných projektů,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výsledky průzkumů,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zkušenosti odborníků a zástupců zainteresovaných stran,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plány tvorby strategie,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veřejné zdroje a internet.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 xml:space="preserve">Možné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>způsoby identifikace rizik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 xml:space="preserve">individuální anebo skupinové řízené rozhovory, 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konzultace anebo brainstorming  se zainteresovanými osobami (respektive odborníky),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organizace workshopu věnovaného rizikům,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vyhodnocení postupu tvorby obdobných strategií,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revize známých, obecně se vyskytujících rizik atd.</w:t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d8d8d8" stroked="f" style="position:absolute;margin-left:0pt;margin-top:-238.25pt;width:453pt;height:238.15pt;mso-position-vertical:top">
                <w10:wrap type="square"/>
                <v:fill o:detectmouseclick="t" type="solid" color2="#272727" opacity="0.69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cs-CZ"/>
                        </w:rPr>
                        <w:t xml:space="preserve">Příklad možných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  <w:lang w:val="cs-CZ"/>
                        </w:rPr>
                        <w:t>zdrojů informací pro identifikaci rizik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cs-CZ"/>
                        </w:rPr>
                        <w:t xml:space="preserve"> tvorby strategie: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hlavní rizika tvorby strategie identifikovaná ve Vstupní zprávě,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informace o rizikových událostech obdobných realizovaných projektů,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výsledky průzkumů,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zkušenosti odborníků a zástupců zainteresovaných stran,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 xml:space="preserve"> </w:t>
                      </w: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plány tvorby strategie,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veřejné zdroje a internet.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cs-CZ"/>
                        </w:rPr>
                        <w:t xml:space="preserve">Možné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  <w:lang w:val="cs-CZ"/>
                        </w:rPr>
                        <w:t>způsoby identifikace rizik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 xml:space="preserve">individuální anebo skupinové řízené rozhovory, 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konzultace anebo brainstorming  se zainteresovanými osobami (respektive odborníky),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organizace workshopu věnovaného rizikům,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vyhodnocení postupu tvorby obdobných strategií,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revize známých, obecně se vyskytujících rizik atd.</w:t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5754370" cy="21913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2190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ulletcopy2"/>
                              <w:tabs>
                                <w:tab w:val="left" w:pos="362" w:leader="none"/>
                                <w:tab w:val="left" w:pos="567" w:leader="none"/>
                              </w:tabs>
                              <w:spacing w:lineRule="atLeast" w:line="240" w:before="120" w:after="0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Cs w:val="20"/>
                                <w:lang w:val="cs-CZ"/>
                              </w:rPr>
                              <w:t>Hodnocení významnosti rizik</w:t>
                            </w: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 xml:space="preserve"> je založeno na hodnocení očekávané pravděpodobnosti výskytu jednotlivých rizik a jejich dopadu (materiálního i nemateriálního) na dosažení cílů  tvorby strategie. Z důvodů jednoduchosti a univerzálnosti lze doporučit skupinovou metodu kvalitativního hodnocení.</w:t>
                            </w:r>
                          </w:p>
                          <w:p>
                            <w:pPr>
                              <w:pStyle w:val="Bulletcopy2"/>
                              <w:tabs>
                                <w:tab w:val="left" w:pos="362" w:leader="none"/>
                                <w:tab w:val="left" w:pos="567" w:leader="none"/>
                              </w:tabs>
                              <w:spacing w:lineRule="atLeast" w:line="240" w:before="120" w:after="0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významnost jednotlivých rizik – to platí zejména při přípravě komplexních strategií).</w:t>
                            </w:r>
                          </w:p>
                          <w:p>
                            <w:pPr>
                              <w:pStyle w:val="Bulletcopy2"/>
                              <w:tabs>
                                <w:tab w:val="left" w:pos="362" w:leader="none"/>
                                <w:tab w:val="left" w:pos="567" w:leader="none"/>
                              </w:tabs>
                              <w:spacing w:lineRule="atLeast" w:line="240" w:before="12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Pravděpodobnost i dopad by měly být hodnoceny anonymně v pětibodových kvalitativních škálách, kdy hodnota 1 představuje velmi malý dopad (resp. velmi malou pravděpodobnost) a hodnota 5 velmi velký dopad (resp. velmi vysokou pravděpodobnost). Významnost rizika pak bude součinem pravděpodobnosti a dopadu. Hodnota významnosti se bude pohybovat mezi 1 a 25.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d8d8d8" stroked="f" style="position:absolute;margin-left:0pt;margin-top:-172.55pt;width:453pt;height:172.45pt;mso-position-vertical:top">
                <w10:wrap type="square"/>
                <v:fill o:detectmouseclick="t" type="solid" color2="#272727" opacity="0.69"/>
                <v:stroke color="#3465a4" joinstyle="round" endcap="flat"/>
                <v:textbox>
                  <w:txbxContent>
                    <w:p>
                      <w:pPr>
                        <w:pStyle w:val="Bulletcopy2"/>
                        <w:tabs>
                          <w:tab w:val="left" w:pos="362" w:leader="none"/>
                          <w:tab w:val="left" w:pos="567" w:leader="none"/>
                        </w:tabs>
                        <w:spacing w:lineRule="atLeast" w:line="240" w:before="120" w:after="0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Cs w:val="20"/>
                          <w:lang w:val="cs-CZ"/>
                        </w:rPr>
                        <w:t>Hodnocení významnosti rizik</w:t>
                      </w: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 xml:space="preserve"> je založeno na hodnocení očekávané pravděpodobnosti výskytu jednotlivých rizik a jejich dopadu (materiálního i nemateriálního) na dosažení cílů  tvorby strategie. Z důvodů jednoduchosti a univerzálnosti lze doporučit skupinovou metodu kvalitativního hodnocení.</w:t>
                      </w:r>
                    </w:p>
                    <w:p>
                      <w:pPr>
                        <w:pStyle w:val="Bulletcopy2"/>
                        <w:tabs>
                          <w:tab w:val="left" w:pos="362" w:leader="none"/>
                          <w:tab w:val="left" w:pos="567" w:leader="none"/>
                        </w:tabs>
                        <w:spacing w:lineRule="atLeast" w:line="240" w:before="120" w:after="0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významnost jednotlivých rizik – to platí zejména při přípravě komplexních strategií).</w:t>
                      </w:r>
                    </w:p>
                    <w:p>
                      <w:pPr>
                        <w:pStyle w:val="Bulletcopy2"/>
                        <w:tabs>
                          <w:tab w:val="left" w:pos="362" w:leader="none"/>
                          <w:tab w:val="left" w:pos="567" w:leader="none"/>
                        </w:tabs>
                        <w:spacing w:lineRule="atLeast" w:line="240" w:before="12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Pravděpodobnost i dopad by měly být hodnoceny anonymně v pětibodových kvalitativních škálách, kdy hodnota 1 představuje velmi malý dopad (resp. velmi malou pravděpodobnost) a hodnota 5 velmi velký dopad (resp. velmi vysokou pravděpodobnost). Významnost rizika pak bude součinem pravděpodobnosti a dopadu. Hodnota významnosti se bude pohybovat mezi 1 a 25.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5754370" cy="53721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5364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lineRule="atLeast" w:line="240" w:before="120" w:after="0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Všechna identifikovaná rizika budou uvedena v tzv. registru rizik (vzorový registr rizik uvádíme v samostatné šabloně), včetně výsledku hodnocení významnosti jednotlivých rizik.</w:t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d8d8d8" stroked="f" style="position:absolute;margin-left:0pt;margin-top:-42.3pt;width:453pt;height:42.2pt;mso-position-vertical:top">
                <w10:wrap type="square"/>
                <v:fill o:detectmouseclick="t" type="solid" color2="#272727" opacity="0.69"/>
                <v:stroke color="#3465a4" joinstyle="round" endcap="flat"/>
                <v:textbox>
                  <w:txbxContent>
                    <w:p>
                      <w:pPr>
                        <w:pStyle w:val="Bulletcopy2"/>
                        <w:tabs>
                          <w:tab w:val="clear" w:pos="362"/>
                        </w:tabs>
                        <w:spacing w:lineRule="atLeast" w:line="240" w:before="120" w:after="0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Všechna identifikovaná rizika budou uvedena v tzv. registru rizik (vzorový registr rizik uvádíme v samostatné šabloně), včetně výsledku hodnocení významnosti jednotlivých rizik.</w:t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Postup tvorby opatření ke snížení významnosti rizik</w:t>
      </w:r>
    </w:p>
    <w:p>
      <w:pPr>
        <w:pStyle w:val="Bulletcopy2"/>
        <w:keepNext w:val="true"/>
        <w:keepLines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bude popsán postup tvorby opatření ke snížení významnosti rizik, obsahující zároveň aktéry a harmonogram této aktivity.</w:t>
      </w:r>
    </w:p>
    <w:p>
      <w:pPr>
        <w:pStyle w:val="Bulletcopy2"/>
        <w:keepNext w:val="true"/>
        <w:keepLines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Vytvořená opatření k jednotlivým rizikům budou uvedena v registru rizik.</w:t>
      </w:r>
    </w:p>
    <w:p>
      <w:pPr>
        <w:pStyle w:val="Bulletcopy2"/>
        <w:keepNext w:val="true"/>
        <w:keepLines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5754370" cy="105156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05084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lineRule="atLeast" w:line="240" w:before="120" w:after="0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Opatření ke snížení významnosti rizik mohou být vytvořena ke každému riziku uvedenému v registru rizik, nebo pokud registr rizik obsahuje značné množství rizik, mohou být opatření vypracována pouze k nejvýznamnějším rizikům.</w:t>
                            </w:r>
                          </w:p>
                          <w:p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lineRule="atLeast" w:line="240" w:before="12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Opatření ke snížení významnosti rizik mohou být vytvořena například v rámci workshopu věnovaného rizikům (společně, respektive v návaznosti na hodnocení významnosti rizik).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d8d8d8" stroked="f" style="position:absolute;margin-left:0pt;margin-top:-82.8pt;width:453pt;height:82.7pt;mso-position-vertical:top">
                <w10:wrap type="square"/>
                <v:fill o:detectmouseclick="t" type="solid" color2="#272727" opacity="0.69"/>
                <v:stroke color="#3465a4" joinstyle="round" endcap="flat"/>
                <v:textbox>
                  <w:txbxContent>
                    <w:p>
                      <w:pPr>
                        <w:pStyle w:val="Bulletcopy2"/>
                        <w:tabs>
                          <w:tab w:val="clear" w:pos="362"/>
                        </w:tabs>
                        <w:spacing w:lineRule="atLeast" w:line="240" w:before="120" w:after="0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Opatření ke snížení významnosti rizik mohou být vytvořena ke každému riziku uvedenému v registru rizik, nebo pokud registr rizik obsahuje značné množství rizik, mohou být opatření vypracována pouze k nejvýznamnějším rizikům.</w:t>
                      </w:r>
                    </w:p>
                    <w:p>
                      <w:pPr>
                        <w:pStyle w:val="Bulletcopy2"/>
                        <w:tabs>
                          <w:tab w:val="clear" w:pos="362"/>
                        </w:tabs>
                        <w:spacing w:lineRule="atLeast" w:line="240" w:before="12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Opatření ke snížení významnosti rizik mohou být vytvořena například v rámci workshopu věnovaného rizikům (společně, respektive v návaznosti na hodnocení významnosti rizik).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Organizační struktura řízení rizik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popíší Zpracovatelé organizační strukturu řízení rizik tvorby strategie. Ta by měla být (stejně jako samotná organizační struktura tvorby strategie) vytvořena v souladu s následujícími zásadami: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jednoznačnost definice rolí a odpovědností v procesu řízení rizik tvorby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oddělení řídících, výkonných (prováděcích) a dohledových činností,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dosažení transparentnosti klíčových rozhodnutí s ohledem na řízení rizik tvorby strategie.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struktura pro řízení rizik se bude skládat ze tří úrovní: dohledové, řídící a výkonné. Vzorové rozdělení rolí jednotlivých aktérů přípravy strategie je následující: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dohledovou roli plní Řídící výbor pro tvorbu strategie – jeho úkolem je především vrcholově dohlížet na proces řízení rizik tvorby strategie, schvalovat plán řízení rizik, schvalovat opatření k nejvýznamnějším rizikům a schvalovat nápravná opatření při výskytu významných rizik;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řídící roli plní Koordinátor tvorby strategie – nese hlavní odpovědnost za řízení rizik tvorby strategie; jeho úkolem je především koordinovat činnost vlastníků rizik, vytvořit a realizovat plán řízení rizik, předkládat návrhy opatření ke schválení Řídícímu výboru pro tvorbu strategie a monitorovat jejich plnění;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výkonnou roli plní tzv. vlastníci rizik (vlastníky rizik mohou být například jednotliví členové Týmu pro tvorbu strategie) – jejich úkolem bude především monitorovat přidělená rizika, navrhovat opatření ke zvládání přiděleného rizika, zajistit jejich realizaci a případně identifikovat nová rizika v přidělené oblasti.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 případě přípravy strategie menšího rozsahu postačí, když řídící a výkonné role bude zastávat jedna osoba (nebo jeden tým), nicméně by měl být zachován princip oddělení dohledové role.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struktura řízení rizik tvorby strategie musí respektovat základní rozdělení rolí v organizační struktuře tvorby strategie, jejíž je zároveň součástí (viz šablona Organizační struktury tvorby strategie).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Postupy monitorování a průběžné kontroly rizik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popíší Zpracovatelé postupy (procesy) monitorování a průběžné kontroly rizik, které je třeba připravit pro vlastní realizaci projektu. Náplní monitorování a kontroly projektových rizik je především: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pravidelné sledování vývoje identifikovaných rizik a jejich přehodnocování včetně aktualizace hodnocení jejich významnosti,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pravidelné sledování zabezpečovacích opatření a rezerv,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identifikace nových rizik, vyřazení potlačených rizik,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sledování platnosti  předpokladů tvorby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podněty pro modifikace projektových plánů, výkazů, atd.,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dokumentování monitoringu rizik.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tento účel musí být: 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stanovena osoba (např. Koordinátor tvorby strategie) odpovědná za aktuálnost registru rizik a řízení rizik tvorby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stanoveni vlastníci jednotlivých rizik (tj. osoby odpovědné za řízení a monitorování daného rizika – tj. průběžné přehodnocování významnosti rizik a identifikaci reálného výskytu dané rizikové události),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způsob komunikace v rámci řízení rizik (tj. kdo koho informuje o rizicích, jak často, jakým způsobem apod.),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hrozby blížícího se výskytu významné rizikové události (včasné varování),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skutečného výskytu rizikové události odpovídající některému z identifikovaných rizik (tj. komu musí být daná skutečnost ohlášena, kdo ohodnotí dopad rizikové události a stanoví nápravná opatření, kdo schválí změny v registru rizik),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identifikace nového potenciálního rizika v průběhu tvorby strategie.</w:t>
      </w:r>
    </w:p>
    <w:p>
      <w:pPr>
        <w:pStyle w:val="Bulletcopy2"/>
        <w:spacing w:lineRule="atLeast" w:line="24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Důležitými vstupy pro monitorování a průběžnou kontrolu rizik jsou (kromě registru rizik) především  zprávy o průběhu tvorby strategie, výkazy, hlášení, kontrolní schůzky, které poskytují průběžné informace o spotřebě času, dokončenosti činností, čerpání nákladů, dodaných výstupech atd.</w:t>
      </w:r>
    </w:p>
    <w:p>
      <w:pPr>
        <w:pStyle w:val="Bulletcopy2"/>
        <w:spacing w:lineRule="atLeast" w:line="240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Nastavení postupu monitorování a průběžné kontroly rizik představuje vstupy do Plánu tvorby strategie, zejména do hierarchické struktury prací, rozpočtu a harmonogramu tvorby strategie.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Šablona Plánu řízení rizik tvorby strategie k doplnění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Základní informace o  tvorbě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  <w:lang w:val="cs-CZ"/>
        </w:rPr>
        <w:t xml:space="preserve">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Postup identifikace a hodnocení významnosti rizik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numPr>
          <w:ilvl w:val="0"/>
          <w:numId w:val="3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Postup tvorby opatření ke snížení významnosti rizik</w:t>
      </w:r>
    </w:p>
    <w:p>
      <w:pPr>
        <w:pStyle w:val="Bulletcopy2"/>
        <w:keepNext w:val="true"/>
        <w:keepLines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i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Organizační struktura řízení rizik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i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Postupy monitorování a průběžné kontroly rizik</w:t>
      </w:r>
    </w:p>
    <w:p>
      <w:pPr>
        <w:pStyle w:val="Bulletcopy2"/>
        <w:tabs>
          <w:tab w:val="left" w:pos="362" w:leader="none"/>
          <w:tab w:val="left" w:pos="567" w:leader="none"/>
        </w:tabs>
        <w:spacing w:lineRule="atLeast" w:line="240" w:before="120" w:after="0"/>
        <w:jc w:val="both"/>
        <w:rPr>
          <w:rFonts w:cs="Arial"/>
          <w:i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>
      <w:pPr>
        <w:pStyle w:val="Bulletcopy2"/>
        <w:spacing w:lineRule="atLeast" w:line="240"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833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956215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5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  <w:t>Metodika přípravy veřejných strategií – šablona Plánu řízení rizik tvorby strategie (verze k 30. 11. 2012)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5760720" cy="619125"/>
          <wp:effectExtent l="0" t="0" r="0" b="0"/>
          <wp:docPr id="11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sz w:val="22"/>
        <w:szCs w:val="22"/>
        <w:rFonts w:cs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5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54c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454c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styleId="BodycopyChar" w:customStyle="1">
    <w:name w:val="Body copy Char"/>
    <w:basedOn w:val="DefaultParagraphFont"/>
    <w:link w:val="Bodycopy"/>
    <w:qFormat/>
    <w:rsid w:val="00454cd7"/>
    <w:rPr>
      <w:rFonts w:ascii="Arial" w:hAnsi="Arial" w:eastAsia="Times New Roman" w:cs="Times New Roman"/>
      <w:color w:val="000000"/>
      <w:szCs w:val="18"/>
      <w:lang w:val="en-US"/>
    </w:rPr>
  </w:style>
  <w:style w:type="character" w:styleId="Bulletcopy1Char" w:customStyle="1">
    <w:name w:val="Bullet copy 1 Char"/>
    <w:basedOn w:val="DefaultParagraphFont"/>
    <w:link w:val="Bulletcopy1"/>
    <w:qFormat/>
    <w:rsid w:val="00454cd7"/>
    <w:rPr>
      <w:rFonts w:ascii="Arial" w:hAnsi="Arial" w:eastAsia="Times New Roman" w:cs="Times New Roman"/>
      <w:szCs w:val="18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11f9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5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f458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Bulletcopy2Char" w:customStyle="1">
    <w:name w:val="Bullet copy 2 Char"/>
    <w:basedOn w:val="Bulletcopy1Char"/>
    <w:link w:val="Bulletcopy2"/>
    <w:qFormat/>
    <w:rsid w:val="00f25133"/>
    <w:rPr>
      <w:rFonts w:ascii="Arial" w:hAnsi="Arial" w:eastAsia="Times New Roman" w:cs="Times New Roman"/>
      <w:sz w:val="20"/>
      <w:szCs w:val="18"/>
      <w:lang w:val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e136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e1363"/>
    <w:rPr>
      <w:vertAlign w:val="superscript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63a71"/>
    <w:rPr/>
  </w:style>
  <w:style w:type="character" w:styleId="ListLabel1">
    <w:name w:val="ListLabel 1"/>
    <w:qFormat/>
    <w:rPr>
      <w:color w:val="FFE600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/>
      <w:sz w:val="20"/>
      <w:szCs w:val="20"/>
    </w:rPr>
  </w:style>
  <w:style w:type="character" w:styleId="ListLabel6">
    <w:name w:val="ListLabel 6"/>
    <w:qFormat/>
    <w:rPr>
      <w:b w:val="false"/>
      <w:i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Arial"/>
      <w:i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Arial"/>
      <w:b/>
      <w:sz w:val="20"/>
      <w:szCs w:val="20"/>
    </w:rPr>
  </w:style>
  <w:style w:type="character" w:styleId="ListLabel33">
    <w:name w:val="ListLabel 33"/>
    <w:qFormat/>
    <w:rPr>
      <w:b w:val="false"/>
      <w:i/>
    </w:rPr>
  </w:style>
  <w:style w:type="character" w:styleId="ListLabel34">
    <w:name w:val="ListLabel 34"/>
    <w:qFormat/>
    <w:rPr>
      <w:color w:val="FFE600"/>
      <w:sz w:val="22"/>
      <w:szCs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color w:val="auto"/>
      <w:sz w:val="22"/>
      <w:szCs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color w:val="FFC00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color w:val="auto"/>
      <w:sz w:val="22"/>
      <w:szCs w:val="22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auto"/>
      <w:sz w:val="22"/>
      <w:szCs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Arial"/>
      <w:i/>
      <w:sz w:val="20"/>
    </w:rPr>
  </w:style>
  <w:style w:type="character" w:styleId="ListLabel55">
    <w:name w:val="ListLabel 55"/>
    <w:qFormat/>
    <w:rPr>
      <w:rFonts w:cs="Arial"/>
      <w:i/>
      <w:sz w:val="20"/>
    </w:rPr>
  </w:style>
  <w:style w:type="character" w:styleId="ListLabel56">
    <w:name w:val="ListLabel 56"/>
    <w:qFormat/>
    <w:rPr>
      <w:rFonts w:cs="Wingdings"/>
      <w:color w:val="auto"/>
      <w:sz w:val="22"/>
      <w:szCs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Arial"/>
      <w:i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4cd7"/>
    <w:pPr/>
    <w:rPr>
      <w:rFonts w:ascii="Tahoma" w:hAnsi="Tahoma" w:cs="Tahoma"/>
      <w:sz w:val="16"/>
      <w:szCs w:val="16"/>
    </w:rPr>
  </w:style>
  <w:style w:type="paragraph" w:styleId="Bodycopy" w:customStyle="1">
    <w:name w:val="Body copy"/>
    <w:link w:val="BodycopyChar"/>
    <w:qFormat/>
    <w:rsid w:val="00454cd7"/>
    <w:pPr>
      <w:widowControl/>
      <w:bidi w:val="0"/>
      <w:spacing w:lineRule="atLeast" w:line="260" w:before="0" w:after="260"/>
      <w:jc w:val="left"/>
    </w:pPr>
    <w:rPr>
      <w:rFonts w:ascii="Arial" w:hAnsi="Arial" w:eastAsia="Times New Roman" w:cs="Times New Roman"/>
      <w:color w:val="000000"/>
      <w:kern w:val="0"/>
      <w:sz w:val="24"/>
      <w:szCs w:val="18"/>
      <w:lang w:val="en-US" w:eastAsia="en-US" w:bidi="ar-SA"/>
    </w:rPr>
  </w:style>
  <w:style w:type="paragraph" w:styleId="Bulletcopy1" w:customStyle="1">
    <w:name w:val="Bullet copy 1"/>
    <w:basedOn w:val="Normal"/>
    <w:link w:val="Bulletcopy1Char"/>
    <w:qFormat/>
    <w:rsid w:val="00454cd7"/>
    <w:pPr>
      <w:tabs>
        <w:tab w:val="left" w:pos="362" w:leader="none"/>
      </w:tabs>
      <w:spacing w:lineRule="exact" w:line="260" w:before="0" w:after="240"/>
      <w:ind w:left="362" w:hanging="362"/>
    </w:pPr>
    <w:rPr>
      <w:rFonts w:ascii="Arial" w:hAnsi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b4249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f4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f4589"/>
    <w:pPr/>
    <w:rPr>
      <w:b/>
      <w:bCs/>
    </w:rPr>
  </w:style>
  <w:style w:type="paragraph" w:styleId="Bulletcopy2" w:customStyle="1">
    <w:name w:val="Bullet copy 2"/>
    <w:basedOn w:val="Bulletcopy1"/>
    <w:link w:val="Bulletcopy2Char"/>
    <w:qFormat/>
    <w:rsid w:val="00f25133"/>
    <w:pPr>
      <w:spacing w:before="0" w:after="120"/>
    </w:pPr>
    <w:rPr>
      <w:sz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e1363"/>
    <w:pPr/>
    <w:rPr>
      <w:sz w:val="20"/>
      <w:szCs w:val="20"/>
    </w:rPr>
  </w:style>
  <w:style w:type="paragraph" w:styleId="Default" w:customStyle="1">
    <w:name w:val="Default"/>
    <w:qFormat/>
    <w:rsid w:val="00b53c6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6a1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Bullet">
    <w:name w:val="List Bullet"/>
    <w:basedOn w:val="Normal"/>
    <w:uiPriority w:val="99"/>
    <w:unhideWhenUsed/>
    <w:qFormat/>
    <w:rsid w:val="00f101a1"/>
    <w:pPr>
      <w:spacing w:before="0" w:after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E02D-F093-4238-B758-B93F711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LibreOffice/6.1.0.3$Windows_X86_64 LibreOffice_project/efb621ed25068d70781dc026f7e9c5187a4decd1</Application>
  <Pages>5</Pages>
  <Words>1383</Words>
  <Characters>8975</Characters>
  <CharactersWithSpaces>10252</CharactersWithSpaces>
  <Paragraphs>91</Paragraphs>
  <Company>Ernst &amp; Young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2020-12-12T09:29:00Z</dcterms:created>
  <dc:creator>Ernst &amp; Young</dc:creator>
  <dc:description/>
  <dc:language>cs-CZ</dc:language>
  <cp:lastModifiedBy/>
  <cp:lastPrinted>2012-04-04T14:32:00Z</cp:lastPrinted>
  <dcterms:modified xsi:type="dcterms:W3CDTF">2020-12-28T13:58:25Z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