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A2F90" w14:textId="5857633D" w:rsidR="0082239E" w:rsidRPr="00AA156B" w:rsidRDefault="000D3FB2" w:rsidP="000D3FB2">
      <w:pPr>
        <w:spacing w:after="0"/>
        <w:ind w:left="6372" w:firstLine="708"/>
        <w:jc w:val="center"/>
        <w:rPr>
          <w:rFonts w:cs="Arial"/>
          <w:b/>
          <w:szCs w:val="24"/>
          <w:lang w:eastAsia="cs-CZ"/>
        </w:rPr>
      </w:pPr>
      <w:r w:rsidRPr="00CB62E9">
        <w:rPr>
          <w:rFonts w:cs="Arial"/>
          <w:sz w:val="36"/>
          <w:szCs w:val="36"/>
          <w:lang w:eastAsia="cs-CZ"/>
        </w:rPr>
        <w:t>III</w:t>
      </w:r>
      <w:r>
        <w:rPr>
          <w:rFonts w:cs="Arial"/>
          <w:sz w:val="36"/>
          <w:szCs w:val="36"/>
          <w:lang w:eastAsia="cs-CZ"/>
        </w:rPr>
        <w:t>.</w:t>
      </w:r>
    </w:p>
    <w:p w14:paraId="54FF9A2D" w14:textId="4C9AF09A" w:rsidR="0082239E" w:rsidRPr="00AA156B" w:rsidRDefault="00C055E1" w:rsidP="00CB62E9">
      <w:pPr>
        <w:spacing w:after="0"/>
        <w:ind w:left="2124" w:firstLine="708"/>
        <w:jc w:val="center"/>
        <w:rPr>
          <w:rFonts w:cs="Arial"/>
          <w:szCs w:val="24"/>
          <w:lang w:eastAsia="cs-CZ"/>
        </w:rPr>
      </w:pPr>
      <w:r w:rsidRPr="00CB62E9">
        <w:rPr>
          <w:rFonts w:ascii="Calibri" w:hAnsi="Calibri" w:cs="Calibri"/>
          <w:noProof/>
          <w:sz w:val="36"/>
          <w:szCs w:val="36"/>
          <w:lang w:eastAsia="cs-CZ"/>
        </w:rPr>
        <w:drawing>
          <wp:anchor distT="0" distB="0" distL="90170" distR="90170" simplePos="0" relativeHeight="251658240" behindDoc="0" locked="0" layoutInCell="1" allowOverlap="1" wp14:anchorId="7750AC98" wp14:editId="79BD00D0">
            <wp:simplePos x="0" y="0"/>
            <wp:positionH relativeFrom="page">
              <wp:posOffset>819785</wp:posOffset>
            </wp:positionH>
            <wp:positionV relativeFrom="paragraph">
              <wp:posOffset>102870</wp:posOffset>
            </wp:positionV>
            <wp:extent cx="1438275" cy="1391920"/>
            <wp:effectExtent l="0" t="0" r="9525"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391920"/>
                    </a:xfrm>
                    <a:prstGeom prst="rect">
                      <a:avLst/>
                    </a:prstGeom>
                    <a:noFill/>
                  </pic:spPr>
                </pic:pic>
              </a:graphicData>
            </a:graphic>
            <wp14:sizeRelH relativeFrom="page">
              <wp14:pctWidth>0</wp14:pctWidth>
            </wp14:sizeRelH>
            <wp14:sizeRelV relativeFrom="page">
              <wp14:pctHeight>0</wp14:pctHeight>
            </wp14:sizeRelV>
          </wp:anchor>
        </w:drawing>
      </w:r>
    </w:p>
    <w:p w14:paraId="6CCA9BB8" w14:textId="77777777" w:rsidR="0082239E" w:rsidRPr="00AA156B" w:rsidRDefault="0082239E" w:rsidP="0082239E">
      <w:pPr>
        <w:spacing w:after="0"/>
        <w:jc w:val="center"/>
        <w:rPr>
          <w:rFonts w:cs="Arial"/>
          <w:szCs w:val="24"/>
          <w:lang w:eastAsia="cs-CZ"/>
        </w:rPr>
      </w:pPr>
    </w:p>
    <w:p w14:paraId="33C4C6D9" w14:textId="77777777" w:rsidR="0082239E" w:rsidRPr="00AA156B" w:rsidRDefault="0082239E" w:rsidP="0082239E">
      <w:pPr>
        <w:spacing w:after="0"/>
        <w:jc w:val="center"/>
        <w:rPr>
          <w:rFonts w:cs="Arial"/>
          <w:szCs w:val="24"/>
          <w:lang w:eastAsia="cs-CZ"/>
        </w:rPr>
      </w:pPr>
    </w:p>
    <w:p w14:paraId="1F0D46FB" w14:textId="77777777" w:rsidR="0082239E" w:rsidRPr="00AA156B" w:rsidRDefault="0082239E" w:rsidP="0082239E">
      <w:pPr>
        <w:spacing w:after="0"/>
        <w:jc w:val="center"/>
        <w:rPr>
          <w:rFonts w:cs="Arial"/>
          <w:szCs w:val="24"/>
          <w:lang w:eastAsia="cs-CZ"/>
        </w:rPr>
      </w:pPr>
    </w:p>
    <w:p w14:paraId="5B68BDFC" w14:textId="77777777" w:rsidR="0082239E" w:rsidRPr="00AA156B" w:rsidRDefault="0082239E" w:rsidP="0082239E">
      <w:pPr>
        <w:spacing w:after="0"/>
        <w:rPr>
          <w:rFonts w:cs="Arial"/>
          <w:szCs w:val="24"/>
          <w:lang w:eastAsia="cs-CZ"/>
        </w:rPr>
      </w:pPr>
    </w:p>
    <w:p w14:paraId="5C4D4C3B" w14:textId="77777777" w:rsidR="0082239E" w:rsidRPr="00AA156B" w:rsidRDefault="0082239E" w:rsidP="0082239E">
      <w:pPr>
        <w:spacing w:after="0"/>
        <w:rPr>
          <w:rFonts w:cs="Arial"/>
          <w:sz w:val="28"/>
          <w:szCs w:val="24"/>
          <w:lang w:eastAsia="cs-CZ"/>
        </w:rPr>
      </w:pPr>
    </w:p>
    <w:p w14:paraId="1C724B8D" w14:textId="77777777" w:rsidR="0082239E" w:rsidRPr="00AA156B" w:rsidRDefault="0082239E" w:rsidP="0082239E">
      <w:pPr>
        <w:spacing w:after="0"/>
        <w:rPr>
          <w:rFonts w:cs="Arial"/>
          <w:sz w:val="28"/>
          <w:szCs w:val="24"/>
          <w:lang w:eastAsia="cs-CZ"/>
        </w:rPr>
      </w:pPr>
    </w:p>
    <w:p w14:paraId="67C92B13" w14:textId="77777777" w:rsidR="0082239E" w:rsidRPr="00AA156B" w:rsidRDefault="0082239E" w:rsidP="0082239E">
      <w:pPr>
        <w:spacing w:after="0"/>
        <w:rPr>
          <w:rFonts w:cs="Arial"/>
          <w:sz w:val="28"/>
          <w:szCs w:val="24"/>
          <w:lang w:eastAsia="cs-CZ"/>
        </w:rPr>
      </w:pPr>
    </w:p>
    <w:p w14:paraId="48DF886A" w14:textId="77777777" w:rsidR="009602BE" w:rsidRPr="00165C77" w:rsidRDefault="009602BE" w:rsidP="0082239E">
      <w:pPr>
        <w:spacing w:after="0"/>
        <w:rPr>
          <w:rFonts w:cs="Arial"/>
          <w:b/>
          <w:sz w:val="28"/>
          <w:szCs w:val="24"/>
          <w:lang w:eastAsia="cs-CZ"/>
        </w:rPr>
      </w:pPr>
    </w:p>
    <w:p w14:paraId="5D9E394D" w14:textId="703CDACD" w:rsidR="0082239E" w:rsidRPr="00677EC3" w:rsidRDefault="0082239E" w:rsidP="0082239E">
      <w:pPr>
        <w:spacing w:after="0"/>
        <w:rPr>
          <w:rFonts w:cs="Arial"/>
          <w:b/>
          <w:sz w:val="28"/>
          <w:szCs w:val="24"/>
          <w:lang w:eastAsia="cs-CZ"/>
        </w:rPr>
      </w:pPr>
      <w:r w:rsidRPr="00677EC3">
        <w:rPr>
          <w:rFonts w:cs="Arial"/>
          <w:b/>
          <w:sz w:val="28"/>
          <w:szCs w:val="24"/>
          <w:lang w:eastAsia="cs-CZ"/>
        </w:rPr>
        <w:t xml:space="preserve">Vládní výbor pro </w:t>
      </w:r>
      <w:r w:rsidR="00F32486" w:rsidRPr="00677EC3">
        <w:rPr>
          <w:rFonts w:cs="Arial"/>
          <w:b/>
          <w:sz w:val="28"/>
          <w:szCs w:val="24"/>
          <w:lang w:eastAsia="cs-CZ"/>
        </w:rPr>
        <w:t>osoby se zdravotním postižením</w:t>
      </w:r>
    </w:p>
    <w:p w14:paraId="1A09355D" w14:textId="77777777" w:rsidR="0082239E" w:rsidRPr="00677EC3" w:rsidRDefault="0082239E" w:rsidP="0082239E">
      <w:pPr>
        <w:spacing w:after="0"/>
        <w:jc w:val="center"/>
        <w:rPr>
          <w:rFonts w:cs="Arial"/>
          <w:szCs w:val="24"/>
          <w:u w:val="single"/>
          <w:lang w:eastAsia="cs-CZ"/>
        </w:rPr>
      </w:pPr>
    </w:p>
    <w:p w14:paraId="6E50E3F5" w14:textId="77777777" w:rsidR="0082239E" w:rsidRPr="00AA156B" w:rsidRDefault="0082239E" w:rsidP="0082239E">
      <w:pPr>
        <w:spacing w:after="0"/>
        <w:jc w:val="center"/>
        <w:rPr>
          <w:rFonts w:cs="Arial"/>
          <w:szCs w:val="24"/>
          <w:lang w:eastAsia="cs-CZ"/>
        </w:rPr>
      </w:pPr>
    </w:p>
    <w:p w14:paraId="30463088" w14:textId="77777777" w:rsidR="0082239E" w:rsidRPr="00AA156B" w:rsidRDefault="0082239E" w:rsidP="0082239E">
      <w:pPr>
        <w:spacing w:after="0"/>
        <w:jc w:val="center"/>
        <w:rPr>
          <w:rFonts w:cs="Arial"/>
          <w:szCs w:val="24"/>
          <w:lang w:eastAsia="cs-CZ"/>
        </w:rPr>
      </w:pPr>
    </w:p>
    <w:p w14:paraId="0FC094EB" w14:textId="77777777" w:rsidR="0082239E" w:rsidRPr="00AA156B" w:rsidRDefault="0082239E" w:rsidP="0082239E">
      <w:pPr>
        <w:spacing w:after="0"/>
        <w:jc w:val="center"/>
        <w:rPr>
          <w:rFonts w:cs="Arial"/>
          <w:szCs w:val="24"/>
          <w:lang w:eastAsia="cs-CZ"/>
        </w:rPr>
      </w:pPr>
    </w:p>
    <w:p w14:paraId="6A1DC818" w14:textId="628EF9C9" w:rsidR="0082239E" w:rsidRPr="006E6C75" w:rsidRDefault="00721E5E" w:rsidP="000D576A">
      <w:pPr>
        <w:spacing w:after="0"/>
        <w:jc w:val="center"/>
        <w:rPr>
          <w:rFonts w:cs="Arial"/>
          <w:b/>
          <w:sz w:val="40"/>
          <w:szCs w:val="40"/>
          <w:lang w:eastAsia="cs-CZ"/>
        </w:rPr>
      </w:pPr>
      <w:r w:rsidRPr="006E6C75">
        <w:rPr>
          <w:rFonts w:cs="Arial"/>
          <w:b/>
          <w:sz w:val="40"/>
          <w:szCs w:val="40"/>
          <w:lang w:eastAsia="cs-CZ"/>
        </w:rPr>
        <w:t>Zpráva o plnění opatření</w:t>
      </w:r>
    </w:p>
    <w:p w14:paraId="2AAABA9E" w14:textId="24BFD6A6" w:rsidR="00DF3DE0" w:rsidRDefault="00165C77" w:rsidP="000D576A">
      <w:pPr>
        <w:spacing w:after="0" w:line="288" w:lineRule="auto"/>
        <w:jc w:val="center"/>
        <w:rPr>
          <w:rFonts w:eastAsia="Calibri" w:cs="Arial"/>
          <w:b/>
          <w:bCs/>
          <w:color w:val="000000" w:themeColor="text1"/>
          <w:sz w:val="40"/>
          <w:szCs w:val="40"/>
          <w:lang w:eastAsia="cs-CZ"/>
        </w:rPr>
      </w:pPr>
      <w:r w:rsidRPr="006E6C75">
        <w:rPr>
          <w:rFonts w:eastAsia="Calibri" w:cs="Arial"/>
          <w:b/>
          <w:bCs/>
          <w:color w:val="000000" w:themeColor="text1"/>
          <w:sz w:val="40"/>
          <w:szCs w:val="40"/>
          <w:lang w:eastAsia="cs-CZ"/>
        </w:rPr>
        <w:t>Národní</w:t>
      </w:r>
      <w:r w:rsidR="00721E5E" w:rsidRPr="006E6C75">
        <w:rPr>
          <w:rFonts w:eastAsia="Calibri" w:cs="Arial"/>
          <w:b/>
          <w:bCs/>
          <w:color w:val="000000" w:themeColor="text1"/>
          <w:sz w:val="40"/>
          <w:szCs w:val="40"/>
          <w:lang w:eastAsia="cs-CZ"/>
        </w:rPr>
        <w:t>ho</w:t>
      </w:r>
      <w:r w:rsidRPr="006E6C75">
        <w:rPr>
          <w:rFonts w:eastAsia="Calibri" w:cs="Arial"/>
          <w:b/>
          <w:bCs/>
          <w:color w:val="000000" w:themeColor="text1"/>
          <w:sz w:val="40"/>
          <w:szCs w:val="40"/>
          <w:lang w:eastAsia="cs-CZ"/>
        </w:rPr>
        <w:t xml:space="preserve"> plán</w:t>
      </w:r>
      <w:r w:rsidR="00721E5E" w:rsidRPr="006E6C75">
        <w:rPr>
          <w:rFonts w:eastAsia="Calibri" w:cs="Arial"/>
          <w:b/>
          <w:bCs/>
          <w:color w:val="000000" w:themeColor="text1"/>
          <w:sz w:val="40"/>
          <w:szCs w:val="40"/>
          <w:lang w:eastAsia="cs-CZ"/>
        </w:rPr>
        <w:t>u</w:t>
      </w:r>
      <w:r w:rsidR="000D576A" w:rsidRPr="006E6C75">
        <w:rPr>
          <w:rFonts w:eastAsia="Calibri" w:cs="Arial"/>
          <w:b/>
          <w:bCs/>
          <w:color w:val="000000" w:themeColor="text1"/>
          <w:sz w:val="40"/>
          <w:szCs w:val="40"/>
          <w:lang w:eastAsia="cs-CZ"/>
        </w:rPr>
        <w:t xml:space="preserve"> </w:t>
      </w:r>
      <w:r w:rsidRPr="006E6C75">
        <w:rPr>
          <w:rFonts w:eastAsia="Calibri" w:cs="Arial"/>
          <w:b/>
          <w:bCs/>
          <w:color w:val="000000" w:themeColor="text1"/>
          <w:sz w:val="40"/>
          <w:szCs w:val="40"/>
          <w:lang w:eastAsia="cs-CZ"/>
        </w:rPr>
        <w:t>podpory rovných příležitostí</w:t>
      </w:r>
      <w:r w:rsidR="000D576A" w:rsidRPr="006E6C75">
        <w:rPr>
          <w:rFonts w:eastAsia="Calibri" w:cs="Arial"/>
          <w:b/>
          <w:bCs/>
          <w:color w:val="000000" w:themeColor="text1"/>
          <w:sz w:val="40"/>
          <w:szCs w:val="40"/>
          <w:lang w:eastAsia="cs-CZ"/>
        </w:rPr>
        <w:t xml:space="preserve"> </w:t>
      </w:r>
      <w:r w:rsidRPr="006E6C75">
        <w:rPr>
          <w:rFonts w:eastAsia="Calibri" w:cs="Arial"/>
          <w:b/>
          <w:bCs/>
          <w:color w:val="000000" w:themeColor="text1"/>
          <w:sz w:val="40"/>
          <w:szCs w:val="40"/>
          <w:lang w:eastAsia="cs-CZ"/>
        </w:rPr>
        <w:t>pro osoby se zdravotním postižením</w:t>
      </w:r>
    </w:p>
    <w:p w14:paraId="7D36C42D" w14:textId="6D27CB2F" w:rsidR="00165C77" w:rsidRPr="006E6C75" w:rsidRDefault="00165C77" w:rsidP="000D576A">
      <w:pPr>
        <w:spacing w:after="0" w:line="288" w:lineRule="auto"/>
        <w:jc w:val="center"/>
        <w:rPr>
          <w:rFonts w:eastAsia="Calibri" w:cs="Arial"/>
          <w:b/>
          <w:bCs/>
          <w:color w:val="000000" w:themeColor="text1"/>
          <w:sz w:val="40"/>
          <w:szCs w:val="40"/>
          <w:lang w:eastAsia="cs-CZ"/>
        </w:rPr>
      </w:pPr>
      <w:r w:rsidRPr="006E6C75">
        <w:rPr>
          <w:rFonts w:eastAsia="Calibri" w:cs="Arial"/>
          <w:b/>
          <w:bCs/>
          <w:color w:val="000000" w:themeColor="text1"/>
          <w:sz w:val="40"/>
          <w:szCs w:val="40"/>
          <w:lang w:eastAsia="cs-CZ"/>
        </w:rPr>
        <w:t>na období 2021–2025</w:t>
      </w:r>
    </w:p>
    <w:p w14:paraId="372A0A7B" w14:textId="3DE97301" w:rsidR="00721E5E" w:rsidRPr="006E6C75" w:rsidRDefault="007437BA" w:rsidP="000D576A">
      <w:pPr>
        <w:spacing w:after="0" w:line="288" w:lineRule="auto"/>
        <w:jc w:val="center"/>
        <w:rPr>
          <w:rFonts w:eastAsia="Calibri" w:cs="Arial"/>
          <w:b/>
          <w:bCs/>
          <w:color w:val="000000" w:themeColor="text1"/>
          <w:sz w:val="40"/>
          <w:szCs w:val="40"/>
          <w:lang w:eastAsia="cs-CZ"/>
        </w:rPr>
      </w:pPr>
      <w:r>
        <w:rPr>
          <w:rFonts w:eastAsia="Calibri" w:cs="Arial"/>
          <w:b/>
          <w:bCs/>
          <w:color w:val="000000" w:themeColor="text1"/>
          <w:sz w:val="40"/>
          <w:szCs w:val="40"/>
          <w:lang w:eastAsia="cs-CZ"/>
        </w:rPr>
        <w:t>v roce 2023</w:t>
      </w:r>
    </w:p>
    <w:p w14:paraId="265D233E" w14:textId="77777777" w:rsidR="0082239E" w:rsidRPr="00AA156B" w:rsidRDefault="0082239E" w:rsidP="0082239E">
      <w:pPr>
        <w:spacing w:after="0"/>
        <w:rPr>
          <w:rFonts w:cs="Arial"/>
          <w:szCs w:val="24"/>
          <w:lang w:eastAsia="cs-CZ"/>
        </w:rPr>
      </w:pPr>
    </w:p>
    <w:p w14:paraId="5E1DC961" w14:textId="77777777" w:rsidR="0082239E" w:rsidRPr="00AA156B" w:rsidRDefault="0082239E" w:rsidP="0082239E">
      <w:pPr>
        <w:spacing w:after="0"/>
        <w:jc w:val="center"/>
        <w:rPr>
          <w:rFonts w:cs="Arial"/>
          <w:szCs w:val="24"/>
          <w:lang w:eastAsia="cs-CZ"/>
        </w:rPr>
      </w:pPr>
    </w:p>
    <w:p w14:paraId="5F992C22" w14:textId="77777777" w:rsidR="0082239E" w:rsidRPr="00AA156B" w:rsidRDefault="0082239E" w:rsidP="009E05D0">
      <w:pPr>
        <w:spacing w:after="0"/>
        <w:rPr>
          <w:rFonts w:cs="Arial"/>
          <w:szCs w:val="24"/>
          <w:lang w:eastAsia="cs-CZ"/>
        </w:rPr>
      </w:pPr>
    </w:p>
    <w:p w14:paraId="123EFBC1" w14:textId="77777777" w:rsidR="0082239E" w:rsidRPr="00AA156B" w:rsidRDefault="0082239E" w:rsidP="0082239E">
      <w:pPr>
        <w:tabs>
          <w:tab w:val="left" w:pos="1620"/>
          <w:tab w:val="left" w:pos="7380"/>
        </w:tabs>
        <w:spacing w:after="0"/>
        <w:jc w:val="center"/>
        <w:rPr>
          <w:rFonts w:cs="Arial"/>
          <w:szCs w:val="24"/>
          <w:lang w:eastAsia="cs-CZ"/>
        </w:rPr>
      </w:pPr>
    </w:p>
    <w:p w14:paraId="154CE811" w14:textId="77777777" w:rsidR="0082239E" w:rsidRPr="00AA156B" w:rsidRDefault="0082239E" w:rsidP="0082239E">
      <w:pPr>
        <w:tabs>
          <w:tab w:val="left" w:pos="1620"/>
          <w:tab w:val="left" w:pos="7380"/>
        </w:tabs>
        <w:spacing w:after="0"/>
        <w:jc w:val="center"/>
        <w:rPr>
          <w:rFonts w:cs="Arial"/>
          <w:szCs w:val="24"/>
          <w:lang w:eastAsia="cs-CZ"/>
        </w:rPr>
      </w:pPr>
    </w:p>
    <w:p w14:paraId="7DE2C17D" w14:textId="77777777" w:rsidR="0082239E" w:rsidRPr="00AA156B" w:rsidRDefault="0082239E" w:rsidP="0082239E">
      <w:pPr>
        <w:tabs>
          <w:tab w:val="left" w:pos="1620"/>
          <w:tab w:val="left" w:pos="7380"/>
        </w:tabs>
        <w:spacing w:after="0"/>
        <w:jc w:val="center"/>
        <w:rPr>
          <w:rFonts w:cs="Arial"/>
          <w:szCs w:val="24"/>
          <w:lang w:eastAsia="cs-CZ"/>
        </w:rPr>
      </w:pPr>
    </w:p>
    <w:p w14:paraId="7F25C26E" w14:textId="77777777" w:rsidR="0082239E" w:rsidRPr="00AA156B" w:rsidRDefault="0082239E" w:rsidP="0082239E">
      <w:pPr>
        <w:tabs>
          <w:tab w:val="left" w:pos="1620"/>
          <w:tab w:val="left" w:pos="7380"/>
        </w:tabs>
        <w:spacing w:after="0"/>
        <w:jc w:val="center"/>
        <w:rPr>
          <w:rFonts w:cs="Arial"/>
          <w:szCs w:val="24"/>
          <w:lang w:eastAsia="cs-CZ"/>
        </w:rPr>
      </w:pPr>
    </w:p>
    <w:p w14:paraId="0B5726BF" w14:textId="2EA0FF45" w:rsidR="0082239E" w:rsidRPr="00842EC4" w:rsidRDefault="00842EC4" w:rsidP="00842EC4">
      <w:pPr>
        <w:spacing w:after="160" w:line="259" w:lineRule="auto"/>
        <w:jc w:val="left"/>
        <w:rPr>
          <w:rFonts w:cs="Arial"/>
          <w:szCs w:val="24"/>
          <w:lang w:eastAsia="cs-CZ"/>
        </w:rPr>
      </w:pPr>
      <w:r>
        <w:rPr>
          <w:rFonts w:cs="Arial"/>
          <w:szCs w:val="24"/>
          <w:lang w:eastAsia="cs-CZ"/>
        </w:rPr>
        <w:br w:type="page"/>
      </w:r>
    </w:p>
    <w:p w14:paraId="66B13903" w14:textId="05F242DA" w:rsidR="00F17E74" w:rsidRPr="00C95676" w:rsidRDefault="008C2143" w:rsidP="0015759D">
      <w:pPr>
        <w:tabs>
          <w:tab w:val="center" w:pos="4535"/>
        </w:tabs>
        <w:spacing w:after="360" w:line="259" w:lineRule="auto"/>
        <w:jc w:val="left"/>
        <w:rPr>
          <w:b/>
          <w:bCs/>
          <w:sz w:val="36"/>
          <w:szCs w:val="36"/>
        </w:rPr>
      </w:pPr>
      <w:r w:rsidRPr="00C95676">
        <w:rPr>
          <w:b/>
          <w:bCs/>
          <w:sz w:val="36"/>
          <w:szCs w:val="36"/>
        </w:rPr>
        <w:lastRenderedPageBreak/>
        <w:t>Obsah</w:t>
      </w:r>
      <w:r w:rsidR="0015759D">
        <w:rPr>
          <w:b/>
          <w:bCs/>
          <w:sz w:val="36"/>
          <w:szCs w:val="36"/>
        </w:rPr>
        <w:tab/>
      </w:r>
      <w:bookmarkStart w:id="0" w:name="_GoBack"/>
      <w:bookmarkEnd w:id="0"/>
    </w:p>
    <w:sdt>
      <w:sdtPr>
        <w:rPr>
          <w:highlight w:val="yellow"/>
        </w:rPr>
        <w:id w:val="-1177269131"/>
        <w:docPartObj>
          <w:docPartGallery w:val="Table of Contents"/>
          <w:docPartUnique/>
        </w:docPartObj>
      </w:sdtPr>
      <w:sdtContent>
        <w:p w14:paraId="55CBA178" w14:textId="0E8FD425" w:rsidR="00CC6466" w:rsidRDefault="00784932">
          <w:pPr>
            <w:pStyle w:val="Obsah1"/>
            <w:rPr>
              <w:rFonts w:asciiTheme="minorHAnsi" w:eastAsiaTheme="minorEastAsia" w:hAnsiTheme="minorHAnsi" w:cstheme="minorBidi"/>
              <w:b w:val="0"/>
              <w:bCs w:val="0"/>
              <w:noProof/>
              <w:szCs w:val="22"/>
              <w:lang w:eastAsia="cs-CZ"/>
            </w:rPr>
          </w:pPr>
          <w:r w:rsidRPr="007400C2">
            <w:rPr>
              <w:color w:val="000000" w:themeColor="text1"/>
              <w:highlight w:val="yellow"/>
            </w:rPr>
            <w:fldChar w:fldCharType="begin"/>
          </w:r>
          <w:r w:rsidRPr="007400C2">
            <w:rPr>
              <w:color w:val="000000" w:themeColor="text1"/>
              <w:highlight w:val="yellow"/>
            </w:rPr>
            <w:instrText xml:space="preserve"> TOC \o "1-3" \h \z \u </w:instrText>
          </w:r>
          <w:r w:rsidRPr="007400C2">
            <w:rPr>
              <w:color w:val="000000" w:themeColor="text1"/>
              <w:highlight w:val="yellow"/>
            </w:rPr>
            <w:fldChar w:fldCharType="separate"/>
          </w:r>
          <w:hyperlink w:anchor="_Toc101957886" w:history="1">
            <w:r w:rsidR="00CC6466" w:rsidRPr="004E1571">
              <w:rPr>
                <w:rStyle w:val="Hypertextovodkaz"/>
                <w:noProof/>
                <w14:scene3d>
                  <w14:camera w14:prst="orthographicFront"/>
                  <w14:lightRig w14:rig="threePt" w14:dir="t">
                    <w14:rot w14:lat="0" w14:lon="0" w14:rev="0"/>
                  </w14:lightRig>
                </w14:scene3d>
              </w:rPr>
              <w:t>1</w:t>
            </w:r>
            <w:r w:rsidR="00CC6466">
              <w:rPr>
                <w:rFonts w:asciiTheme="minorHAnsi" w:eastAsiaTheme="minorEastAsia" w:hAnsiTheme="minorHAnsi" w:cstheme="minorBidi"/>
                <w:b w:val="0"/>
                <w:bCs w:val="0"/>
                <w:noProof/>
                <w:szCs w:val="22"/>
                <w:lang w:eastAsia="cs-CZ"/>
              </w:rPr>
              <w:tab/>
            </w:r>
            <w:r w:rsidR="00CC6466" w:rsidRPr="004E1571">
              <w:rPr>
                <w:rStyle w:val="Hypertextovodkaz"/>
                <w:noProof/>
              </w:rPr>
              <w:t>Úvod</w:t>
            </w:r>
            <w:r w:rsidR="00CC6466">
              <w:rPr>
                <w:noProof/>
                <w:webHidden/>
              </w:rPr>
              <w:tab/>
            </w:r>
            <w:r w:rsidR="00CC6466">
              <w:rPr>
                <w:noProof/>
                <w:webHidden/>
              </w:rPr>
              <w:fldChar w:fldCharType="begin"/>
            </w:r>
            <w:r w:rsidR="00CC6466">
              <w:rPr>
                <w:noProof/>
                <w:webHidden/>
              </w:rPr>
              <w:instrText xml:space="preserve"> PAGEREF _Toc101957886 \h </w:instrText>
            </w:r>
            <w:r w:rsidR="00CC6466">
              <w:rPr>
                <w:noProof/>
                <w:webHidden/>
              </w:rPr>
            </w:r>
            <w:r w:rsidR="00CC6466">
              <w:rPr>
                <w:noProof/>
                <w:webHidden/>
              </w:rPr>
              <w:fldChar w:fldCharType="separate"/>
            </w:r>
            <w:r w:rsidR="003D2E69">
              <w:rPr>
                <w:noProof/>
                <w:webHidden/>
              </w:rPr>
              <w:t>3</w:t>
            </w:r>
            <w:r w:rsidR="00CC6466">
              <w:rPr>
                <w:noProof/>
                <w:webHidden/>
              </w:rPr>
              <w:fldChar w:fldCharType="end"/>
            </w:r>
          </w:hyperlink>
        </w:p>
        <w:p w14:paraId="7FFE6BD4" w14:textId="291CFDE2" w:rsidR="00CC6466" w:rsidRDefault="007C49CB">
          <w:pPr>
            <w:pStyle w:val="Obsah1"/>
            <w:rPr>
              <w:rFonts w:asciiTheme="minorHAnsi" w:eastAsiaTheme="minorEastAsia" w:hAnsiTheme="minorHAnsi" w:cstheme="minorBidi"/>
              <w:b w:val="0"/>
              <w:bCs w:val="0"/>
              <w:noProof/>
              <w:szCs w:val="22"/>
              <w:lang w:eastAsia="cs-CZ"/>
            </w:rPr>
          </w:pPr>
          <w:hyperlink w:anchor="_Toc101957887" w:history="1">
            <w:r w:rsidR="00CC6466" w:rsidRPr="004E1571">
              <w:rPr>
                <w:rStyle w:val="Hypertextovodkaz"/>
                <w:noProof/>
                <w14:scene3d>
                  <w14:camera w14:prst="orthographicFront"/>
                  <w14:lightRig w14:rig="threePt" w14:dir="t">
                    <w14:rot w14:lat="0" w14:lon="0" w14:rev="0"/>
                  </w14:lightRig>
                </w14:scene3d>
              </w:rPr>
              <w:t>2</w:t>
            </w:r>
            <w:r w:rsidR="00CC6466">
              <w:rPr>
                <w:rFonts w:asciiTheme="minorHAnsi" w:eastAsiaTheme="minorEastAsia" w:hAnsiTheme="minorHAnsi" w:cstheme="minorBidi"/>
                <w:b w:val="0"/>
                <w:bCs w:val="0"/>
                <w:noProof/>
                <w:szCs w:val="22"/>
                <w:lang w:eastAsia="cs-CZ"/>
              </w:rPr>
              <w:tab/>
            </w:r>
            <w:r w:rsidR="00CC6466" w:rsidRPr="004E1571">
              <w:rPr>
                <w:rStyle w:val="Hypertextovodkaz"/>
                <w:noProof/>
              </w:rPr>
              <w:t>Shrnutí</w:t>
            </w:r>
            <w:r w:rsidR="00CC6466">
              <w:rPr>
                <w:noProof/>
                <w:webHidden/>
              </w:rPr>
              <w:tab/>
            </w:r>
            <w:r w:rsidR="00CC6466">
              <w:rPr>
                <w:noProof/>
                <w:webHidden/>
              </w:rPr>
              <w:fldChar w:fldCharType="begin"/>
            </w:r>
            <w:r w:rsidR="00CC6466">
              <w:rPr>
                <w:noProof/>
                <w:webHidden/>
              </w:rPr>
              <w:instrText xml:space="preserve"> PAGEREF _Toc101957887 \h </w:instrText>
            </w:r>
            <w:r w:rsidR="00CC6466">
              <w:rPr>
                <w:noProof/>
                <w:webHidden/>
              </w:rPr>
            </w:r>
            <w:r w:rsidR="00CC6466">
              <w:rPr>
                <w:noProof/>
                <w:webHidden/>
              </w:rPr>
              <w:fldChar w:fldCharType="separate"/>
            </w:r>
            <w:r w:rsidR="003D2E69">
              <w:rPr>
                <w:noProof/>
                <w:webHidden/>
              </w:rPr>
              <w:t>4</w:t>
            </w:r>
            <w:r w:rsidR="00CC6466">
              <w:rPr>
                <w:noProof/>
                <w:webHidden/>
              </w:rPr>
              <w:fldChar w:fldCharType="end"/>
            </w:r>
          </w:hyperlink>
        </w:p>
        <w:p w14:paraId="5E7BB227" w14:textId="15ED6777" w:rsidR="00CC6466" w:rsidRDefault="007C49CB">
          <w:pPr>
            <w:pStyle w:val="Obsah1"/>
            <w:rPr>
              <w:rFonts w:asciiTheme="minorHAnsi" w:eastAsiaTheme="minorEastAsia" w:hAnsiTheme="minorHAnsi" w:cstheme="minorBidi"/>
              <w:b w:val="0"/>
              <w:bCs w:val="0"/>
              <w:noProof/>
              <w:szCs w:val="22"/>
              <w:lang w:eastAsia="cs-CZ"/>
            </w:rPr>
          </w:pPr>
          <w:hyperlink w:anchor="_Toc101957888" w:history="1">
            <w:r w:rsidR="00CC6466" w:rsidRPr="004E1571">
              <w:rPr>
                <w:rStyle w:val="Hypertextovodkaz"/>
                <w:noProof/>
                <w14:scene3d>
                  <w14:camera w14:prst="orthographicFront"/>
                  <w14:lightRig w14:rig="threePt" w14:dir="t">
                    <w14:rot w14:lat="0" w14:lon="0" w14:rev="0"/>
                  </w14:lightRig>
                </w14:scene3d>
              </w:rPr>
              <w:t>3</w:t>
            </w:r>
            <w:r w:rsidR="00CC6466">
              <w:rPr>
                <w:rFonts w:asciiTheme="minorHAnsi" w:eastAsiaTheme="minorEastAsia" w:hAnsiTheme="minorHAnsi" w:cstheme="minorBidi"/>
                <w:b w:val="0"/>
                <w:bCs w:val="0"/>
                <w:noProof/>
                <w:szCs w:val="22"/>
                <w:lang w:eastAsia="cs-CZ"/>
              </w:rPr>
              <w:tab/>
            </w:r>
            <w:r w:rsidR="00CC6466" w:rsidRPr="004E1571">
              <w:rPr>
                <w:rStyle w:val="Hypertextovodkaz"/>
                <w:noProof/>
              </w:rPr>
              <w:t>Plnění opatření</w:t>
            </w:r>
            <w:r w:rsidR="00CC6466">
              <w:rPr>
                <w:noProof/>
                <w:webHidden/>
              </w:rPr>
              <w:tab/>
            </w:r>
            <w:r w:rsidR="00CC6466">
              <w:rPr>
                <w:noProof/>
                <w:webHidden/>
              </w:rPr>
              <w:fldChar w:fldCharType="begin"/>
            </w:r>
            <w:r w:rsidR="00CC6466">
              <w:rPr>
                <w:noProof/>
                <w:webHidden/>
              </w:rPr>
              <w:instrText xml:space="preserve"> PAGEREF _Toc101957888 \h </w:instrText>
            </w:r>
            <w:r w:rsidR="00CC6466">
              <w:rPr>
                <w:noProof/>
                <w:webHidden/>
              </w:rPr>
            </w:r>
            <w:r w:rsidR="00CC6466">
              <w:rPr>
                <w:noProof/>
                <w:webHidden/>
              </w:rPr>
              <w:fldChar w:fldCharType="separate"/>
            </w:r>
            <w:r w:rsidR="003D2E69">
              <w:rPr>
                <w:noProof/>
                <w:webHidden/>
              </w:rPr>
              <w:t>6</w:t>
            </w:r>
            <w:r w:rsidR="00CC6466">
              <w:rPr>
                <w:noProof/>
                <w:webHidden/>
              </w:rPr>
              <w:fldChar w:fldCharType="end"/>
            </w:r>
          </w:hyperlink>
        </w:p>
        <w:p w14:paraId="4A6E7209" w14:textId="59A693CF" w:rsidR="00CC6466" w:rsidRDefault="007C49CB">
          <w:pPr>
            <w:pStyle w:val="Obsah2"/>
            <w:rPr>
              <w:rFonts w:eastAsiaTheme="minorEastAsia" w:cstheme="minorBidi"/>
              <w:bCs w:val="0"/>
              <w:noProof/>
              <w:sz w:val="22"/>
              <w:szCs w:val="22"/>
              <w:lang w:eastAsia="cs-CZ"/>
            </w:rPr>
          </w:pPr>
          <w:hyperlink w:anchor="_Toc101957889" w:history="1">
            <w:r w:rsidR="00CC6466" w:rsidRPr="004E1571">
              <w:rPr>
                <w:rStyle w:val="Hypertextovodkaz"/>
                <w:noProof/>
              </w:rPr>
              <w:t>Oblast č. 1: Obecné závazky a principy ochrany práv osob se zdravotním postižením</w:t>
            </w:r>
            <w:r w:rsidR="00CC6466">
              <w:rPr>
                <w:noProof/>
                <w:webHidden/>
              </w:rPr>
              <w:tab/>
            </w:r>
            <w:r w:rsidR="00CC6466">
              <w:rPr>
                <w:noProof/>
                <w:webHidden/>
              </w:rPr>
              <w:fldChar w:fldCharType="begin"/>
            </w:r>
            <w:r w:rsidR="00CC6466">
              <w:rPr>
                <w:noProof/>
                <w:webHidden/>
              </w:rPr>
              <w:instrText xml:space="preserve"> PAGEREF _Toc101957889 \h </w:instrText>
            </w:r>
            <w:r w:rsidR="00CC6466">
              <w:rPr>
                <w:noProof/>
                <w:webHidden/>
              </w:rPr>
            </w:r>
            <w:r w:rsidR="00CC6466">
              <w:rPr>
                <w:noProof/>
                <w:webHidden/>
              </w:rPr>
              <w:fldChar w:fldCharType="separate"/>
            </w:r>
            <w:r w:rsidR="003D2E69">
              <w:rPr>
                <w:noProof/>
                <w:webHidden/>
              </w:rPr>
              <w:t>6</w:t>
            </w:r>
            <w:r w:rsidR="00CC6466">
              <w:rPr>
                <w:noProof/>
                <w:webHidden/>
              </w:rPr>
              <w:fldChar w:fldCharType="end"/>
            </w:r>
          </w:hyperlink>
        </w:p>
        <w:p w14:paraId="0A19A461" w14:textId="505E9FD5" w:rsidR="00CC6466" w:rsidRDefault="007C49CB">
          <w:pPr>
            <w:pStyle w:val="Obsah2"/>
            <w:rPr>
              <w:rFonts w:eastAsiaTheme="minorEastAsia" w:cstheme="minorBidi"/>
              <w:bCs w:val="0"/>
              <w:noProof/>
              <w:sz w:val="22"/>
              <w:szCs w:val="22"/>
              <w:lang w:eastAsia="cs-CZ"/>
            </w:rPr>
          </w:pPr>
          <w:hyperlink w:anchor="_Toc101957890" w:history="1">
            <w:r w:rsidR="00CC6466" w:rsidRPr="004E1571">
              <w:rPr>
                <w:rStyle w:val="Hypertextovodkaz"/>
                <w:noProof/>
              </w:rPr>
              <w:t>Oblast č. 2: Přístupnost staveb, dopravy a pozemních komunikací</w:t>
            </w:r>
            <w:r w:rsidR="00CC6466">
              <w:rPr>
                <w:noProof/>
                <w:webHidden/>
              </w:rPr>
              <w:tab/>
            </w:r>
            <w:r w:rsidR="00CC6466">
              <w:rPr>
                <w:noProof/>
                <w:webHidden/>
              </w:rPr>
              <w:fldChar w:fldCharType="begin"/>
            </w:r>
            <w:r w:rsidR="00CC6466">
              <w:rPr>
                <w:noProof/>
                <w:webHidden/>
              </w:rPr>
              <w:instrText xml:space="preserve"> PAGEREF _Toc101957890 \h </w:instrText>
            </w:r>
            <w:r w:rsidR="00CC6466">
              <w:rPr>
                <w:noProof/>
                <w:webHidden/>
              </w:rPr>
            </w:r>
            <w:r w:rsidR="00CC6466">
              <w:rPr>
                <w:noProof/>
                <w:webHidden/>
              </w:rPr>
              <w:fldChar w:fldCharType="separate"/>
            </w:r>
            <w:r w:rsidR="003D2E69">
              <w:rPr>
                <w:noProof/>
                <w:webHidden/>
              </w:rPr>
              <w:t>31</w:t>
            </w:r>
            <w:r w:rsidR="00CC6466">
              <w:rPr>
                <w:noProof/>
                <w:webHidden/>
              </w:rPr>
              <w:fldChar w:fldCharType="end"/>
            </w:r>
          </w:hyperlink>
        </w:p>
        <w:p w14:paraId="14C3E04D" w14:textId="1CAAE346" w:rsidR="00CC6466" w:rsidRDefault="007C49CB">
          <w:pPr>
            <w:pStyle w:val="Obsah2"/>
            <w:rPr>
              <w:rFonts w:eastAsiaTheme="minorEastAsia" w:cstheme="minorBidi"/>
              <w:bCs w:val="0"/>
              <w:noProof/>
              <w:sz w:val="22"/>
              <w:szCs w:val="22"/>
              <w:lang w:eastAsia="cs-CZ"/>
            </w:rPr>
          </w:pPr>
          <w:hyperlink w:anchor="_Toc101957891" w:history="1">
            <w:r w:rsidR="00CC6466" w:rsidRPr="004E1571">
              <w:rPr>
                <w:rStyle w:val="Hypertextovodkaz"/>
                <w:noProof/>
              </w:rPr>
              <w:t>Oblast č. 3: Přístupnost informací a služeb veřejné správy</w:t>
            </w:r>
            <w:r w:rsidR="00CC6466">
              <w:rPr>
                <w:noProof/>
                <w:webHidden/>
              </w:rPr>
              <w:tab/>
            </w:r>
            <w:r w:rsidR="00CC6466">
              <w:rPr>
                <w:noProof/>
                <w:webHidden/>
              </w:rPr>
              <w:fldChar w:fldCharType="begin"/>
            </w:r>
            <w:r w:rsidR="00CC6466">
              <w:rPr>
                <w:noProof/>
                <w:webHidden/>
              </w:rPr>
              <w:instrText xml:space="preserve"> PAGEREF _Toc101957891 \h </w:instrText>
            </w:r>
            <w:r w:rsidR="00CC6466">
              <w:rPr>
                <w:noProof/>
                <w:webHidden/>
              </w:rPr>
            </w:r>
            <w:r w:rsidR="00CC6466">
              <w:rPr>
                <w:noProof/>
                <w:webHidden/>
              </w:rPr>
              <w:fldChar w:fldCharType="separate"/>
            </w:r>
            <w:r w:rsidR="003D2E69">
              <w:rPr>
                <w:noProof/>
                <w:webHidden/>
              </w:rPr>
              <w:t>45</w:t>
            </w:r>
            <w:r w:rsidR="00CC6466">
              <w:rPr>
                <w:noProof/>
                <w:webHidden/>
              </w:rPr>
              <w:fldChar w:fldCharType="end"/>
            </w:r>
          </w:hyperlink>
        </w:p>
        <w:p w14:paraId="3980B341" w14:textId="1FA1F91B" w:rsidR="00CC6466" w:rsidRDefault="007C49CB">
          <w:pPr>
            <w:pStyle w:val="Obsah2"/>
            <w:rPr>
              <w:rFonts w:eastAsiaTheme="minorEastAsia" w:cstheme="minorBidi"/>
              <w:bCs w:val="0"/>
              <w:noProof/>
              <w:sz w:val="22"/>
              <w:szCs w:val="22"/>
              <w:lang w:eastAsia="cs-CZ"/>
            </w:rPr>
          </w:pPr>
          <w:hyperlink w:anchor="_Toc101957892" w:history="1">
            <w:r w:rsidR="00CC6466" w:rsidRPr="004E1571">
              <w:rPr>
                <w:rStyle w:val="Hypertextovodkaz"/>
                <w:noProof/>
              </w:rPr>
              <w:t>Oblast č. 4: Mimořádné události a krizové situace</w:t>
            </w:r>
            <w:r w:rsidR="00CC6466">
              <w:rPr>
                <w:noProof/>
                <w:webHidden/>
              </w:rPr>
              <w:tab/>
            </w:r>
            <w:r w:rsidR="00CC6466">
              <w:rPr>
                <w:noProof/>
                <w:webHidden/>
              </w:rPr>
              <w:fldChar w:fldCharType="begin"/>
            </w:r>
            <w:r w:rsidR="00CC6466">
              <w:rPr>
                <w:noProof/>
                <w:webHidden/>
              </w:rPr>
              <w:instrText xml:space="preserve"> PAGEREF _Toc101957892 \h </w:instrText>
            </w:r>
            <w:r w:rsidR="00CC6466">
              <w:rPr>
                <w:noProof/>
                <w:webHidden/>
              </w:rPr>
            </w:r>
            <w:r w:rsidR="00CC6466">
              <w:rPr>
                <w:noProof/>
                <w:webHidden/>
              </w:rPr>
              <w:fldChar w:fldCharType="separate"/>
            </w:r>
            <w:r w:rsidR="003D2E69">
              <w:rPr>
                <w:noProof/>
                <w:webHidden/>
              </w:rPr>
              <w:t>54</w:t>
            </w:r>
            <w:r w:rsidR="00CC6466">
              <w:rPr>
                <w:noProof/>
                <w:webHidden/>
              </w:rPr>
              <w:fldChar w:fldCharType="end"/>
            </w:r>
          </w:hyperlink>
        </w:p>
        <w:p w14:paraId="196990D1" w14:textId="1CE8C759" w:rsidR="00CC6466" w:rsidRDefault="007C49CB">
          <w:pPr>
            <w:pStyle w:val="Obsah2"/>
            <w:rPr>
              <w:rFonts w:eastAsiaTheme="minorEastAsia" w:cstheme="minorBidi"/>
              <w:bCs w:val="0"/>
              <w:noProof/>
              <w:sz w:val="22"/>
              <w:szCs w:val="22"/>
              <w:lang w:eastAsia="cs-CZ"/>
            </w:rPr>
          </w:pPr>
          <w:hyperlink w:anchor="_Toc101957893" w:history="1">
            <w:r w:rsidR="00CC6466" w:rsidRPr="004E1571">
              <w:rPr>
                <w:rStyle w:val="Hypertextovodkaz"/>
                <w:noProof/>
              </w:rPr>
              <w:t>Oblast č. 5: Nezávislý život</w:t>
            </w:r>
            <w:r w:rsidR="00CC6466">
              <w:rPr>
                <w:noProof/>
                <w:webHidden/>
              </w:rPr>
              <w:tab/>
            </w:r>
            <w:r w:rsidR="00CC6466">
              <w:rPr>
                <w:noProof/>
                <w:webHidden/>
              </w:rPr>
              <w:fldChar w:fldCharType="begin"/>
            </w:r>
            <w:r w:rsidR="00CC6466">
              <w:rPr>
                <w:noProof/>
                <w:webHidden/>
              </w:rPr>
              <w:instrText xml:space="preserve"> PAGEREF _Toc101957893 \h </w:instrText>
            </w:r>
            <w:r w:rsidR="00CC6466">
              <w:rPr>
                <w:noProof/>
                <w:webHidden/>
              </w:rPr>
            </w:r>
            <w:r w:rsidR="00CC6466">
              <w:rPr>
                <w:noProof/>
                <w:webHidden/>
              </w:rPr>
              <w:fldChar w:fldCharType="separate"/>
            </w:r>
            <w:r w:rsidR="003D2E69">
              <w:rPr>
                <w:noProof/>
                <w:webHidden/>
              </w:rPr>
              <w:t>57</w:t>
            </w:r>
            <w:r w:rsidR="00CC6466">
              <w:rPr>
                <w:noProof/>
                <w:webHidden/>
              </w:rPr>
              <w:fldChar w:fldCharType="end"/>
            </w:r>
          </w:hyperlink>
        </w:p>
        <w:p w14:paraId="01E5715B" w14:textId="13E80A25" w:rsidR="00CC6466" w:rsidRDefault="007C49CB">
          <w:pPr>
            <w:pStyle w:val="Obsah2"/>
            <w:rPr>
              <w:rFonts w:eastAsiaTheme="minorEastAsia" w:cstheme="minorBidi"/>
              <w:bCs w:val="0"/>
              <w:noProof/>
              <w:sz w:val="22"/>
              <w:szCs w:val="22"/>
              <w:lang w:eastAsia="cs-CZ"/>
            </w:rPr>
          </w:pPr>
          <w:hyperlink w:anchor="_Toc101957894" w:history="1">
            <w:r w:rsidR="00CC6466" w:rsidRPr="004E1571">
              <w:rPr>
                <w:rStyle w:val="Hypertextovodkaz"/>
                <w:noProof/>
              </w:rPr>
              <w:t>Oblast č. 6: Rovnost před zákonem a přístup ke spravedlnosti</w:t>
            </w:r>
            <w:r w:rsidR="00CC6466">
              <w:rPr>
                <w:noProof/>
                <w:webHidden/>
              </w:rPr>
              <w:tab/>
            </w:r>
            <w:r w:rsidR="00CC6466">
              <w:rPr>
                <w:noProof/>
                <w:webHidden/>
              </w:rPr>
              <w:fldChar w:fldCharType="begin"/>
            </w:r>
            <w:r w:rsidR="00CC6466">
              <w:rPr>
                <w:noProof/>
                <w:webHidden/>
              </w:rPr>
              <w:instrText xml:space="preserve"> PAGEREF _Toc101957894 \h </w:instrText>
            </w:r>
            <w:r w:rsidR="00CC6466">
              <w:rPr>
                <w:noProof/>
                <w:webHidden/>
              </w:rPr>
            </w:r>
            <w:r w:rsidR="00CC6466">
              <w:rPr>
                <w:noProof/>
                <w:webHidden/>
              </w:rPr>
              <w:fldChar w:fldCharType="separate"/>
            </w:r>
            <w:r w:rsidR="003D2E69">
              <w:rPr>
                <w:noProof/>
                <w:webHidden/>
              </w:rPr>
              <w:t>65</w:t>
            </w:r>
            <w:r w:rsidR="00CC6466">
              <w:rPr>
                <w:noProof/>
                <w:webHidden/>
              </w:rPr>
              <w:fldChar w:fldCharType="end"/>
            </w:r>
          </w:hyperlink>
        </w:p>
        <w:p w14:paraId="5A3A51DA" w14:textId="5F7E2204" w:rsidR="00CC6466" w:rsidRDefault="007C49CB">
          <w:pPr>
            <w:pStyle w:val="Obsah2"/>
            <w:rPr>
              <w:rFonts w:eastAsiaTheme="minorEastAsia" w:cstheme="minorBidi"/>
              <w:bCs w:val="0"/>
              <w:noProof/>
              <w:sz w:val="22"/>
              <w:szCs w:val="22"/>
              <w:lang w:eastAsia="cs-CZ"/>
            </w:rPr>
          </w:pPr>
          <w:hyperlink w:anchor="_Toc101957895" w:history="1">
            <w:r w:rsidR="00CC6466" w:rsidRPr="004E1571">
              <w:rPr>
                <w:rStyle w:val="Hypertextovodkaz"/>
                <w:noProof/>
              </w:rPr>
              <w:t>Oblast č. 7: Život v rodině</w:t>
            </w:r>
            <w:r w:rsidR="00CC6466">
              <w:rPr>
                <w:noProof/>
                <w:webHidden/>
              </w:rPr>
              <w:tab/>
            </w:r>
            <w:r w:rsidR="00CC6466">
              <w:rPr>
                <w:noProof/>
                <w:webHidden/>
              </w:rPr>
              <w:fldChar w:fldCharType="begin"/>
            </w:r>
            <w:r w:rsidR="00CC6466">
              <w:rPr>
                <w:noProof/>
                <w:webHidden/>
              </w:rPr>
              <w:instrText xml:space="preserve"> PAGEREF _Toc101957895 \h </w:instrText>
            </w:r>
            <w:r w:rsidR="00CC6466">
              <w:rPr>
                <w:noProof/>
                <w:webHidden/>
              </w:rPr>
            </w:r>
            <w:r w:rsidR="00CC6466">
              <w:rPr>
                <w:noProof/>
                <w:webHidden/>
              </w:rPr>
              <w:fldChar w:fldCharType="separate"/>
            </w:r>
            <w:r w:rsidR="003D2E69">
              <w:rPr>
                <w:noProof/>
                <w:webHidden/>
              </w:rPr>
              <w:t>67</w:t>
            </w:r>
            <w:r w:rsidR="00CC6466">
              <w:rPr>
                <w:noProof/>
                <w:webHidden/>
              </w:rPr>
              <w:fldChar w:fldCharType="end"/>
            </w:r>
          </w:hyperlink>
        </w:p>
        <w:p w14:paraId="0A62EEF8" w14:textId="7113AAD8" w:rsidR="00CC6466" w:rsidRDefault="007C49CB">
          <w:pPr>
            <w:pStyle w:val="Obsah2"/>
            <w:rPr>
              <w:rFonts w:eastAsiaTheme="minorEastAsia" w:cstheme="minorBidi"/>
              <w:bCs w:val="0"/>
              <w:noProof/>
              <w:sz w:val="22"/>
              <w:szCs w:val="22"/>
              <w:lang w:eastAsia="cs-CZ"/>
            </w:rPr>
          </w:pPr>
          <w:hyperlink w:anchor="_Toc101957896" w:history="1">
            <w:r w:rsidR="00CC6466" w:rsidRPr="004E1571">
              <w:rPr>
                <w:rStyle w:val="Hypertextovodkaz"/>
                <w:noProof/>
              </w:rPr>
              <w:t>Oblast č. 8: Vzdělávání a školství</w:t>
            </w:r>
            <w:r w:rsidR="00CC6466">
              <w:rPr>
                <w:noProof/>
                <w:webHidden/>
              </w:rPr>
              <w:tab/>
            </w:r>
            <w:r w:rsidR="00CC6466">
              <w:rPr>
                <w:noProof/>
                <w:webHidden/>
              </w:rPr>
              <w:fldChar w:fldCharType="begin"/>
            </w:r>
            <w:r w:rsidR="00CC6466">
              <w:rPr>
                <w:noProof/>
                <w:webHidden/>
              </w:rPr>
              <w:instrText xml:space="preserve"> PAGEREF _Toc101957896 \h </w:instrText>
            </w:r>
            <w:r w:rsidR="00CC6466">
              <w:rPr>
                <w:noProof/>
                <w:webHidden/>
              </w:rPr>
            </w:r>
            <w:r w:rsidR="00CC6466">
              <w:rPr>
                <w:noProof/>
                <w:webHidden/>
              </w:rPr>
              <w:fldChar w:fldCharType="separate"/>
            </w:r>
            <w:r w:rsidR="003D2E69">
              <w:rPr>
                <w:noProof/>
                <w:webHidden/>
              </w:rPr>
              <w:t>71</w:t>
            </w:r>
            <w:r w:rsidR="00CC6466">
              <w:rPr>
                <w:noProof/>
                <w:webHidden/>
              </w:rPr>
              <w:fldChar w:fldCharType="end"/>
            </w:r>
          </w:hyperlink>
        </w:p>
        <w:p w14:paraId="10765140" w14:textId="17842E20" w:rsidR="00CC6466" w:rsidRDefault="007C49CB">
          <w:pPr>
            <w:pStyle w:val="Obsah2"/>
            <w:rPr>
              <w:rFonts w:eastAsiaTheme="minorEastAsia" w:cstheme="minorBidi"/>
              <w:bCs w:val="0"/>
              <w:noProof/>
              <w:sz w:val="22"/>
              <w:szCs w:val="22"/>
              <w:lang w:eastAsia="cs-CZ"/>
            </w:rPr>
          </w:pPr>
          <w:hyperlink w:anchor="_Toc101957897" w:history="1">
            <w:r w:rsidR="00CC6466" w:rsidRPr="004E1571">
              <w:rPr>
                <w:rStyle w:val="Hypertextovodkaz"/>
                <w:noProof/>
              </w:rPr>
              <w:t>Oblast č. 9: Zdraví a zdravotní péče</w:t>
            </w:r>
            <w:r w:rsidR="00CC6466">
              <w:rPr>
                <w:noProof/>
                <w:webHidden/>
              </w:rPr>
              <w:tab/>
            </w:r>
            <w:r w:rsidR="00CC6466">
              <w:rPr>
                <w:noProof/>
                <w:webHidden/>
              </w:rPr>
              <w:fldChar w:fldCharType="begin"/>
            </w:r>
            <w:r w:rsidR="00CC6466">
              <w:rPr>
                <w:noProof/>
                <w:webHidden/>
              </w:rPr>
              <w:instrText xml:space="preserve"> PAGEREF _Toc101957897 \h </w:instrText>
            </w:r>
            <w:r w:rsidR="00CC6466">
              <w:rPr>
                <w:noProof/>
                <w:webHidden/>
              </w:rPr>
            </w:r>
            <w:r w:rsidR="00CC6466">
              <w:rPr>
                <w:noProof/>
                <w:webHidden/>
              </w:rPr>
              <w:fldChar w:fldCharType="separate"/>
            </w:r>
            <w:r w:rsidR="003D2E69">
              <w:rPr>
                <w:noProof/>
                <w:webHidden/>
              </w:rPr>
              <w:t>82</w:t>
            </w:r>
            <w:r w:rsidR="00CC6466">
              <w:rPr>
                <w:noProof/>
                <w:webHidden/>
              </w:rPr>
              <w:fldChar w:fldCharType="end"/>
            </w:r>
          </w:hyperlink>
        </w:p>
        <w:p w14:paraId="2617BDB9" w14:textId="6D094AFC" w:rsidR="00CC6466" w:rsidRDefault="007C49CB">
          <w:pPr>
            <w:pStyle w:val="Obsah2"/>
            <w:rPr>
              <w:rFonts w:eastAsiaTheme="minorEastAsia" w:cstheme="minorBidi"/>
              <w:bCs w:val="0"/>
              <w:noProof/>
              <w:sz w:val="22"/>
              <w:szCs w:val="22"/>
              <w:lang w:eastAsia="cs-CZ"/>
            </w:rPr>
          </w:pPr>
          <w:hyperlink w:anchor="_Toc101957898" w:history="1">
            <w:r w:rsidR="00CC6466" w:rsidRPr="004E1571">
              <w:rPr>
                <w:rStyle w:val="Hypertextovodkaz"/>
                <w:noProof/>
              </w:rPr>
              <w:t>Oblast č. 10: Rehabilitace</w:t>
            </w:r>
            <w:r w:rsidR="00CC6466">
              <w:rPr>
                <w:noProof/>
                <w:webHidden/>
              </w:rPr>
              <w:tab/>
            </w:r>
            <w:r w:rsidR="00CC6466">
              <w:rPr>
                <w:noProof/>
                <w:webHidden/>
              </w:rPr>
              <w:fldChar w:fldCharType="begin"/>
            </w:r>
            <w:r w:rsidR="00CC6466">
              <w:rPr>
                <w:noProof/>
                <w:webHidden/>
              </w:rPr>
              <w:instrText xml:space="preserve"> PAGEREF _Toc101957898 \h </w:instrText>
            </w:r>
            <w:r w:rsidR="00CC6466">
              <w:rPr>
                <w:noProof/>
                <w:webHidden/>
              </w:rPr>
            </w:r>
            <w:r w:rsidR="00CC6466">
              <w:rPr>
                <w:noProof/>
                <w:webHidden/>
              </w:rPr>
              <w:fldChar w:fldCharType="separate"/>
            </w:r>
            <w:r w:rsidR="003D2E69">
              <w:rPr>
                <w:noProof/>
                <w:webHidden/>
              </w:rPr>
              <w:t>90</w:t>
            </w:r>
            <w:r w:rsidR="00CC6466">
              <w:rPr>
                <w:noProof/>
                <w:webHidden/>
              </w:rPr>
              <w:fldChar w:fldCharType="end"/>
            </w:r>
          </w:hyperlink>
        </w:p>
        <w:p w14:paraId="77D621E5" w14:textId="14318AC4" w:rsidR="00CC6466" w:rsidRDefault="007C49CB">
          <w:pPr>
            <w:pStyle w:val="Obsah2"/>
            <w:rPr>
              <w:rFonts w:eastAsiaTheme="minorEastAsia" w:cstheme="minorBidi"/>
              <w:bCs w:val="0"/>
              <w:noProof/>
              <w:sz w:val="22"/>
              <w:szCs w:val="22"/>
              <w:lang w:eastAsia="cs-CZ"/>
            </w:rPr>
          </w:pPr>
          <w:hyperlink w:anchor="_Toc101957899" w:history="1">
            <w:r w:rsidR="00CC6466" w:rsidRPr="004E1571">
              <w:rPr>
                <w:rStyle w:val="Hypertextovodkaz"/>
                <w:noProof/>
              </w:rPr>
              <w:t>Oblast č. 11: Zaměstnávání osob se zdravotním postižením</w:t>
            </w:r>
            <w:r w:rsidR="00CC6466">
              <w:rPr>
                <w:noProof/>
                <w:webHidden/>
              </w:rPr>
              <w:tab/>
            </w:r>
            <w:r w:rsidR="00CC6466">
              <w:rPr>
                <w:noProof/>
                <w:webHidden/>
              </w:rPr>
              <w:fldChar w:fldCharType="begin"/>
            </w:r>
            <w:r w:rsidR="00CC6466">
              <w:rPr>
                <w:noProof/>
                <w:webHidden/>
              </w:rPr>
              <w:instrText xml:space="preserve"> PAGEREF _Toc101957899 \h </w:instrText>
            </w:r>
            <w:r w:rsidR="00CC6466">
              <w:rPr>
                <w:noProof/>
                <w:webHidden/>
              </w:rPr>
            </w:r>
            <w:r w:rsidR="00CC6466">
              <w:rPr>
                <w:noProof/>
                <w:webHidden/>
              </w:rPr>
              <w:fldChar w:fldCharType="separate"/>
            </w:r>
            <w:r w:rsidR="003D2E69">
              <w:rPr>
                <w:noProof/>
                <w:webHidden/>
              </w:rPr>
              <w:t>94</w:t>
            </w:r>
            <w:r w:rsidR="00CC6466">
              <w:rPr>
                <w:noProof/>
                <w:webHidden/>
              </w:rPr>
              <w:fldChar w:fldCharType="end"/>
            </w:r>
          </w:hyperlink>
        </w:p>
        <w:p w14:paraId="6CDF372A" w14:textId="4E75C5DE" w:rsidR="00CC6466" w:rsidRDefault="007C49CB">
          <w:pPr>
            <w:pStyle w:val="Obsah2"/>
            <w:rPr>
              <w:rFonts w:eastAsiaTheme="minorEastAsia" w:cstheme="minorBidi"/>
              <w:bCs w:val="0"/>
              <w:noProof/>
              <w:sz w:val="22"/>
              <w:szCs w:val="22"/>
              <w:lang w:eastAsia="cs-CZ"/>
            </w:rPr>
          </w:pPr>
          <w:hyperlink w:anchor="_Toc101957900" w:history="1">
            <w:r w:rsidR="00CC6466" w:rsidRPr="004E1571">
              <w:rPr>
                <w:rStyle w:val="Hypertextovodkaz"/>
                <w:noProof/>
              </w:rPr>
              <w:t xml:space="preserve">Oblast č. 12: Posuzování zdravotního stavu pro jednotlivé subsystémy </w:t>
            </w:r>
            <w:r w:rsidR="00CC6466" w:rsidRPr="004E1571">
              <w:rPr>
                <w:rStyle w:val="Hypertextovodkaz"/>
                <w:rFonts w:cs="Arial"/>
                <w:noProof/>
              </w:rPr>
              <w:t>sociálního zabezpečení</w:t>
            </w:r>
            <w:r w:rsidR="00CC6466">
              <w:rPr>
                <w:noProof/>
                <w:webHidden/>
              </w:rPr>
              <w:tab/>
            </w:r>
            <w:r w:rsidR="00CC6466">
              <w:rPr>
                <w:noProof/>
                <w:webHidden/>
              </w:rPr>
              <w:fldChar w:fldCharType="begin"/>
            </w:r>
            <w:r w:rsidR="00CC6466">
              <w:rPr>
                <w:noProof/>
                <w:webHidden/>
              </w:rPr>
              <w:instrText xml:space="preserve"> PAGEREF _Toc101957900 \h </w:instrText>
            </w:r>
            <w:r w:rsidR="00CC6466">
              <w:rPr>
                <w:noProof/>
                <w:webHidden/>
              </w:rPr>
            </w:r>
            <w:r w:rsidR="00CC6466">
              <w:rPr>
                <w:noProof/>
                <w:webHidden/>
              </w:rPr>
              <w:fldChar w:fldCharType="separate"/>
            </w:r>
            <w:r w:rsidR="003D2E69">
              <w:rPr>
                <w:noProof/>
                <w:webHidden/>
              </w:rPr>
              <w:t>105</w:t>
            </w:r>
            <w:r w:rsidR="00CC6466">
              <w:rPr>
                <w:noProof/>
                <w:webHidden/>
              </w:rPr>
              <w:fldChar w:fldCharType="end"/>
            </w:r>
          </w:hyperlink>
        </w:p>
        <w:p w14:paraId="4A543287" w14:textId="176881DC" w:rsidR="00CC6466" w:rsidRDefault="007C49CB">
          <w:pPr>
            <w:pStyle w:val="Obsah2"/>
            <w:rPr>
              <w:rFonts w:eastAsiaTheme="minorEastAsia" w:cstheme="minorBidi"/>
              <w:bCs w:val="0"/>
              <w:noProof/>
              <w:sz w:val="22"/>
              <w:szCs w:val="22"/>
              <w:lang w:eastAsia="cs-CZ"/>
            </w:rPr>
          </w:pPr>
          <w:hyperlink w:anchor="_Toc101957901" w:history="1">
            <w:r w:rsidR="00CC6466" w:rsidRPr="004E1571">
              <w:rPr>
                <w:rStyle w:val="Hypertextovodkaz"/>
                <w:noProof/>
              </w:rPr>
              <w:t>Oblast č. 13: Pečující osoby</w:t>
            </w:r>
            <w:r w:rsidR="00CC6466">
              <w:rPr>
                <w:noProof/>
                <w:webHidden/>
              </w:rPr>
              <w:tab/>
            </w:r>
            <w:r w:rsidR="00CC6466">
              <w:rPr>
                <w:noProof/>
                <w:webHidden/>
              </w:rPr>
              <w:fldChar w:fldCharType="begin"/>
            </w:r>
            <w:r w:rsidR="00CC6466">
              <w:rPr>
                <w:noProof/>
                <w:webHidden/>
              </w:rPr>
              <w:instrText xml:space="preserve"> PAGEREF _Toc101957901 \h </w:instrText>
            </w:r>
            <w:r w:rsidR="00CC6466">
              <w:rPr>
                <w:noProof/>
                <w:webHidden/>
              </w:rPr>
            </w:r>
            <w:r w:rsidR="00CC6466">
              <w:rPr>
                <w:noProof/>
                <w:webHidden/>
              </w:rPr>
              <w:fldChar w:fldCharType="separate"/>
            </w:r>
            <w:r w:rsidR="003D2E69">
              <w:rPr>
                <w:noProof/>
                <w:webHidden/>
              </w:rPr>
              <w:t>108</w:t>
            </w:r>
            <w:r w:rsidR="00CC6466">
              <w:rPr>
                <w:noProof/>
                <w:webHidden/>
              </w:rPr>
              <w:fldChar w:fldCharType="end"/>
            </w:r>
          </w:hyperlink>
        </w:p>
        <w:p w14:paraId="1B235104" w14:textId="27D0B411" w:rsidR="00CC6466" w:rsidRDefault="007C49CB">
          <w:pPr>
            <w:pStyle w:val="Obsah2"/>
            <w:rPr>
              <w:rFonts w:eastAsiaTheme="minorEastAsia" w:cstheme="minorBidi"/>
              <w:bCs w:val="0"/>
              <w:noProof/>
              <w:sz w:val="22"/>
              <w:szCs w:val="22"/>
              <w:lang w:eastAsia="cs-CZ"/>
            </w:rPr>
          </w:pPr>
          <w:hyperlink w:anchor="_Toc101957902" w:history="1">
            <w:r w:rsidR="00CC6466" w:rsidRPr="004E1571">
              <w:rPr>
                <w:rStyle w:val="Hypertextovodkaz"/>
                <w:noProof/>
              </w:rPr>
              <w:t>Oblast č. 14: Participace osob se zdravotním postižením a jejich organizací na politickém a veřejném životě</w:t>
            </w:r>
            <w:r w:rsidR="00CC6466">
              <w:rPr>
                <w:noProof/>
                <w:webHidden/>
              </w:rPr>
              <w:tab/>
            </w:r>
            <w:r w:rsidR="00CC6466">
              <w:rPr>
                <w:noProof/>
                <w:webHidden/>
              </w:rPr>
              <w:fldChar w:fldCharType="begin"/>
            </w:r>
            <w:r w:rsidR="00CC6466">
              <w:rPr>
                <w:noProof/>
                <w:webHidden/>
              </w:rPr>
              <w:instrText xml:space="preserve"> PAGEREF _Toc101957902 \h </w:instrText>
            </w:r>
            <w:r w:rsidR="00CC6466">
              <w:rPr>
                <w:noProof/>
                <w:webHidden/>
              </w:rPr>
            </w:r>
            <w:r w:rsidR="00CC6466">
              <w:rPr>
                <w:noProof/>
                <w:webHidden/>
              </w:rPr>
              <w:fldChar w:fldCharType="separate"/>
            </w:r>
            <w:r w:rsidR="003D2E69">
              <w:rPr>
                <w:noProof/>
                <w:webHidden/>
              </w:rPr>
              <w:t>109</w:t>
            </w:r>
            <w:r w:rsidR="00CC6466">
              <w:rPr>
                <w:noProof/>
                <w:webHidden/>
              </w:rPr>
              <w:fldChar w:fldCharType="end"/>
            </w:r>
          </w:hyperlink>
        </w:p>
        <w:p w14:paraId="34E7D67A" w14:textId="3F1F6E6B" w:rsidR="00CC6466" w:rsidRDefault="007C49CB">
          <w:pPr>
            <w:pStyle w:val="Obsah2"/>
            <w:rPr>
              <w:rFonts w:eastAsiaTheme="minorEastAsia" w:cstheme="minorBidi"/>
              <w:bCs w:val="0"/>
              <w:noProof/>
              <w:sz w:val="22"/>
              <w:szCs w:val="22"/>
              <w:lang w:eastAsia="cs-CZ"/>
            </w:rPr>
          </w:pPr>
          <w:hyperlink w:anchor="_Toc101957903" w:history="1">
            <w:r w:rsidR="00CC6466" w:rsidRPr="004E1571">
              <w:rPr>
                <w:rStyle w:val="Hypertextovodkaz"/>
                <w:noProof/>
              </w:rPr>
              <w:t>Oblast č. 15: Přístup ke kulturnímu dědictví, účast na kulturním životě a sportovních aktivitách</w:t>
            </w:r>
            <w:r w:rsidR="00CC6466">
              <w:rPr>
                <w:noProof/>
                <w:webHidden/>
              </w:rPr>
              <w:tab/>
            </w:r>
            <w:r w:rsidR="00CC6466">
              <w:rPr>
                <w:noProof/>
                <w:webHidden/>
              </w:rPr>
              <w:fldChar w:fldCharType="begin"/>
            </w:r>
            <w:r w:rsidR="00CC6466">
              <w:rPr>
                <w:noProof/>
                <w:webHidden/>
              </w:rPr>
              <w:instrText xml:space="preserve"> PAGEREF _Toc101957903 \h </w:instrText>
            </w:r>
            <w:r w:rsidR="00CC6466">
              <w:rPr>
                <w:noProof/>
                <w:webHidden/>
              </w:rPr>
            </w:r>
            <w:r w:rsidR="00CC6466">
              <w:rPr>
                <w:noProof/>
                <w:webHidden/>
              </w:rPr>
              <w:fldChar w:fldCharType="separate"/>
            </w:r>
            <w:r w:rsidR="003D2E69">
              <w:rPr>
                <w:noProof/>
                <w:webHidden/>
              </w:rPr>
              <w:t>118</w:t>
            </w:r>
            <w:r w:rsidR="00CC6466">
              <w:rPr>
                <w:noProof/>
                <w:webHidden/>
              </w:rPr>
              <w:fldChar w:fldCharType="end"/>
            </w:r>
          </w:hyperlink>
        </w:p>
        <w:p w14:paraId="3D1BDFDC" w14:textId="2DBB6ED7" w:rsidR="00CC6466" w:rsidRDefault="007C49CB">
          <w:pPr>
            <w:pStyle w:val="Obsah2"/>
            <w:rPr>
              <w:rFonts w:eastAsiaTheme="minorEastAsia" w:cstheme="minorBidi"/>
              <w:bCs w:val="0"/>
              <w:noProof/>
              <w:sz w:val="22"/>
              <w:szCs w:val="22"/>
              <w:lang w:eastAsia="cs-CZ"/>
            </w:rPr>
          </w:pPr>
          <w:hyperlink w:anchor="_Toc101957904" w:history="1">
            <w:r w:rsidR="00CC6466" w:rsidRPr="004E1571">
              <w:rPr>
                <w:rStyle w:val="Hypertextovodkaz"/>
                <w:noProof/>
              </w:rPr>
              <w:t>Oblast č. 16: Statistické údaje</w:t>
            </w:r>
            <w:r w:rsidR="00CC6466">
              <w:rPr>
                <w:noProof/>
                <w:webHidden/>
              </w:rPr>
              <w:tab/>
            </w:r>
            <w:r w:rsidR="00CC6466">
              <w:rPr>
                <w:noProof/>
                <w:webHidden/>
              </w:rPr>
              <w:fldChar w:fldCharType="begin"/>
            </w:r>
            <w:r w:rsidR="00CC6466">
              <w:rPr>
                <w:noProof/>
                <w:webHidden/>
              </w:rPr>
              <w:instrText xml:space="preserve"> PAGEREF _Toc101957904 \h </w:instrText>
            </w:r>
            <w:r w:rsidR="00CC6466">
              <w:rPr>
                <w:noProof/>
                <w:webHidden/>
              </w:rPr>
            </w:r>
            <w:r w:rsidR="00CC6466">
              <w:rPr>
                <w:noProof/>
                <w:webHidden/>
              </w:rPr>
              <w:fldChar w:fldCharType="separate"/>
            </w:r>
            <w:r w:rsidR="003D2E69">
              <w:rPr>
                <w:noProof/>
                <w:webHidden/>
              </w:rPr>
              <w:t>125</w:t>
            </w:r>
            <w:r w:rsidR="00CC6466">
              <w:rPr>
                <w:noProof/>
                <w:webHidden/>
              </w:rPr>
              <w:fldChar w:fldCharType="end"/>
            </w:r>
          </w:hyperlink>
        </w:p>
        <w:p w14:paraId="7167D715" w14:textId="1CAF6025" w:rsidR="00CC6466" w:rsidRDefault="007C49CB">
          <w:pPr>
            <w:pStyle w:val="Obsah2"/>
            <w:rPr>
              <w:rFonts w:eastAsiaTheme="minorEastAsia" w:cstheme="minorBidi"/>
              <w:bCs w:val="0"/>
              <w:noProof/>
              <w:sz w:val="22"/>
              <w:szCs w:val="22"/>
              <w:lang w:eastAsia="cs-CZ"/>
            </w:rPr>
          </w:pPr>
          <w:hyperlink w:anchor="_Toc101957905" w:history="1">
            <w:r w:rsidR="00CC6466" w:rsidRPr="004E1571">
              <w:rPr>
                <w:rStyle w:val="Hypertextovodkaz"/>
                <w:noProof/>
              </w:rPr>
              <w:t>Oblast č. 17: Koordinace a monitorování plnění Národního plánu</w:t>
            </w:r>
            <w:r w:rsidR="00CC6466">
              <w:rPr>
                <w:noProof/>
                <w:webHidden/>
              </w:rPr>
              <w:tab/>
            </w:r>
            <w:r w:rsidR="00CC6466">
              <w:rPr>
                <w:noProof/>
                <w:webHidden/>
              </w:rPr>
              <w:fldChar w:fldCharType="begin"/>
            </w:r>
            <w:r w:rsidR="00CC6466">
              <w:rPr>
                <w:noProof/>
                <w:webHidden/>
              </w:rPr>
              <w:instrText xml:space="preserve"> PAGEREF _Toc101957905 \h </w:instrText>
            </w:r>
            <w:r w:rsidR="00CC6466">
              <w:rPr>
                <w:noProof/>
                <w:webHidden/>
              </w:rPr>
            </w:r>
            <w:r w:rsidR="00CC6466">
              <w:rPr>
                <w:noProof/>
                <w:webHidden/>
              </w:rPr>
              <w:fldChar w:fldCharType="separate"/>
            </w:r>
            <w:r w:rsidR="003D2E69">
              <w:rPr>
                <w:noProof/>
                <w:webHidden/>
              </w:rPr>
              <w:t>125</w:t>
            </w:r>
            <w:r w:rsidR="00CC6466">
              <w:rPr>
                <w:noProof/>
                <w:webHidden/>
              </w:rPr>
              <w:fldChar w:fldCharType="end"/>
            </w:r>
          </w:hyperlink>
        </w:p>
        <w:p w14:paraId="37B32A81" w14:textId="6FB762AA" w:rsidR="00CC6466" w:rsidRDefault="007C49CB">
          <w:pPr>
            <w:pStyle w:val="Obsah1"/>
            <w:rPr>
              <w:rFonts w:asciiTheme="minorHAnsi" w:eastAsiaTheme="minorEastAsia" w:hAnsiTheme="minorHAnsi" w:cstheme="minorBidi"/>
              <w:b w:val="0"/>
              <w:bCs w:val="0"/>
              <w:noProof/>
              <w:szCs w:val="22"/>
              <w:lang w:eastAsia="cs-CZ"/>
            </w:rPr>
          </w:pPr>
          <w:hyperlink w:anchor="_Toc101957906" w:history="1">
            <w:r w:rsidR="00CC6466" w:rsidRPr="004E1571">
              <w:rPr>
                <w:rStyle w:val="Hypertextovodkaz"/>
                <w:noProof/>
                <w14:scene3d>
                  <w14:camera w14:prst="orthographicFront"/>
                  <w14:lightRig w14:rig="threePt" w14:dir="t">
                    <w14:rot w14:lat="0" w14:lon="0" w14:rev="0"/>
                  </w14:lightRig>
                </w14:scene3d>
              </w:rPr>
              <w:t>4</w:t>
            </w:r>
            <w:r w:rsidR="00CC6466">
              <w:rPr>
                <w:rFonts w:asciiTheme="minorHAnsi" w:eastAsiaTheme="minorEastAsia" w:hAnsiTheme="minorHAnsi" w:cstheme="minorBidi"/>
                <w:b w:val="0"/>
                <w:bCs w:val="0"/>
                <w:noProof/>
                <w:szCs w:val="22"/>
                <w:lang w:eastAsia="cs-CZ"/>
              </w:rPr>
              <w:tab/>
            </w:r>
            <w:r w:rsidR="00CC6466" w:rsidRPr="004E1571">
              <w:rPr>
                <w:rStyle w:val="Hypertextovodkaz"/>
                <w:noProof/>
              </w:rPr>
              <w:t>Seznam použitých zkratek</w:t>
            </w:r>
            <w:r w:rsidR="00CC6466">
              <w:rPr>
                <w:noProof/>
                <w:webHidden/>
              </w:rPr>
              <w:tab/>
            </w:r>
            <w:r w:rsidR="00CC6466">
              <w:rPr>
                <w:noProof/>
                <w:webHidden/>
              </w:rPr>
              <w:fldChar w:fldCharType="begin"/>
            </w:r>
            <w:r w:rsidR="00CC6466">
              <w:rPr>
                <w:noProof/>
                <w:webHidden/>
              </w:rPr>
              <w:instrText xml:space="preserve"> PAGEREF _Toc101957906 \h </w:instrText>
            </w:r>
            <w:r w:rsidR="00CC6466">
              <w:rPr>
                <w:noProof/>
                <w:webHidden/>
              </w:rPr>
            </w:r>
            <w:r w:rsidR="00CC6466">
              <w:rPr>
                <w:noProof/>
                <w:webHidden/>
              </w:rPr>
              <w:fldChar w:fldCharType="separate"/>
            </w:r>
            <w:r w:rsidR="003D2E69">
              <w:rPr>
                <w:noProof/>
                <w:webHidden/>
              </w:rPr>
              <w:t>127</w:t>
            </w:r>
            <w:r w:rsidR="00CC6466">
              <w:rPr>
                <w:noProof/>
                <w:webHidden/>
              </w:rPr>
              <w:fldChar w:fldCharType="end"/>
            </w:r>
          </w:hyperlink>
        </w:p>
        <w:p w14:paraId="692CA017" w14:textId="1A1E5D23" w:rsidR="00FA1B46" w:rsidRPr="00B56412" w:rsidRDefault="00784932" w:rsidP="003D3A67">
          <w:pPr>
            <w:pStyle w:val="Obsah1"/>
          </w:pPr>
          <w:r w:rsidRPr="007400C2">
            <w:rPr>
              <w:rFonts w:cs="Arial"/>
              <w:color w:val="000000" w:themeColor="text1"/>
              <w:szCs w:val="22"/>
              <w:highlight w:val="yellow"/>
            </w:rPr>
            <w:fldChar w:fldCharType="end"/>
          </w:r>
        </w:p>
      </w:sdtContent>
    </w:sdt>
    <w:bookmarkStart w:id="1" w:name="_Toc420911841" w:displacedByCustomXml="prev"/>
    <w:bookmarkStart w:id="2" w:name="_Toc420494088" w:displacedByCustomXml="prev"/>
    <w:p w14:paraId="6C423497" w14:textId="7D5D9ACC" w:rsidR="000A4D1A" w:rsidRDefault="000A4D1A" w:rsidP="00292010">
      <w:pPr>
        <w:pStyle w:val="Nadpis1"/>
        <w:sectPr w:rsidR="000A4D1A" w:rsidSect="009A6FAD">
          <w:footerReference w:type="default" r:id="rId9"/>
          <w:headerReference w:type="first" r:id="rId10"/>
          <w:pgSz w:w="11906" w:h="16838"/>
          <w:pgMar w:top="1417" w:right="1417" w:bottom="1417" w:left="1418" w:header="708" w:footer="708" w:gutter="0"/>
          <w:cols w:space="708"/>
          <w:docGrid w:linePitch="360"/>
        </w:sectPr>
      </w:pPr>
    </w:p>
    <w:p w14:paraId="728364F3" w14:textId="54D58426" w:rsidR="00F17E74" w:rsidRPr="00D52FD7" w:rsidRDefault="00F17E74" w:rsidP="00057ED7">
      <w:pPr>
        <w:pStyle w:val="Nadpis1"/>
      </w:pPr>
      <w:bookmarkStart w:id="3" w:name="_Toc38828863"/>
      <w:bookmarkStart w:id="4" w:name="_Toc101957886"/>
      <w:bookmarkEnd w:id="2"/>
      <w:bookmarkEnd w:id="1"/>
      <w:r w:rsidRPr="00057ED7">
        <w:lastRenderedPageBreak/>
        <w:t>Úvod</w:t>
      </w:r>
      <w:bookmarkEnd w:id="3"/>
      <w:bookmarkEnd w:id="4"/>
      <w:r w:rsidRPr="00D52FD7">
        <w:t xml:space="preserve"> </w:t>
      </w:r>
    </w:p>
    <w:p w14:paraId="35C4B663" w14:textId="11361008" w:rsidR="00F17E74" w:rsidRPr="0076540E" w:rsidRDefault="00F17E74" w:rsidP="00155158">
      <w:pPr>
        <w:rPr>
          <w:sz w:val="20"/>
          <w:szCs w:val="20"/>
        </w:rPr>
      </w:pPr>
      <w:r w:rsidRPr="0076540E">
        <w:rPr>
          <w:sz w:val="20"/>
          <w:szCs w:val="20"/>
        </w:rPr>
        <w:t xml:space="preserve">Národní plán podpory rovných příležitostí pro osoby se zdravotním postižením na období 2021–2025 (dále jen „Národní plán“) byl vypracován na základě usnesení vlády </w:t>
      </w:r>
      <w:r w:rsidR="0067082B" w:rsidRPr="0076540E">
        <w:rPr>
          <w:sz w:val="20"/>
          <w:szCs w:val="20"/>
        </w:rPr>
        <w:t xml:space="preserve">České republiky </w:t>
      </w:r>
      <w:r w:rsidRPr="0076540E">
        <w:rPr>
          <w:sz w:val="20"/>
          <w:szCs w:val="20"/>
        </w:rPr>
        <w:t>ze</w:t>
      </w:r>
      <w:r w:rsidR="0067082B" w:rsidRPr="0076540E">
        <w:rPr>
          <w:sz w:val="20"/>
          <w:szCs w:val="20"/>
        </w:rPr>
        <w:t> </w:t>
      </w:r>
      <w:r w:rsidRPr="0076540E">
        <w:rPr>
          <w:sz w:val="20"/>
          <w:szCs w:val="20"/>
        </w:rPr>
        <w:t>dne</w:t>
      </w:r>
      <w:r w:rsidR="0067082B" w:rsidRPr="0076540E">
        <w:rPr>
          <w:sz w:val="20"/>
          <w:szCs w:val="20"/>
        </w:rPr>
        <w:t> </w:t>
      </w:r>
      <w:r w:rsidRPr="0076540E">
        <w:rPr>
          <w:sz w:val="20"/>
          <w:szCs w:val="20"/>
        </w:rPr>
        <w:t>25.</w:t>
      </w:r>
      <w:r w:rsidR="0067082B" w:rsidRPr="0076540E">
        <w:rPr>
          <w:sz w:val="20"/>
          <w:szCs w:val="20"/>
        </w:rPr>
        <w:t> </w:t>
      </w:r>
      <w:r w:rsidRPr="0076540E">
        <w:rPr>
          <w:sz w:val="20"/>
          <w:szCs w:val="20"/>
        </w:rPr>
        <w:t>května</w:t>
      </w:r>
      <w:r w:rsidR="0067082B" w:rsidRPr="0076540E">
        <w:rPr>
          <w:sz w:val="20"/>
          <w:szCs w:val="20"/>
        </w:rPr>
        <w:t> </w:t>
      </w:r>
      <w:r w:rsidRPr="0076540E">
        <w:rPr>
          <w:sz w:val="20"/>
          <w:szCs w:val="20"/>
        </w:rPr>
        <w:t>2015 č. 385, kterým bylo uloženo tento dokument vypracovat a</w:t>
      </w:r>
      <w:r w:rsidR="00CA4864" w:rsidRPr="0076540E">
        <w:rPr>
          <w:sz w:val="20"/>
          <w:szCs w:val="20"/>
        </w:rPr>
        <w:t> </w:t>
      </w:r>
      <w:r w:rsidRPr="0076540E">
        <w:rPr>
          <w:sz w:val="20"/>
          <w:szCs w:val="20"/>
        </w:rPr>
        <w:t xml:space="preserve">předložit jej vládě </w:t>
      </w:r>
      <w:r w:rsidR="0067082B" w:rsidRPr="0076540E">
        <w:rPr>
          <w:sz w:val="20"/>
          <w:szCs w:val="20"/>
        </w:rPr>
        <w:t>ČR</w:t>
      </w:r>
      <w:r w:rsidRPr="0076540E">
        <w:rPr>
          <w:sz w:val="20"/>
          <w:szCs w:val="20"/>
        </w:rPr>
        <w:t xml:space="preserve">. </w:t>
      </w:r>
      <w:r w:rsidR="00475F84">
        <w:rPr>
          <w:sz w:val="20"/>
          <w:szCs w:val="20"/>
        </w:rPr>
        <w:t xml:space="preserve">Vláda ČR tento dokument schválila </w:t>
      </w:r>
      <w:r w:rsidR="00475F84" w:rsidRPr="00A22209">
        <w:rPr>
          <w:sz w:val="20"/>
          <w:szCs w:val="20"/>
        </w:rPr>
        <w:t>svým unesením</w:t>
      </w:r>
      <w:r w:rsidR="00A22209" w:rsidRPr="00A22209">
        <w:rPr>
          <w:sz w:val="20"/>
          <w:szCs w:val="20"/>
        </w:rPr>
        <w:t xml:space="preserve"> ze dne 20. července 2020 č. 761. </w:t>
      </w:r>
      <w:r w:rsidR="004C5557" w:rsidRPr="0076540E">
        <w:rPr>
          <w:sz w:val="20"/>
          <w:szCs w:val="20"/>
        </w:rPr>
        <w:t>Národní plán j</w:t>
      </w:r>
      <w:r w:rsidRPr="0076540E">
        <w:rPr>
          <w:sz w:val="20"/>
          <w:szCs w:val="20"/>
        </w:rPr>
        <w:t xml:space="preserve">e základním strategickým dokumentem, který určuje směřování vládní politiky ČR v oblasti vytváření rovných příležitostí pro osoby se zdravotním postižením. </w:t>
      </w:r>
      <w:r w:rsidR="009C0750" w:rsidRPr="0076540E">
        <w:rPr>
          <w:sz w:val="20"/>
          <w:szCs w:val="20"/>
        </w:rPr>
        <w:t xml:space="preserve">Jeho základním cílem je </w:t>
      </w:r>
      <w:r w:rsidR="009C0750" w:rsidRPr="0076540E">
        <w:rPr>
          <w:rFonts w:cs="Arial"/>
          <w:bCs/>
          <w:sz w:val="20"/>
          <w:szCs w:val="20"/>
        </w:rPr>
        <w:t>pokračovat v prosazování a podpoře integrace osob se zdravotním postižením a prostřednictvím konkrétních opatření naplňovat jednotlivé články Úmluvy o právech osob se zd</w:t>
      </w:r>
      <w:r w:rsidR="00AB03F2">
        <w:rPr>
          <w:rFonts w:cs="Arial"/>
          <w:bCs/>
          <w:sz w:val="20"/>
          <w:szCs w:val="20"/>
        </w:rPr>
        <w:t>ravotním postižením (dále jen „Ú</w:t>
      </w:r>
      <w:r w:rsidR="009C0750" w:rsidRPr="0076540E">
        <w:rPr>
          <w:rFonts w:cs="Arial"/>
          <w:bCs/>
          <w:sz w:val="20"/>
          <w:szCs w:val="20"/>
        </w:rPr>
        <w:t>mluva“).</w:t>
      </w:r>
    </w:p>
    <w:p w14:paraId="6EA36B9D" w14:textId="7DD01AAB" w:rsidR="00DD43C8" w:rsidRPr="0076540E" w:rsidRDefault="00DD43C8" w:rsidP="00155158">
      <w:pPr>
        <w:rPr>
          <w:rFonts w:cs="Arial"/>
          <w:color w:val="000000" w:themeColor="text1"/>
          <w:sz w:val="20"/>
          <w:szCs w:val="20"/>
        </w:rPr>
      </w:pPr>
      <w:r w:rsidRPr="0076540E">
        <w:rPr>
          <w:rFonts w:cs="Arial"/>
          <w:color w:val="000000" w:themeColor="text1"/>
          <w:sz w:val="20"/>
          <w:szCs w:val="20"/>
        </w:rPr>
        <w:t xml:space="preserve">Národní plán </w:t>
      </w:r>
      <w:r w:rsidR="00672B20" w:rsidRPr="0076540E">
        <w:rPr>
          <w:rFonts w:cs="Arial"/>
          <w:color w:val="000000" w:themeColor="text1"/>
          <w:sz w:val="20"/>
          <w:szCs w:val="20"/>
        </w:rPr>
        <w:t>obsahuje</w:t>
      </w:r>
      <w:r w:rsidR="00F03F30" w:rsidRPr="0076540E">
        <w:rPr>
          <w:rFonts w:cs="Arial"/>
          <w:color w:val="000000" w:themeColor="text1"/>
          <w:sz w:val="20"/>
          <w:szCs w:val="20"/>
        </w:rPr>
        <w:t xml:space="preserve"> 17</w:t>
      </w:r>
      <w:r w:rsidR="00672B20" w:rsidRPr="0076540E">
        <w:rPr>
          <w:rFonts w:cs="Arial"/>
          <w:color w:val="000000" w:themeColor="text1"/>
          <w:sz w:val="20"/>
          <w:szCs w:val="20"/>
        </w:rPr>
        <w:t xml:space="preserve"> strategických</w:t>
      </w:r>
      <w:r w:rsidRPr="0076540E">
        <w:rPr>
          <w:rFonts w:cs="Arial"/>
          <w:color w:val="000000" w:themeColor="text1"/>
          <w:sz w:val="20"/>
          <w:szCs w:val="20"/>
        </w:rPr>
        <w:t xml:space="preserve"> oblastí </w:t>
      </w:r>
      <w:r w:rsidR="00162C5A" w:rsidRPr="0076540E">
        <w:rPr>
          <w:rFonts w:cs="Arial"/>
          <w:color w:val="000000" w:themeColor="text1"/>
          <w:sz w:val="20"/>
          <w:szCs w:val="20"/>
        </w:rPr>
        <w:t xml:space="preserve">podpory osob se zdravotním postižením </w:t>
      </w:r>
      <w:r w:rsidRPr="0076540E">
        <w:rPr>
          <w:rFonts w:cs="Arial"/>
          <w:color w:val="000000" w:themeColor="text1"/>
          <w:sz w:val="20"/>
          <w:szCs w:val="20"/>
        </w:rPr>
        <w:t xml:space="preserve">navazujících na vybrané články Úmluvy, jejichž naplňování je pro následující období z hlediska osob se zdravotním postižením nejaktuálnější. </w:t>
      </w:r>
    </w:p>
    <w:p w14:paraId="6CF2A1A5" w14:textId="5317D1B7" w:rsidR="00DF771E" w:rsidRPr="0076540E" w:rsidRDefault="00DD43C8" w:rsidP="00155158">
      <w:pPr>
        <w:rPr>
          <w:rFonts w:cs="Arial"/>
          <w:sz w:val="20"/>
          <w:szCs w:val="20"/>
        </w:rPr>
      </w:pPr>
      <w:r w:rsidRPr="0076540E">
        <w:rPr>
          <w:rFonts w:cs="Arial"/>
          <w:sz w:val="20"/>
          <w:szCs w:val="20"/>
        </w:rPr>
        <w:t>Každá z oblastí Národního plánu obsahuje seznam článků Úmluvy, k jejichž implementaci přispívá, popis a</w:t>
      </w:r>
      <w:r w:rsidR="00613250" w:rsidRPr="0076540E">
        <w:rPr>
          <w:rFonts w:cs="Arial"/>
          <w:sz w:val="20"/>
          <w:szCs w:val="20"/>
        </w:rPr>
        <w:t xml:space="preserve">ktuálního stavu, výčet </w:t>
      </w:r>
      <w:r w:rsidRPr="0076540E">
        <w:rPr>
          <w:rFonts w:cs="Arial"/>
          <w:sz w:val="20"/>
          <w:szCs w:val="20"/>
        </w:rPr>
        <w:t>cílů</w:t>
      </w:r>
      <w:r w:rsidR="00613250" w:rsidRPr="0076540E">
        <w:rPr>
          <w:rFonts w:cs="Arial"/>
          <w:sz w:val="20"/>
          <w:szCs w:val="20"/>
        </w:rPr>
        <w:t>,</w:t>
      </w:r>
      <w:r w:rsidRPr="0076540E">
        <w:rPr>
          <w:rFonts w:cs="Arial"/>
          <w:sz w:val="20"/>
          <w:szCs w:val="20"/>
        </w:rPr>
        <w:t xml:space="preserve"> </w:t>
      </w:r>
      <w:r w:rsidR="00613250" w:rsidRPr="0076540E">
        <w:rPr>
          <w:rFonts w:cs="Arial"/>
          <w:bCs/>
          <w:sz w:val="20"/>
          <w:szCs w:val="20"/>
        </w:rPr>
        <w:t>jichž má být v následujícím období dosaženo, soubor termínovaných a průběžných opatření včetně uvedení resortů, které jsou za jejich plnění odpovědné, a indikátory monitorující jejich plnění.</w:t>
      </w:r>
    </w:p>
    <w:p w14:paraId="33303A24" w14:textId="422192E9" w:rsidR="00DF771E" w:rsidRPr="00B2460E" w:rsidRDefault="00DF771E" w:rsidP="00155158">
      <w:pPr>
        <w:rPr>
          <w:rFonts w:cs="Arial"/>
          <w:sz w:val="20"/>
          <w:szCs w:val="20"/>
          <w:highlight w:val="red"/>
        </w:rPr>
      </w:pPr>
      <w:r w:rsidRPr="0076540E">
        <w:rPr>
          <w:rFonts w:cs="Arial"/>
          <w:bCs/>
          <w:sz w:val="20"/>
          <w:szCs w:val="20"/>
        </w:rPr>
        <w:t>Za pln</w:t>
      </w:r>
      <w:r w:rsidR="00557A35" w:rsidRPr="0076540E">
        <w:rPr>
          <w:rFonts w:cs="Arial"/>
          <w:bCs/>
          <w:sz w:val="20"/>
          <w:szCs w:val="20"/>
        </w:rPr>
        <w:t xml:space="preserve">ění jednotlivých opatření jsou </w:t>
      </w:r>
      <w:r w:rsidR="00EC4631" w:rsidRPr="0076540E">
        <w:rPr>
          <w:rFonts w:cs="Arial"/>
          <w:bCs/>
          <w:sz w:val="20"/>
          <w:szCs w:val="20"/>
        </w:rPr>
        <w:t>zodpovědní</w:t>
      </w:r>
      <w:r w:rsidRPr="0076540E">
        <w:rPr>
          <w:rFonts w:cs="Arial"/>
          <w:bCs/>
          <w:sz w:val="20"/>
          <w:szCs w:val="20"/>
        </w:rPr>
        <w:t xml:space="preserve"> gestoři, případně spolugestoři, kterými jsou jednotlivé resorty, do jejichž kompetence daná problematika náleží. Na někter</w:t>
      </w:r>
      <w:r w:rsidR="00037925" w:rsidRPr="0076540E">
        <w:rPr>
          <w:rFonts w:cs="Arial"/>
          <w:bCs/>
          <w:sz w:val="20"/>
          <w:szCs w:val="20"/>
        </w:rPr>
        <w:t xml:space="preserve">ých opatřeních se podílí i Vládní výbor pro </w:t>
      </w:r>
      <w:r w:rsidR="008F6B8D">
        <w:rPr>
          <w:rFonts w:cs="Arial"/>
          <w:bCs/>
          <w:sz w:val="20"/>
          <w:szCs w:val="20"/>
        </w:rPr>
        <w:t>o</w:t>
      </w:r>
      <w:r w:rsidR="00037925" w:rsidRPr="0076540E">
        <w:rPr>
          <w:rFonts w:cs="Arial"/>
          <w:bCs/>
          <w:sz w:val="20"/>
          <w:szCs w:val="20"/>
        </w:rPr>
        <w:t>soby se zdravotním postižením (dále jen „VVOZP“)</w:t>
      </w:r>
      <w:r w:rsidRPr="0076540E">
        <w:rPr>
          <w:rFonts w:cs="Arial"/>
          <w:bCs/>
          <w:sz w:val="20"/>
          <w:szCs w:val="20"/>
        </w:rPr>
        <w:t>, organizace osob se zdravotní</w:t>
      </w:r>
      <w:r w:rsidR="00FF52E9" w:rsidRPr="0076540E">
        <w:rPr>
          <w:rFonts w:cs="Arial"/>
          <w:bCs/>
          <w:sz w:val="20"/>
          <w:szCs w:val="20"/>
        </w:rPr>
        <w:t xml:space="preserve">m postižením </w:t>
      </w:r>
      <w:r w:rsidRPr="0076540E">
        <w:rPr>
          <w:rFonts w:cs="Arial"/>
          <w:bCs/>
          <w:sz w:val="20"/>
          <w:szCs w:val="20"/>
        </w:rPr>
        <w:t xml:space="preserve">i další zainteresované subjekty. </w:t>
      </w:r>
    </w:p>
    <w:p w14:paraId="1089CA63" w14:textId="14C058B1" w:rsidR="00DE62A6" w:rsidRPr="00D022FE" w:rsidRDefault="00DE62A6" w:rsidP="00DE62A6">
      <w:pPr>
        <w:pStyle w:val="Zkladntext"/>
        <w:rPr>
          <w:rFonts w:ascii="Arial" w:hAnsi="Arial" w:cs="Arial"/>
          <w:sz w:val="20"/>
        </w:rPr>
      </w:pPr>
      <w:r w:rsidRPr="00D022FE">
        <w:rPr>
          <w:rFonts w:ascii="Arial" w:hAnsi="Arial" w:cs="Arial"/>
          <w:sz w:val="20"/>
        </w:rPr>
        <w:t xml:space="preserve">Usnesení vlády ČR, kterým byl Národní plán schválen, ukládá jednou ročně, vždy do 30. června, předložit vládě ČR k projednání zprávu o realizaci jednotlivých opatření Národního plánu za uplynulý kalendářní rok. </w:t>
      </w:r>
    </w:p>
    <w:p w14:paraId="1AFD7891" w14:textId="77777777" w:rsidR="002E474B" w:rsidRDefault="002E474B" w:rsidP="002E474B">
      <w:pPr>
        <w:pStyle w:val="Normlnweb"/>
        <w:spacing w:after="120"/>
        <w:rPr>
          <w:rFonts w:ascii="Arial" w:hAnsi="Arial" w:cs="Arial"/>
          <w:sz w:val="20"/>
        </w:rPr>
      </w:pPr>
      <w:r w:rsidRPr="002E474B">
        <w:rPr>
          <w:rFonts w:ascii="Arial" w:hAnsi="Arial" w:cs="Arial"/>
          <w:sz w:val="20"/>
        </w:rPr>
        <w:t>Pravidla monitorování a vyhodno</w:t>
      </w:r>
      <w:r>
        <w:rPr>
          <w:rFonts w:ascii="Arial" w:hAnsi="Arial" w:cs="Arial"/>
          <w:sz w:val="20"/>
        </w:rPr>
        <w:t xml:space="preserve">cování plnění opatření Národního plánu </w:t>
      </w:r>
      <w:r w:rsidRPr="002E474B">
        <w:rPr>
          <w:rFonts w:ascii="Arial" w:hAnsi="Arial" w:cs="Arial"/>
          <w:sz w:val="20"/>
        </w:rPr>
        <w:t>stanovují závazné postupy k po</w:t>
      </w:r>
      <w:r>
        <w:rPr>
          <w:rFonts w:ascii="Arial" w:hAnsi="Arial" w:cs="Arial"/>
          <w:sz w:val="20"/>
        </w:rPr>
        <w:t>dávání hodnotících zpráv pro res</w:t>
      </w:r>
      <w:r w:rsidRPr="002E474B">
        <w:rPr>
          <w:rFonts w:ascii="Arial" w:hAnsi="Arial" w:cs="Arial"/>
          <w:sz w:val="20"/>
        </w:rPr>
        <w:t>orty a další instituce.</w:t>
      </w:r>
      <w:r>
        <w:rPr>
          <w:rFonts w:ascii="Arial" w:hAnsi="Arial" w:cs="Arial"/>
          <w:sz w:val="20"/>
        </w:rPr>
        <w:t xml:space="preserve"> </w:t>
      </w:r>
    </w:p>
    <w:p w14:paraId="778526FF" w14:textId="3463B2A0" w:rsidR="002E474B" w:rsidRPr="00F05020" w:rsidRDefault="002E474B" w:rsidP="002E474B">
      <w:pPr>
        <w:pStyle w:val="Normlnweb"/>
        <w:spacing w:after="120"/>
        <w:rPr>
          <w:rFonts w:ascii="Arial" w:hAnsi="Arial" w:cs="Arial"/>
          <w:sz w:val="20"/>
        </w:rPr>
      </w:pPr>
      <w:r w:rsidRPr="00F05020">
        <w:rPr>
          <w:rFonts w:ascii="Arial" w:hAnsi="Arial" w:cs="Arial"/>
          <w:sz w:val="20"/>
          <w:szCs w:val="20"/>
        </w:rPr>
        <w:t>Z hodnotících zpráv jednotlivých resortů byla zpracována souhrnná Zpráva o plnění opat</w:t>
      </w:r>
      <w:r w:rsidR="0061437D">
        <w:rPr>
          <w:rFonts w:ascii="Arial" w:hAnsi="Arial" w:cs="Arial"/>
          <w:sz w:val="20"/>
          <w:szCs w:val="20"/>
        </w:rPr>
        <w:t>ření Národního plánu</w:t>
      </w:r>
      <w:r w:rsidR="00214CF2">
        <w:rPr>
          <w:rFonts w:ascii="Arial" w:hAnsi="Arial" w:cs="Arial"/>
          <w:sz w:val="20"/>
          <w:szCs w:val="20"/>
        </w:rPr>
        <w:t xml:space="preserve"> v roce 2023</w:t>
      </w:r>
      <w:r w:rsidRPr="00F05020">
        <w:rPr>
          <w:rFonts w:ascii="Arial" w:hAnsi="Arial" w:cs="Arial"/>
          <w:sz w:val="20"/>
          <w:szCs w:val="20"/>
        </w:rPr>
        <w:t xml:space="preserve">. </w:t>
      </w:r>
      <w:r w:rsidR="00214CF2">
        <w:rPr>
          <w:rFonts w:ascii="Arial" w:hAnsi="Arial" w:cs="Arial"/>
          <w:sz w:val="20"/>
          <w:szCs w:val="20"/>
        </w:rPr>
        <w:t>Jde o třetí</w:t>
      </w:r>
      <w:r w:rsidR="003718D2">
        <w:rPr>
          <w:rFonts w:ascii="Arial" w:hAnsi="Arial" w:cs="Arial"/>
          <w:sz w:val="20"/>
          <w:szCs w:val="20"/>
        </w:rPr>
        <w:t xml:space="preserve"> hodnocený rok </w:t>
      </w:r>
      <w:r>
        <w:rPr>
          <w:rFonts w:ascii="Arial" w:hAnsi="Arial" w:cs="Arial"/>
          <w:sz w:val="20"/>
          <w:szCs w:val="20"/>
        </w:rPr>
        <w:t>tohoto Náro</w:t>
      </w:r>
      <w:r w:rsidR="003954F2">
        <w:rPr>
          <w:rFonts w:ascii="Arial" w:hAnsi="Arial" w:cs="Arial"/>
          <w:sz w:val="20"/>
          <w:szCs w:val="20"/>
        </w:rPr>
        <w:t>d</w:t>
      </w:r>
      <w:r>
        <w:rPr>
          <w:rFonts w:ascii="Arial" w:hAnsi="Arial" w:cs="Arial"/>
          <w:sz w:val="20"/>
          <w:szCs w:val="20"/>
        </w:rPr>
        <w:t xml:space="preserve">ního plánu. </w:t>
      </w:r>
      <w:r w:rsidRPr="00F05020">
        <w:rPr>
          <w:rFonts w:ascii="Arial" w:hAnsi="Arial" w:cs="Arial"/>
          <w:sz w:val="20"/>
          <w:szCs w:val="20"/>
        </w:rPr>
        <w:t xml:space="preserve">Zpráva </w:t>
      </w:r>
      <w:r w:rsidR="003954F2">
        <w:rPr>
          <w:rFonts w:ascii="Arial" w:hAnsi="Arial" w:cs="Arial"/>
          <w:sz w:val="20"/>
          <w:szCs w:val="20"/>
        </w:rPr>
        <w:t xml:space="preserve">je členěna </w:t>
      </w:r>
      <w:r w:rsidRPr="00F05020">
        <w:rPr>
          <w:rFonts w:ascii="Arial" w:hAnsi="Arial" w:cs="Arial"/>
          <w:sz w:val="20"/>
          <w:szCs w:val="20"/>
        </w:rPr>
        <w:t xml:space="preserve">podle jednotlivých strategických oblastí Národního plánu. U každého opatření je proveden souhrn plnění od všech odpovědných resortů a institucí. </w:t>
      </w:r>
    </w:p>
    <w:p w14:paraId="6B5F5BBC" w14:textId="4E94FB0C" w:rsidR="000074CC" w:rsidRDefault="00F05020" w:rsidP="000074CC">
      <w:pPr>
        <w:pStyle w:val="Normlnweb"/>
        <w:spacing w:after="120"/>
        <w:rPr>
          <w:rFonts w:ascii="Arial" w:hAnsi="Arial" w:cs="Arial"/>
          <w:sz w:val="20"/>
          <w:szCs w:val="20"/>
        </w:rPr>
      </w:pPr>
      <w:r w:rsidRPr="00D022FE">
        <w:rPr>
          <w:rFonts w:ascii="Arial" w:hAnsi="Arial" w:cs="Arial"/>
          <w:sz w:val="20"/>
          <w:szCs w:val="20"/>
        </w:rPr>
        <w:t>K informacím res</w:t>
      </w:r>
      <w:r w:rsidR="000074CC" w:rsidRPr="00D022FE">
        <w:rPr>
          <w:rFonts w:ascii="Arial" w:hAnsi="Arial" w:cs="Arial"/>
          <w:sz w:val="20"/>
          <w:szCs w:val="20"/>
        </w:rPr>
        <w:t>ortů a institucí o plnění opatření zaujímá stanovisko sekretar</w:t>
      </w:r>
      <w:r w:rsidR="00D022FE" w:rsidRPr="00D022FE">
        <w:rPr>
          <w:rFonts w:ascii="Arial" w:hAnsi="Arial" w:cs="Arial"/>
          <w:sz w:val="20"/>
          <w:szCs w:val="20"/>
        </w:rPr>
        <w:t>iát VVOZP ve spolupráci s Národní radou osob se zdravotním postižením ČR (dále jen „NRZP ČR“).</w:t>
      </w:r>
    </w:p>
    <w:p w14:paraId="446FD81F" w14:textId="6E20D92B" w:rsidR="00A24B0D" w:rsidRDefault="00A24B0D" w:rsidP="000074CC">
      <w:pPr>
        <w:pStyle w:val="Normlnweb"/>
        <w:spacing w:after="120"/>
        <w:rPr>
          <w:rFonts w:ascii="Arial" w:hAnsi="Arial" w:cs="Arial"/>
          <w:sz w:val="20"/>
          <w:szCs w:val="20"/>
        </w:rPr>
      </w:pPr>
    </w:p>
    <w:p w14:paraId="70E819F7" w14:textId="3F4D9219" w:rsidR="004E5F3C" w:rsidRDefault="004E5F3C">
      <w:pPr>
        <w:spacing w:after="160" w:line="259" w:lineRule="auto"/>
        <w:jc w:val="left"/>
      </w:pPr>
      <w:r>
        <w:br w:type="page"/>
      </w:r>
    </w:p>
    <w:p w14:paraId="7D8C9D93" w14:textId="57ABB3E3" w:rsidR="00C01932" w:rsidRPr="009A685C" w:rsidRDefault="00C01932" w:rsidP="00C01932">
      <w:pPr>
        <w:pStyle w:val="Nadpis1"/>
      </w:pPr>
      <w:bookmarkStart w:id="5" w:name="_Toc101957887"/>
      <w:r w:rsidRPr="009A685C">
        <w:lastRenderedPageBreak/>
        <w:t>Shrnutí</w:t>
      </w:r>
      <w:bookmarkEnd w:id="5"/>
    </w:p>
    <w:p w14:paraId="3ACEB1C8" w14:textId="3B179276" w:rsidR="00324540" w:rsidRDefault="00C22CED" w:rsidP="00324540">
      <w:pPr>
        <w:pStyle w:val="Zkladntext"/>
        <w:rPr>
          <w:rFonts w:ascii="Arial" w:hAnsi="Arial" w:cs="Arial"/>
          <w:sz w:val="20"/>
        </w:rPr>
      </w:pPr>
      <w:r w:rsidRPr="00D66ABB">
        <w:rPr>
          <w:rFonts w:ascii="Arial" w:hAnsi="Arial" w:cs="Arial"/>
          <w:sz w:val="20"/>
        </w:rPr>
        <w:t xml:space="preserve">Ze </w:t>
      </w:r>
      <w:r w:rsidR="00D66ABB" w:rsidRPr="00D66ABB">
        <w:rPr>
          <w:rFonts w:ascii="Arial" w:hAnsi="Arial" w:cs="Arial"/>
          <w:sz w:val="20"/>
        </w:rPr>
        <w:t>128</w:t>
      </w:r>
      <w:r w:rsidR="00324540" w:rsidRPr="00D66ABB">
        <w:rPr>
          <w:rFonts w:ascii="Arial" w:hAnsi="Arial" w:cs="Arial"/>
          <w:sz w:val="20"/>
        </w:rPr>
        <w:t xml:space="preserve"> opatření, která</w:t>
      </w:r>
      <w:r w:rsidR="00324540" w:rsidRPr="009A685C">
        <w:rPr>
          <w:rFonts w:ascii="Arial" w:hAnsi="Arial" w:cs="Arial"/>
          <w:sz w:val="20"/>
        </w:rPr>
        <w:t xml:space="preserve"> se měla plnit průběžně nebo měla </w:t>
      </w:r>
      <w:r w:rsidRPr="009A685C">
        <w:rPr>
          <w:rFonts w:ascii="Arial" w:hAnsi="Arial" w:cs="Arial"/>
          <w:sz w:val="20"/>
        </w:rPr>
        <w:t>být splněna do 31. prosince 202</w:t>
      </w:r>
      <w:r w:rsidR="009A685C" w:rsidRPr="009A685C">
        <w:rPr>
          <w:rFonts w:ascii="Arial" w:hAnsi="Arial" w:cs="Arial"/>
          <w:sz w:val="20"/>
        </w:rPr>
        <w:t>3</w:t>
      </w:r>
      <w:r w:rsidR="00324540" w:rsidRPr="00636469">
        <w:rPr>
          <w:rFonts w:ascii="Arial" w:hAnsi="Arial" w:cs="Arial"/>
          <w:sz w:val="20"/>
        </w:rPr>
        <w:t>, bylo splněno neb</w:t>
      </w:r>
      <w:r w:rsidR="00C23BC9">
        <w:rPr>
          <w:rFonts w:ascii="Arial" w:hAnsi="Arial" w:cs="Arial"/>
          <w:sz w:val="20"/>
        </w:rPr>
        <w:t>o průběžně plněno 102</w:t>
      </w:r>
      <w:r w:rsidRPr="00636469">
        <w:rPr>
          <w:rFonts w:ascii="Arial" w:hAnsi="Arial" w:cs="Arial"/>
          <w:sz w:val="20"/>
        </w:rPr>
        <w:t xml:space="preserve"> opatření. </w:t>
      </w:r>
      <w:r w:rsidR="00324540" w:rsidRPr="00636469">
        <w:rPr>
          <w:rFonts w:ascii="Arial" w:hAnsi="Arial" w:cs="Arial"/>
          <w:sz w:val="20"/>
        </w:rPr>
        <w:t>Nebyl</w:t>
      </w:r>
      <w:r w:rsidRPr="00636469">
        <w:rPr>
          <w:rFonts w:ascii="Arial" w:hAnsi="Arial" w:cs="Arial"/>
          <w:sz w:val="20"/>
        </w:rPr>
        <w:t>o splněno nebo průběžně plněno 2</w:t>
      </w:r>
      <w:r w:rsidR="00C23BC9">
        <w:rPr>
          <w:rFonts w:ascii="Arial" w:hAnsi="Arial" w:cs="Arial"/>
          <w:sz w:val="20"/>
        </w:rPr>
        <w:t>6</w:t>
      </w:r>
      <w:r w:rsidR="00324540" w:rsidRPr="00636469">
        <w:rPr>
          <w:rFonts w:ascii="Arial" w:hAnsi="Arial" w:cs="Arial"/>
          <w:sz w:val="20"/>
        </w:rPr>
        <w:t xml:space="preserve"> opatření.</w:t>
      </w:r>
    </w:p>
    <w:p w14:paraId="450641FF" w14:textId="77777777" w:rsidR="00AE6BB4" w:rsidRPr="00AC12C3" w:rsidRDefault="00AE6BB4" w:rsidP="00AE6BB4">
      <w:pPr>
        <w:rPr>
          <w:rFonts w:cs="Arial"/>
          <w:iCs/>
          <w:sz w:val="20"/>
          <w:szCs w:val="20"/>
        </w:rPr>
      </w:pPr>
      <w:r w:rsidRPr="00AC12C3">
        <w:rPr>
          <w:rFonts w:cs="Arial"/>
          <w:iCs/>
          <w:sz w:val="20"/>
          <w:szCs w:val="20"/>
        </w:rPr>
        <w:t>V roce 2023 byla stejně jako v předchozích obdobích plněna zejména průběžná opatření, u kterých jsou procesy jejich realizace již nastaveny a implementovány. Ostatní opatření vyžadující často systémové změny nebo n</w:t>
      </w:r>
      <w:r>
        <w:rPr>
          <w:rFonts w:cs="Arial"/>
          <w:iCs/>
          <w:sz w:val="20"/>
          <w:szCs w:val="20"/>
        </w:rPr>
        <w:t xml:space="preserve">áročnější způsob realizace plněna </w:t>
      </w:r>
      <w:r w:rsidRPr="00AC12C3">
        <w:rPr>
          <w:rFonts w:cs="Arial"/>
          <w:iCs/>
          <w:sz w:val="20"/>
          <w:szCs w:val="20"/>
        </w:rPr>
        <w:t xml:space="preserve">nebyla či byla plněna </w:t>
      </w:r>
      <w:r>
        <w:rPr>
          <w:rFonts w:cs="Arial"/>
          <w:iCs/>
          <w:sz w:val="20"/>
          <w:szCs w:val="20"/>
        </w:rPr>
        <w:t>pouze částečně</w:t>
      </w:r>
      <w:r w:rsidRPr="00AC12C3">
        <w:rPr>
          <w:rFonts w:cs="Arial"/>
          <w:iCs/>
          <w:sz w:val="20"/>
          <w:szCs w:val="20"/>
        </w:rPr>
        <w:t xml:space="preserve">. </w:t>
      </w:r>
    </w:p>
    <w:p w14:paraId="1C1EAEFA" w14:textId="1D33B629" w:rsidR="00AE6BB4" w:rsidRPr="00404B34" w:rsidRDefault="00AE6BB4" w:rsidP="00AE6BB4">
      <w:pPr>
        <w:rPr>
          <w:sz w:val="20"/>
          <w:szCs w:val="20"/>
        </w:rPr>
      </w:pPr>
      <w:r w:rsidRPr="00404B34">
        <w:rPr>
          <w:rFonts w:cs="Arial"/>
          <w:iCs/>
          <w:sz w:val="20"/>
          <w:szCs w:val="20"/>
        </w:rPr>
        <w:t xml:space="preserve">V rámci průřezových opatření týkajících se vytváření podmínek pro zapojování osob se zdravotním postižením do procesů veřejné správy a veřejného života se zohledněním specifických potřeb dílčích skupin je důležitým cílem především </w:t>
      </w:r>
      <w:r w:rsidRPr="00404B34">
        <w:rPr>
          <w:rFonts w:cs="Arial"/>
          <w:b/>
          <w:iCs/>
          <w:sz w:val="20"/>
          <w:szCs w:val="20"/>
        </w:rPr>
        <w:t>přístupnost informací a služeb veřejné správy</w:t>
      </w:r>
      <w:r w:rsidRPr="00404B34">
        <w:rPr>
          <w:rFonts w:cs="Arial"/>
          <w:iCs/>
          <w:sz w:val="20"/>
          <w:szCs w:val="20"/>
        </w:rPr>
        <w:t>. Jednotlivé resorty proto pokračovaly ve zveřejňování základních informací o jejich činnosti ve formě Easy-to-read na svých internetových stránkách</w:t>
      </w:r>
      <w:r>
        <w:rPr>
          <w:rFonts w:cs="Arial"/>
          <w:iCs/>
          <w:sz w:val="20"/>
          <w:szCs w:val="20"/>
        </w:rPr>
        <w:t xml:space="preserve"> tak</w:t>
      </w:r>
      <w:r w:rsidRPr="00404B34">
        <w:rPr>
          <w:rFonts w:cs="Arial"/>
          <w:iCs/>
          <w:sz w:val="20"/>
          <w:szCs w:val="20"/>
        </w:rPr>
        <w:t xml:space="preserve">, aby byly tyto informace dostupné i pro osoby s omezenou schopností porozumění či pro osoby pokročilejšího věku. Některé resorty však tento úkol </w:t>
      </w:r>
      <w:r>
        <w:rPr>
          <w:rFonts w:cs="Arial"/>
          <w:iCs/>
          <w:sz w:val="20"/>
          <w:szCs w:val="20"/>
        </w:rPr>
        <w:t xml:space="preserve">i přes posun termínu </w:t>
      </w:r>
      <w:r w:rsidRPr="00404B34">
        <w:rPr>
          <w:rFonts w:cs="Arial"/>
          <w:iCs/>
          <w:sz w:val="20"/>
          <w:szCs w:val="20"/>
        </w:rPr>
        <w:t xml:space="preserve">ani nadále </w:t>
      </w:r>
      <w:r w:rsidR="00143AE1" w:rsidRPr="00404B34">
        <w:rPr>
          <w:rFonts w:cs="Arial"/>
          <w:iCs/>
          <w:sz w:val="20"/>
          <w:szCs w:val="20"/>
        </w:rPr>
        <w:t xml:space="preserve">splněný </w:t>
      </w:r>
      <w:r w:rsidRPr="00404B34">
        <w:rPr>
          <w:rFonts w:cs="Arial"/>
          <w:iCs/>
          <w:sz w:val="20"/>
          <w:szCs w:val="20"/>
        </w:rPr>
        <w:t xml:space="preserve">nemají. </w:t>
      </w:r>
    </w:p>
    <w:p w14:paraId="602B7067" w14:textId="4A3DB742" w:rsidR="00AE6BB4" w:rsidRDefault="00AE6BB4" w:rsidP="00AE6BB4">
      <w:pPr>
        <w:rPr>
          <w:rFonts w:cs="Arial"/>
          <w:bCs/>
          <w:iCs/>
          <w:sz w:val="20"/>
          <w:szCs w:val="20"/>
        </w:rPr>
      </w:pPr>
      <w:r>
        <w:rPr>
          <w:rFonts w:cs="Arial"/>
          <w:bCs/>
          <w:iCs/>
          <w:sz w:val="20"/>
          <w:szCs w:val="20"/>
        </w:rPr>
        <w:t>Problematika zdravotního postižení byla v</w:t>
      </w:r>
      <w:r w:rsidRPr="008F6553">
        <w:rPr>
          <w:rFonts w:cs="Arial"/>
          <w:bCs/>
          <w:iCs/>
          <w:sz w:val="20"/>
          <w:szCs w:val="20"/>
        </w:rPr>
        <w:t xml:space="preserve"> roce 2023 </w:t>
      </w:r>
      <w:r>
        <w:rPr>
          <w:rFonts w:cs="Arial"/>
          <w:bCs/>
          <w:iCs/>
          <w:sz w:val="20"/>
          <w:szCs w:val="20"/>
        </w:rPr>
        <w:t xml:space="preserve">zohledňována i v řadě nových strategických dokumentů, </w:t>
      </w:r>
      <w:r w:rsidRPr="008F6553">
        <w:rPr>
          <w:rFonts w:cs="Arial"/>
          <w:bCs/>
          <w:iCs/>
          <w:sz w:val="20"/>
          <w:szCs w:val="20"/>
        </w:rPr>
        <w:t xml:space="preserve">v gesci MMR </w:t>
      </w:r>
      <w:r>
        <w:rPr>
          <w:rFonts w:cs="Arial"/>
          <w:bCs/>
          <w:iCs/>
          <w:sz w:val="20"/>
          <w:szCs w:val="20"/>
        </w:rPr>
        <w:t>byla např. vládou ČR schválena aktualizace Zásad urbánní politiky, které v rámci prioritní oblasti č. 5. kladou důraz na kvalitu a bezbar</w:t>
      </w:r>
      <w:r w:rsidR="00EA4BFA">
        <w:rPr>
          <w:rFonts w:cs="Arial"/>
          <w:bCs/>
          <w:iCs/>
          <w:sz w:val="20"/>
          <w:szCs w:val="20"/>
        </w:rPr>
        <w:t>iérovost občanské vybavenosti a </w:t>
      </w:r>
      <w:r>
        <w:rPr>
          <w:rFonts w:cs="Arial"/>
          <w:bCs/>
          <w:iCs/>
          <w:sz w:val="20"/>
          <w:szCs w:val="20"/>
        </w:rPr>
        <w:t xml:space="preserve">dostupnost veřejných služeb a infrastruktury, </w:t>
      </w:r>
      <w:r w:rsidRPr="008F6553">
        <w:rPr>
          <w:rFonts w:cs="Arial"/>
          <w:bCs/>
          <w:iCs/>
          <w:sz w:val="20"/>
          <w:szCs w:val="20"/>
        </w:rPr>
        <w:t>v prioritní oblasti č. 8</w:t>
      </w:r>
      <w:r>
        <w:rPr>
          <w:rFonts w:cs="Arial"/>
          <w:bCs/>
          <w:iCs/>
          <w:sz w:val="20"/>
          <w:szCs w:val="20"/>
        </w:rPr>
        <w:t xml:space="preserve"> pak na efektivní a udržitelnou městskou mobilitu včetně z</w:t>
      </w:r>
      <w:r w:rsidRPr="008F6553">
        <w:rPr>
          <w:rFonts w:cs="Arial"/>
          <w:bCs/>
          <w:iCs/>
          <w:sz w:val="20"/>
          <w:szCs w:val="20"/>
        </w:rPr>
        <w:t>ajištění bezbariérovosti dopravy a veřejné</w:t>
      </w:r>
      <w:r>
        <w:rPr>
          <w:rFonts w:cs="Arial"/>
          <w:bCs/>
          <w:iCs/>
          <w:sz w:val="20"/>
          <w:szCs w:val="20"/>
        </w:rPr>
        <w:t>ho prostoru.</w:t>
      </w:r>
    </w:p>
    <w:p w14:paraId="7D841979" w14:textId="5F15CAD4" w:rsidR="00AE6BB4" w:rsidRPr="008F3A18" w:rsidRDefault="00AE6BB4" w:rsidP="00AE6BB4">
      <w:pPr>
        <w:rPr>
          <w:sz w:val="20"/>
          <w:szCs w:val="20"/>
        </w:rPr>
      </w:pPr>
      <w:r w:rsidRPr="008A2705">
        <w:rPr>
          <w:rFonts w:cs="Arial"/>
          <w:iCs/>
          <w:sz w:val="20"/>
          <w:szCs w:val="20"/>
        </w:rPr>
        <w:t>Oblasti přístupnosti prostředí zahrnující</w:t>
      </w:r>
      <w:r w:rsidRPr="008A2705">
        <w:rPr>
          <w:rFonts w:cs="Arial"/>
          <w:b/>
          <w:iCs/>
          <w:sz w:val="20"/>
          <w:szCs w:val="20"/>
        </w:rPr>
        <w:t xml:space="preserve"> přístupnost budov, dopravy a pozemních komunikací</w:t>
      </w:r>
      <w:r w:rsidRPr="008A2705">
        <w:rPr>
          <w:rFonts w:cs="Arial"/>
          <w:iCs/>
          <w:sz w:val="20"/>
          <w:szCs w:val="20"/>
        </w:rPr>
        <w:t>, která je jedním ze základních předpokladů samostatného a nezávislého života osob se zdravotním post</w:t>
      </w:r>
      <w:r>
        <w:rPr>
          <w:rFonts w:cs="Arial"/>
          <w:iCs/>
          <w:sz w:val="20"/>
          <w:szCs w:val="20"/>
        </w:rPr>
        <w:t>ižením je promítnuta do řady</w:t>
      </w:r>
      <w:r w:rsidRPr="008A2705">
        <w:rPr>
          <w:rFonts w:cs="Arial"/>
          <w:iCs/>
          <w:sz w:val="20"/>
          <w:szCs w:val="20"/>
        </w:rPr>
        <w:t xml:space="preserve"> opatření Národního plánu, </w:t>
      </w:r>
      <w:r w:rsidRPr="008A2705">
        <w:rPr>
          <w:sz w:val="20"/>
          <w:szCs w:val="20"/>
        </w:rPr>
        <w:t xml:space="preserve">na základě kterých byla </w:t>
      </w:r>
      <w:r>
        <w:rPr>
          <w:sz w:val="20"/>
          <w:szCs w:val="20"/>
        </w:rPr>
        <w:t xml:space="preserve">např. </w:t>
      </w:r>
      <w:r w:rsidRPr="008A2705">
        <w:rPr>
          <w:sz w:val="20"/>
          <w:szCs w:val="20"/>
        </w:rPr>
        <w:t xml:space="preserve">resortům stanovena povinnost vypracovat analýzu </w:t>
      </w:r>
      <w:r w:rsidRPr="00AC7E51">
        <w:rPr>
          <w:rFonts w:cs="Arial"/>
          <w:iCs/>
          <w:sz w:val="20"/>
          <w:szCs w:val="20"/>
        </w:rPr>
        <w:t>přístupnosti všech budov v jejich vlastnictví či pronájmu včetně všech přímo řízených organizací. U tohoto úkolu došlo v minu</w:t>
      </w:r>
      <w:r w:rsidR="00EA4BFA">
        <w:rPr>
          <w:rFonts w:cs="Arial"/>
          <w:iCs/>
          <w:sz w:val="20"/>
          <w:szCs w:val="20"/>
        </w:rPr>
        <w:t>lém období k posunutí termínu a </w:t>
      </w:r>
      <w:r w:rsidRPr="00AC7E51">
        <w:rPr>
          <w:rFonts w:cs="Arial"/>
          <w:iCs/>
          <w:sz w:val="20"/>
          <w:szCs w:val="20"/>
        </w:rPr>
        <w:t xml:space="preserve">v roce </w:t>
      </w:r>
      <w:r>
        <w:rPr>
          <w:rFonts w:cs="Arial"/>
          <w:iCs/>
          <w:sz w:val="20"/>
          <w:szCs w:val="20"/>
        </w:rPr>
        <w:t xml:space="preserve">2023 </w:t>
      </w:r>
      <w:r w:rsidRPr="00AC7E51">
        <w:rPr>
          <w:rFonts w:cs="Arial"/>
          <w:iCs/>
          <w:sz w:val="20"/>
          <w:szCs w:val="20"/>
        </w:rPr>
        <w:t>ho již splnily s výjimkou MPSV všechny resorty. Většina ministerstev v roce 2023 splnila i navazující úkol, a to zveřejnit informace o přístupnosti jednotlivých budov na internetových stránk</w:t>
      </w:r>
      <w:r>
        <w:rPr>
          <w:rFonts w:cs="Arial"/>
          <w:iCs/>
          <w:sz w:val="20"/>
          <w:szCs w:val="20"/>
        </w:rPr>
        <w:t>ách úřadů. N</w:t>
      </w:r>
      <w:r w:rsidRPr="00AC7E51">
        <w:rPr>
          <w:rFonts w:cs="Arial"/>
          <w:iCs/>
          <w:sz w:val="20"/>
          <w:szCs w:val="20"/>
        </w:rPr>
        <w:t xml:space="preserve">ěkteré z nich již na </w:t>
      </w:r>
      <w:r w:rsidRPr="008F3A18">
        <w:rPr>
          <w:rFonts w:cs="Arial"/>
          <w:iCs/>
          <w:sz w:val="20"/>
          <w:szCs w:val="20"/>
        </w:rPr>
        <w:t>základě této analýzy vytvořily i plán zpřístupňování těchto budov, který je posledním ze tří opatření týkající</w:t>
      </w:r>
      <w:r>
        <w:rPr>
          <w:rFonts w:cs="Arial"/>
          <w:iCs/>
          <w:sz w:val="20"/>
          <w:szCs w:val="20"/>
        </w:rPr>
        <w:t>ch</w:t>
      </w:r>
      <w:r w:rsidRPr="008F3A18">
        <w:rPr>
          <w:rFonts w:cs="Arial"/>
          <w:iCs/>
          <w:sz w:val="20"/>
          <w:szCs w:val="20"/>
        </w:rPr>
        <w:t xml:space="preserve"> se tohoto tématu.</w:t>
      </w:r>
    </w:p>
    <w:p w14:paraId="4FD2330A" w14:textId="77777777" w:rsidR="00AE6BB4" w:rsidRPr="00BC6EC4" w:rsidRDefault="00AE6BB4" w:rsidP="00AE6BB4">
      <w:pPr>
        <w:rPr>
          <w:rFonts w:eastAsia="Calibri" w:cs="Arial"/>
          <w:sz w:val="20"/>
          <w:szCs w:val="20"/>
        </w:rPr>
      </w:pPr>
      <w:r w:rsidRPr="008F3A18">
        <w:rPr>
          <w:rFonts w:eastAsia="Calibri" w:cs="Arial"/>
          <w:sz w:val="20"/>
          <w:szCs w:val="20"/>
        </w:rPr>
        <w:t xml:space="preserve">V oblasti přístupnosti </w:t>
      </w:r>
      <w:r w:rsidRPr="008F3A18">
        <w:rPr>
          <w:rFonts w:eastAsia="Calibri" w:cs="Arial"/>
          <w:b/>
          <w:sz w:val="20"/>
          <w:szCs w:val="20"/>
        </w:rPr>
        <w:t>volebního práva</w:t>
      </w:r>
      <w:r w:rsidRPr="008F3A18">
        <w:rPr>
          <w:rFonts w:eastAsia="Calibri" w:cs="Arial"/>
          <w:sz w:val="20"/>
          <w:szCs w:val="20"/>
        </w:rPr>
        <w:t xml:space="preserve"> byly v roce 2023 v souvislosti s volbou prezidenta Okrskové volební komise instruovány k zásadám hlasování formou instruktážního videopořadu, který vytváří Ministerstvo vnitra ve spolupráci s Českým statistickým úřadem. Ministerstvo vnitra pro tyto volby zpracovalo Informaci pro voliče o způsobu hlasování a zajistilo převedení tohoto textu do českého znakového jazyka. Tyto inform</w:t>
      </w:r>
      <w:r>
        <w:rPr>
          <w:rFonts w:eastAsia="Calibri" w:cs="Arial"/>
          <w:sz w:val="20"/>
          <w:szCs w:val="20"/>
        </w:rPr>
        <w:t>ace byly zveřejněny</w:t>
      </w:r>
      <w:r w:rsidRPr="008F3A18">
        <w:rPr>
          <w:rFonts w:eastAsia="Calibri" w:cs="Arial"/>
          <w:sz w:val="20"/>
          <w:szCs w:val="20"/>
        </w:rPr>
        <w:t xml:space="preserve"> také </w:t>
      </w:r>
      <w:r>
        <w:rPr>
          <w:rFonts w:eastAsia="Calibri" w:cs="Arial"/>
          <w:sz w:val="20"/>
          <w:szCs w:val="20"/>
        </w:rPr>
        <w:t>ve</w:t>
      </w:r>
      <w:r w:rsidRPr="008F3A18">
        <w:rPr>
          <w:rFonts w:eastAsia="Calibri" w:cs="Arial"/>
          <w:sz w:val="20"/>
          <w:szCs w:val="20"/>
        </w:rPr>
        <w:t xml:space="preserve"> s</w:t>
      </w:r>
      <w:r>
        <w:rPr>
          <w:rFonts w:eastAsia="Calibri" w:cs="Arial"/>
          <w:sz w:val="20"/>
          <w:szCs w:val="20"/>
        </w:rPr>
        <w:t>rozumitelné podobě</w:t>
      </w:r>
      <w:r w:rsidRPr="008F3A18">
        <w:rPr>
          <w:rFonts w:eastAsia="Calibri" w:cs="Arial"/>
          <w:sz w:val="20"/>
          <w:szCs w:val="20"/>
        </w:rPr>
        <w:t xml:space="preserve"> (Easy-to-read</w:t>
      </w:r>
      <w:r>
        <w:rPr>
          <w:rFonts w:eastAsia="Calibri" w:cs="Arial"/>
          <w:sz w:val="20"/>
          <w:szCs w:val="20"/>
        </w:rPr>
        <w:t>)</w:t>
      </w:r>
      <w:r w:rsidRPr="008F3A18">
        <w:rPr>
          <w:rFonts w:eastAsia="Calibri" w:cs="Arial"/>
          <w:sz w:val="20"/>
          <w:szCs w:val="20"/>
        </w:rPr>
        <w:t>.</w:t>
      </w:r>
      <w:r w:rsidRPr="00453502">
        <w:rPr>
          <w:rFonts w:cs="Arial"/>
          <w:sz w:val="20"/>
          <w:szCs w:val="20"/>
        </w:rPr>
        <w:t xml:space="preserve"> </w:t>
      </w:r>
    </w:p>
    <w:p w14:paraId="4DFCD8AE" w14:textId="77777777" w:rsidR="00AE6BB4" w:rsidRDefault="00AE6BB4" w:rsidP="00AE6BB4">
      <w:pPr>
        <w:rPr>
          <w:rFonts w:cs="Arial"/>
          <w:sz w:val="20"/>
          <w:szCs w:val="20"/>
        </w:rPr>
      </w:pPr>
      <w:r w:rsidRPr="00A15F18">
        <w:rPr>
          <w:rFonts w:cs="Arial"/>
          <w:iCs/>
          <w:sz w:val="20"/>
          <w:szCs w:val="20"/>
        </w:rPr>
        <w:t xml:space="preserve">Další </w:t>
      </w:r>
      <w:r w:rsidRPr="00A15F18">
        <w:rPr>
          <w:rFonts w:cs="Arial"/>
          <w:b/>
          <w:iCs/>
          <w:sz w:val="20"/>
          <w:szCs w:val="20"/>
        </w:rPr>
        <w:t>osvětové a informační aktivity</w:t>
      </w:r>
      <w:r w:rsidRPr="00A15F18">
        <w:rPr>
          <w:rFonts w:cs="Arial"/>
          <w:iCs/>
          <w:sz w:val="20"/>
          <w:szCs w:val="20"/>
        </w:rPr>
        <w:t xml:space="preserve"> byly realizovány nebo podporovány řadou ministerstev, a to zejména prostřednictvím dotačních programů (Ministerstvo zdravotnictví, Ministerstvo kultury a Úřad vlády ČR). </w:t>
      </w:r>
      <w:r w:rsidRPr="00A15F18">
        <w:rPr>
          <w:rFonts w:cs="Arial"/>
          <w:sz w:val="20"/>
          <w:szCs w:val="20"/>
        </w:rPr>
        <w:t xml:space="preserve">V rámci programů k vyrovnávání příležitostí pro osoby se zdravotním postižením byl podpořen vznik řady informačních a osvětových materiálů a aktivit zaměřených na širokou veřejnost, </w:t>
      </w:r>
      <w:r>
        <w:rPr>
          <w:rFonts w:cs="Arial"/>
          <w:sz w:val="20"/>
          <w:szCs w:val="20"/>
        </w:rPr>
        <w:t>podporováno bylo také</w:t>
      </w:r>
      <w:r w:rsidRPr="00A15F18">
        <w:rPr>
          <w:rFonts w:cs="Arial"/>
          <w:sz w:val="20"/>
          <w:szCs w:val="20"/>
        </w:rPr>
        <w:t xml:space="preserve"> zajištění organizačně-adm</w:t>
      </w:r>
      <w:r>
        <w:rPr>
          <w:rFonts w:cs="Arial"/>
          <w:sz w:val="20"/>
          <w:szCs w:val="20"/>
        </w:rPr>
        <w:t>inistrativního servisu, prevence</w:t>
      </w:r>
      <w:r w:rsidRPr="00A15F18">
        <w:rPr>
          <w:rFonts w:cs="Arial"/>
          <w:sz w:val="20"/>
          <w:szCs w:val="20"/>
        </w:rPr>
        <w:t xml:space="preserve"> vzniku zdravotního postižení nebo c</w:t>
      </w:r>
      <w:r>
        <w:rPr>
          <w:rFonts w:cs="Arial"/>
          <w:sz w:val="20"/>
          <w:szCs w:val="20"/>
        </w:rPr>
        <w:t xml:space="preserve">hronického onemocnění či </w:t>
      </w:r>
      <w:r w:rsidRPr="00A15F18">
        <w:rPr>
          <w:rFonts w:cs="Arial"/>
          <w:sz w:val="20"/>
          <w:szCs w:val="20"/>
        </w:rPr>
        <w:t>participace.</w:t>
      </w:r>
    </w:p>
    <w:p w14:paraId="78116113" w14:textId="4A1E0378" w:rsidR="00AE6BB4" w:rsidRPr="002958CD" w:rsidRDefault="00AE6BB4" w:rsidP="00AE6BB4">
      <w:pPr>
        <w:rPr>
          <w:sz w:val="20"/>
          <w:szCs w:val="20"/>
        </w:rPr>
      </w:pPr>
      <w:r w:rsidRPr="00067FD8">
        <w:rPr>
          <w:rFonts w:cs="Arial"/>
          <w:sz w:val="20"/>
          <w:szCs w:val="20"/>
        </w:rPr>
        <w:t>Justič</w:t>
      </w:r>
      <w:r>
        <w:rPr>
          <w:rFonts w:cs="Arial"/>
          <w:sz w:val="20"/>
          <w:szCs w:val="20"/>
        </w:rPr>
        <w:t xml:space="preserve">ní akademie </w:t>
      </w:r>
      <w:r w:rsidRPr="00067FD8">
        <w:rPr>
          <w:rFonts w:cs="Arial"/>
          <w:sz w:val="20"/>
          <w:szCs w:val="20"/>
        </w:rPr>
        <w:t>realizovala v roce 20</w:t>
      </w:r>
      <w:r>
        <w:rPr>
          <w:rFonts w:cs="Arial"/>
          <w:sz w:val="20"/>
          <w:szCs w:val="20"/>
        </w:rPr>
        <w:t>23 školení týkající</w:t>
      </w:r>
      <w:r w:rsidR="00B04E7B">
        <w:rPr>
          <w:rFonts w:cs="Arial"/>
          <w:sz w:val="20"/>
          <w:szCs w:val="20"/>
        </w:rPr>
        <w:t xml:space="preserve"> se</w:t>
      </w:r>
      <w:r>
        <w:rPr>
          <w:sz w:val="20"/>
          <w:szCs w:val="20"/>
        </w:rPr>
        <w:t xml:space="preserve"> role soudců v podpoře rodin s</w:t>
      </w:r>
      <w:r w:rsidRPr="002958CD">
        <w:rPr>
          <w:sz w:val="20"/>
          <w:szCs w:val="20"/>
        </w:rPr>
        <w:t xml:space="preserve"> </w:t>
      </w:r>
      <w:r>
        <w:rPr>
          <w:sz w:val="20"/>
          <w:szCs w:val="20"/>
        </w:rPr>
        <w:t>dítětem se zdravotním postižením</w:t>
      </w:r>
      <w:r w:rsidRPr="002958CD">
        <w:rPr>
          <w:sz w:val="20"/>
          <w:szCs w:val="20"/>
        </w:rPr>
        <w:t xml:space="preserve"> a způsob</w:t>
      </w:r>
      <w:r>
        <w:rPr>
          <w:sz w:val="20"/>
          <w:szCs w:val="20"/>
        </w:rPr>
        <w:t>ů</w:t>
      </w:r>
      <w:r w:rsidRPr="002958CD">
        <w:rPr>
          <w:sz w:val="20"/>
          <w:szCs w:val="20"/>
        </w:rPr>
        <w:t xml:space="preserve"> zohlednění takové okolnosti v různých typech rodinně p</w:t>
      </w:r>
      <w:r>
        <w:rPr>
          <w:sz w:val="20"/>
          <w:szCs w:val="20"/>
        </w:rPr>
        <w:t>rávních řízení včetně specifik</w:t>
      </w:r>
      <w:r w:rsidRPr="002958CD">
        <w:rPr>
          <w:sz w:val="20"/>
          <w:szCs w:val="20"/>
        </w:rPr>
        <w:t xml:space="preserve"> zacházení s</w:t>
      </w:r>
      <w:r>
        <w:rPr>
          <w:sz w:val="20"/>
          <w:szCs w:val="20"/>
        </w:rPr>
        <w:t> rodiči se zdravotním postižením.</w:t>
      </w:r>
    </w:p>
    <w:p w14:paraId="4DC61C40" w14:textId="77777777" w:rsidR="00AE6BB4" w:rsidRPr="00A15F18" w:rsidRDefault="00AE6BB4" w:rsidP="00AE6BB4">
      <w:pPr>
        <w:rPr>
          <w:rFonts w:cs="Arial"/>
          <w:sz w:val="20"/>
          <w:szCs w:val="20"/>
        </w:rPr>
      </w:pPr>
      <w:r w:rsidRPr="000C2B9D">
        <w:rPr>
          <w:rFonts w:cs="Arial"/>
          <w:sz w:val="20"/>
          <w:szCs w:val="20"/>
        </w:rPr>
        <w:t>V oblasti osvětových aktivit týkajících se bezpečnosti uskutečnil Hasičský záchranný sbor ČR v roce 2023</w:t>
      </w:r>
      <w:r>
        <w:rPr>
          <w:rFonts w:cs="Arial"/>
          <w:sz w:val="20"/>
          <w:szCs w:val="20"/>
        </w:rPr>
        <w:t xml:space="preserve"> celkem </w:t>
      </w:r>
      <w:r w:rsidRPr="00C3219A">
        <w:rPr>
          <w:rFonts w:cs="Arial"/>
          <w:sz w:val="20"/>
          <w:szCs w:val="20"/>
        </w:rPr>
        <w:t>40 akcí s celkovou ú</w:t>
      </w:r>
      <w:r>
        <w:rPr>
          <w:rFonts w:cs="Arial"/>
          <w:sz w:val="20"/>
          <w:szCs w:val="20"/>
        </w:rPr>
        <w:t>častí 1.102 osob s různými typy zdravotního postižení, dle kterého byla uzpůsobena i</w:t>
      </w:r>
      <w:r w:rsidRPr="00C3219A">
        <w:rPr>
          <w:rFonts w:cs="Arial"/>
          <w:sz w:val="20"/>
          <w:szCs w:val="20"/>
        </w:rPr>
        <w:t xml:space="preserve"> vzdělávací forma</w:t>
      </w:r>
      <w:r>
        <w:rPr>
          <w:rFonts w:cs="Arial"/>
          <w:sz w:val="20"/>
          <w:szCs w:val="20"/>
        </w:rPr>
        <w:t xml:space="preserve">. </w:t>
      </w:r>
      <w:r w:rsidRPr="00C3219A">
        <w:rPr>
          <w:rFonts w:cs="Arial"/>
          <w:sz w:val="20"/>
          <w:szCs w:val="20"/>
        </w:rPr>
        <w:t>V průběhu roku 2023 se</w:t>
      </w:r>
      <w:r>
        <w:rPr>
          <w:rFonts w:cs="Arial"/>
          <w:sz w:val="20"/>
          <w:szCs w:val="20"/>
        </w:rPr>
        <w:t xml:space="preserve"> HZS ČR začal výrazněji věnovat kromě vzdělávání osob se zrakovým nebo sluchovým postižením </w:t>
      </w:r>
      <w:r w:rsidRPr="00C3219A">
        <w:rPr>
          <w:rFonts w:cs="Arial"/>
          <w:sz w:val="20"/>
          <w:szCs w:val="20"/>
        </w:rPr>
        <w:t xml:space="preserve">také přípravě osob </w:t>
      </w:r>
      <w:r>
        <w:rPr>
          <w:rFonts w:cs="Arial"/>
          <w:sz w:val="20"/>
          <w:szCs w:val="20"/>
        </w:rPr>
        <w:t>s mentálním nebo kombinovaným postižením, aby i tato skupina obyvatel disponovala potřebnými znalostmi a dovednostmi, které jim v případě realizace jejich práva na samostatný a nezávislý život zajistí potřebnou bezpečnost.</w:t>
      </w:r>
    </w:p>
    <w:p w14:paraId="443690F3" w14:textId="6F5D2FE7" w:rsidR="00AE6BB4" w:rsidRPr="00282F28" w:rsidRDefault="00AE6BB4" w:rsidP="00AE6BB4">
      <w:pPr>
        <w:rPr>
          <w:rFonts w:cs="Arial"/>
          <w:sz w:val="20"/>
          <w:szCs w:val="20"/>
          <w:highlight w:val="yellow"/>
        </w:rPr>
      </w:pPr>
      <w:r w:rsidRPr="006F7B96">
        <w:rPr>
          <w:rFonts w:cs="Arial"/>
          <w:iCs/>
          <w:sz w:val="20"/>
          <w:szCs w:val="20"/>
        </w:rPr>
        <w:t>S naplňováním práva na nezávislý a samostatný život je spojeno také právo na </w:t>
      </w:r>
      <w:r w:rsidRPr="006F7B96">
        <w:rPr>
          <w:rFonts w:cs="Arial"/>
          <w:b/>
          <w:iCs/>
          <w:sz w:val="20"/>
          <w:szCs w:val="20"/>
        </w:rPr>
        <w:t>přiměřené sociální zabezpečení</w:t>
      </w:r>
      <w:r w:rsidRPr="006F7B96">
        <w:rPr>
          <w:rFonts w:cs="Arial"/>
          <w:iCs/>
          <w:sz w:val="20"/>
          <w:szCs w:val="20"/>
        </w:rPr>
        <w:t xml:space="preserve"> a poskytování pomoci a podpory zvlášť zranitelným skupinám obyvatel. Ačkoliv se v gesci Ministerstva práce a sociálních věcí nedaří dlouhodobě realizovat</w:t>
      </w:r>
      <w:r>
        <w:rPr>
          <w:rFonts w:cs="Arial"/>
          <w:iCs/>
          <w:sz w:val="20"/>
          <w:szCs w:val="20"/>
        </w:rPr>
        <w:t xml:space="preserve"> řadu</w:t>
      </w:r>
      <w:r w:rsidRPr="006F7B96">
        <w:rPr>
          <w:rFonts w:cs="Arial"/>
          <w:iCs/>
          <w:sz w:val="20"/>
          <w:szCs w:val="20"/>
        </w:rPr>
        <w:t xml:space="preserve"> důležitých opatření,</w:t>
      </w:r>
      <w:r w:rsidRPr="006F7B96">
        <w:rPr>
          <w:rFonts w:cs="Arial"/>
          <w:sz w:val="20"/>
          <w:szCs w:val="20"/>
        </w:rPr>
        <w:t xml:space="preserve"> realizovalo</w:t>
      </w:r>
      <w:r>
        <w:rPr>
          <w:rFonts w:cs="Arial"/>
          <w:sz w:val="20"/>
          <w:szCs w:val="20"/>
        </w:rPr>
        <w:t xml:space="preserve"> MPSV v roce 2023 řadu důležitých aktivit zaměřených na zlepšení sociální ochrany </w:t>
      </w:r>
      <w:r>
        <w:rPr>
          <w:rFonts w:cs="Arial"/>
          <w:sz w:val="20"/>
          <w:szCs w:val="20"/>
        </w:rPr>
        <w:lastRenderedPageBreak/>
        <w:t>a</w:t>
      </w:r>
      <w:r w:rsidR="00D02FCD">
        <w:rPr>
          <w:rFonts w:cs="Arial"/>
          <w:sz w:val="20"/>
          <w:szCs w:val="20"/>
        </w:rPr>
        <w:t> </w:t>
      </w:r>
      <w:r>
        <w:rPr>
          <w:rFonts w:cs="Arial"/>
          <w:sz w:val="20"/>
          <w:szCs w:val="20"/>
        </w:rPr>
        <w:t xml:space="preserve">kvality života osob se zdravotním postižením. </w:t>
      </w:r>
      <w:r>
        <w:rPr>
          <w:rFonts w:cs="Arial"/>
          <w:bCs/>
          <w:sz w:val="20"/>
          <w:szCs w:val="20"/>
        </w:rPr>
        <w:t>Zahájilo např.</w:t>
      </w:r>
      <w:r w:rsidRPr="00534002">
        <w:rPr>
          <w:rFonts w:cs="Arial"/>
          <w:bCs/>
          <w:sz w:val="20"/>
          <w:szCs w:val="20"/>
        </w:rPr>
        <w:t xml:space="preserve"> realizaci projektu Koord</w:t>
      </w:r>
      <w:r>
        <w:rPr>
          <w:rFonts w:cs="Arial"/>
          <w:bCs/>
          <w:sz w:val="20"/>
          <w:szCs w:val="20"/>
        </w:rPr>
        <w:t xml:space="preserve">inace sociální ochrany v praxi - </w:t>
      </w:r>
      <w:r w:rsidRPr="00534002">
        <w:rPr>
          <w:rFonts w:cs="Arial"/>
          <w:bCs/>
          <w:sz w:val="20"/>
          <w:szCs w:val="20"/>
        </w:rPr>
        <w:t>Podpora implementace koordinovaného přístupu v systému poskytování</w:t>
      </w:r>
      <w:r>
        <w:rPr>
          <w:rFonts w:cs="Arial"/>
          <w:bCs/>
          <w:sz w:val="20"/>
          <w:szCs w:val="20"/>
        </w:rPr>
        <w:t xml:space="preserve"> sociální ochrany v ČR</w:t>
      </w:r>
      <w:r w:rsidRPr="00534002">
        <w:rPr>
          <w:rFonts w:cs="Arial"/>
          <w:bCs/>
          <w:sz w:val="20"/>
          <w:szCs w:val="20"/>
        </w:rPr>
        <w:t>, v rámci kterého je poskytována i metodická podpora obcím, které realizují sociální práci v samostatné působnosti</w:t>
      </w:r>
      <w:r>
        <w:rPr>
          <w:rFonts w:cs="Arial"/>
          <w:bCs/>
          <w:sz w:val="20"/>
          <w:szCs w:val="20"/>
        </w:rPr>
        <w:t xml:space="preserve">, či poskytlo </w:t>
      </w:r>
      <w:r>
        <w:rPr>
          <w:rFonts w:cs="Arial"/>
          <w:sz w:val="20"/>
          <w:szCs w:val="20"/>
        </w:rPr>
        <w:t>6 047 příspěv</w:t>
      </w:r>
      <w:r w:rsidRPr="007540D0">
        <w:rPr>
          <w:rFonts w:cs="Arial"/>
          <w:sz w:val="20"/>
          <w:szCs w:val="20"/>
        </w:rPr>
        <w:t>k</w:t>
      </w:r>
      <w:r>
        <w:rPr>
          <w:rFonts w:cs="Arial"/>
          <w:sz w:val="20"/>
          <w:szCs w:val="20"/>
        </w:rPr>
        <w:t>ů</w:t>
      </w:r>
      <w:r w:rsidRPr="007540D0">
        <w:rPr>
          <w:rFonts w:cs="Arial"/>
          <w:sz w:val="20"/>
          <w:szCs w:val="20"/>
        </w:rPr>
        <w:t xml:space="preserve"> na zvláštní </w:t>
      </w:r>
      <w:r>
        <w:rPr>
          <w:rFonts w:cs="Arial"/>
          <w:sz w:val="20"/>
          <w:szCs w:val="20"/>
        </w:rPr>
        <w:t xml:space="preserve">pomůcku </w:t>
      </w:r>
      <w:r w:rsidRPr="007540D0">
        <w:rPr>
          <w:rFonts w:cs="Arial"/>
          <w:sz w:val="20"/>
          <w:szCs w:val="20"/>
        </w:rPr>
        <w:t>v celkové výši 913 547 580 Kč.</w:t>
      </w:r>
    </w:p>
    <w:p w14:paraId="7C63A1FA" w14:textId="77777777" w:rsidR="00AE6BB4" w:rsidRDefault="00AE6BB4" w:rsidP="00AE6BB4">
      <w:pPr>
        <w:rPr>
          <w:rFonts w:cs="Arial"/>
          <w:sz w:val="20"/>
          <w:szCs w:val="20"/>
        </w:rPr>
      </w:pPr>
      <w:r>
        <w:rPr>
          <w:rFonts w:cs="Arial"/>
          <w:sz w:val="20"/>
          <w:szCs w:val="20"/>
        </w:rPr>
        <w:t>Dále se této cílové skupině</w:t>
      </w:r>
      <w:r w:rsidRPr="00DE4979">
        <w:rPr>
          <w:rFonts w:cs="Arial"/>
          <w:sz w:val="20"/>
          <w:szCs w:val="20"/>
        </w:rPr>
        <w:t xml:space="preserve"> věnují</w:t>
      </w:r>
      <w:r>
        <w:rPr>
          <w:rFonts w:cs="Arial"/>
          <w:sz w:val="20"/>
          <w:szCs w:val="20"/>
        </w:rPr>
        <w:t xml:space="preserve"> </w:t>
      </w:r>
      <w:r w:rsidRPr="00DE4979">
        <w:rPr>
          <w:rFonts w:cs="Arial"/>
          <w:sz w:val="20"/>
          <w:szCs w:val="20"/>
        </w:rPr>
        <w:t xml:space="preserve">v oblasti </w:t>
      </w:r>
      <w:r w:rsidRPr="007B7B9D">
        <w:rPr>
          <w:rFonts w:cs="Arial"/>
          <w:b/>
          <w:sz w:val="20"/>
          <w:szCs w:val="20"/>
        </w:rPr>
        <w:t xml:space="preserve">zaměstnávání </w:t>
      </w:r>
      <w:r>
        <w:rPr>
          <w:rFonts w:cs="Arial"/>
          <w:sz w:val="20"/>
          <w:szCs w:val="20"/>
        </w:rPr>
        <w:t>speciální poradci Úřadu práce ČR</w:t>
      </w:r>
      <w:r w:rsidRPr="00DE4979">
        <w:rPr>
          <w:rFonts w:cs="Arial"/>
          <w:sz w:val="20"/>
          <w:szCs w:val="20"/>
        </w:rPr>
        <w:t xml:space="preserve">, kteří v roce 2023 poskytli individuální poradenství </w:t>
      </w:r>
      <w:r>
        <w:rPr>
          <w:rFonts w:cs="Arial"/>
          <w:sz w:val="20"/>
          <w:szCs w:val="20"/>
        </w:rPr>
        <w:t>29 572 klientů se zdravotním postižením</w:t>
      </w:r>
      <w:r w:rsidRPr="00DE4979">
        <w:rPr>
          <w:rFonts w:cs="Arial"/>
          <w:sz w:val="20"/>
          <w:szCs w:val="20"/>
        </w:rPr>
        <w:t xml:space="preserve"> a zabezpečili 1 224 skupinových poradenských akcí, kterých se zúčastnilo 7 650 klientů</w:t>
      </w:r>
      <w:r>
        <w:rPr>
          <w:rFonts w:cs="Arial"/>
          <w:sz w:val="20"/>
          <w:szCs w:val="20"/>
        </w:rPr>
        <w:t>.</w:t>
      </w:r>
    </w:p>
    <w:p w14:paraId="1549DCA6" w14:textId="77777777" w:rsidR="00AE6BB4" w:rsidRDefault="00AE6BB4" w:rsidP="00AE6BB4">
      <w:pPr>
        <w:rPr>
          <w:rFonts w:cs="Arial"/>
          <w:color w:val="000000" w:themeColor="text1"/>
          <w:sz w:val="20"/>
          <w:szCs w:val="20"/>
        </w:rPr>
      </w:pPr>
      <w:r w:rsidRPr="004E225A">
        <w:rPr>
          <w:rFonts w:cs="Arial"/>
          <w:color w:val="000000" w:themeColor="text1"/>
          <w:sz w:val="20"/>
          <w:szCs w:val="20"/>
        </w:rPr>
        <w:t>V roce 2023 by</w:t>
      </w:r>
      <w:r>
        <w:rPr>
          <w:rFonts w:cs="Arial"/>
          <w:color w:val="000000" w:themeColor="text1"/>
          <w:sz w:val="20"/>
          <w:szCs w:val="20"/>
        </w:rPr>
        <w:t xml:space="preserve">la zahájena také realizace projektu </w:t>
      </w:r>
      <w:r w:rsidRPr="004E225A">
        <w:rPr>
          <w:rFonts w:cs="Arial"/>
          <w:color w:val="000000" w:themeColor="text1"/>
          <w:sz w:val="20"/>
          <w:szCs w:val="20"/>
        </w:rPr>
        <w:t>Podpora plánování rozvoje integrované</w:t>
      </w:r>
      <w:r>
        <w:rPr>
          <w:rFonts w:cs="Arial"/>
          <w:color w:val="000000" w:themeColor="text1"/>
          <w:sz w:val="20"/>
          <w:szCs w:val="20"/>
        </w:rPr>
        <w:t xml:space="preserve"> zdravotní a sociální péče, jehož cílem </w:t>
      </w:r>
      <w:r w:rsidRPr="004E225A">
        <w:rPr>
          <w:rFonts w:cs="Arial"/>
          <w:color w:val="000000" w:themeColor="text1"/>
          <w:sz w:val="20"/>
          <w:szCs w:val="20"/>
        </w:rPr>
        <w:t>je vytvořit doporučený postup pro tvorbu krajských zdravotně sociálních plánů, který bude pilotován ve čtyřech vybraných krajích a následně doporučen k implementaci ve všech krajích České republiky</w:t>
      </w:r>
      <w:r>
        <w:rPr>
          <w:rFonts w:cs="Arial"/>
          <w:color w:val="000000" w:themeColor="text1"/>
          <w:sz w:val="20"/>
          <w:szCs w:val="20"/>
        </w:rPr>
        <w:t>.</w:t>
      </w:r>
    </w:p>
    <w:p w14:paraId="4DA28447" w14:textId="77777777" w:rsidR="00AE6BB4" w:rsidRDefault="00AE6BB4" w:rsidP="00AE6BB4">
      <w:pPr>
        <w:rPr>
          <w:rFonts w:cs="Arial"/>
          <w:sz w:val="20"/>
          <w:szCs w:val="20"/>
        </w:rPr>
      </w:pPr>
      <w:r>
        <w:rPr>
          <w:rFonts w:cs="Arial"/>
          <w:sz w:val="20"/>
          <w:szCs w:val="20"/>
        </w:rPr>
        <w:t xml:space="preserve">Oblast </w:t>
      </w:r>
      <w:r w:rsidRPr="0063654B">
        <w:rPr>
          <w:rFonts w:cs="Arial"/>
          <w:b/>
          <w:sz w:val="20"/>
          <w:szCs w:val="20"/>
        </w:rPr>
        <w:t>zdraví a zdravotní péče</w:t>
      </w:r>
      <w:r>
        <w:rPr>
          <w:rFonts w:cs="Arial"/>
          <w:sz w:val="20"/>
          <w:szCs w:val="20"/>
        </w:rPr>
        <w:t xml:space="preserve"> </w:t>
      </w:r>
      <w:r w:rsidRPr="0063654B">
        <w:rPr>
          <w:rFonts w:cs="Arial"/>
          <w:sz w:val="20"/>
          <w:szCs w:val="20"/>
        </w:rPr>
        <w:t xml:space="preserve">je další důležitou kapitolou Národního plánu. </w:t>
      </w:r>
      <w:r w:rsidRPr="0063654B">
        <w:rPr>
          <w:sz w:val="20"/>
          <w:szCs w:val="20"/>
        </w:rPr>
        <w:t>Ministerstvo zdravotnictví klade dlouhodo</w:t>
      </w:r>
      <w:r>
        <w:rPr>
          <w:sz w:val="20"/>
          <w:szCs w:val="20"/>
        </w:rPr>
        <w:t>bě důraz na zajištění kvalitní</w:t>
      </w:r>
      <w:r w:rsidRPr="0063654B">
        <w:rPr>
          <w:sz w:val="20"/>
          <w:szCs w:val="20"/>
        </w:rPr>
        <w:t xml:space="preserve"> a přístupné péče </w:t>
      </w:r>
      <w:r>
        <w:rPr>
          <w:sz w:val="20"/>
          <w:szCs w:val="20"/>
        </w:rPr>
        <w:t>p</w:t>
      </w:r>
      <w:r w:rsidRPr="0063654B">
        <w:rPr>
          <w:sz w:val="20"/>
          <w:szCs w:val="20"/>
        </w:rPr>
        <w:t xml:space="preserve">ro všechny pacienty. </w:t>
      </w:r>
      <w:r>
        <w:rPr>
          <w:rFonts w:cs="Arial"/>
          <w:color w:val="000000" w:themeColor="text1"/>
          <w:sz w:val="20"/>
          <w:szCs w:val="20"/>
        </w:rPr>
        <w:t>V roce 2023 byl zahájen projekt</w:t>
      </w:r>
      <w:r w:rsidRPr="0063654B">
        <w:rPr>
          <w:rFonts w:cs="Arial"/>
          <w:color w:val="000000" w:themeColor="text1"/>
          <w:sz w:val="20"/>
          <w:szCs w:val="20"/>
        </w:rPr>
        <w:t xml:space="preserve"> Návrh systému komplexní sdílené zdravotně-sociální péče o pacienty se vzácnými onemocněními, který je zaměřen na tvorbu obecných standardů</w:t>
      </w:r>
      <w:r>
        <w:rPr>
          <w:rFonts w:cs="Arial"/>
          <w:color w:val="000000" w:themeColor="text1"/>
          <w:sz w:val="20"/>
          <w:szCs w:val="20"/>
        </w:rPr>
        <w:t xml:space="preserve"> pro systém péče o pacienty s těmito</w:t>
      </w:r>
      <w:r w:rsidRPr="004E225A">
        <w:rPr>
          <w:rFonts w:cs="Arial"/>
          <w:color w:val="000000" w:themeColor="text1"/>
          <w:sz w:val="20"/>
          <w:szCs w:val="20"/>
        </w:rPr>
        <w:t xml:space="preserve"> onemocněními. </w:t>
      </w:r>
      <w:r w:rsidRPr="004E225A">
        <w:rPr>
          <w:rFonts w:cs="Arial"/>
          <w:color w:val="000000" w:themeColor="text1"/>
          <w:sz w:val="20"/>
          <w:szCs w:val="20"/>
          <w:shd w:val="clear" w:color="auto" w:fill="FFFFFF"/>
        </w:rPr>
        <w:t>Plánovaná realizace projektu je od 1. července 2023 do 30. června 2026.</w:t>
      </w:r>
      <w:r>
        <w:rPr>
          <w:rFonts w:cs="Arial"/>
          <w:sz w:val="20"/>
          <w:szCs w:val="20"/>
        </w:rPr>
        <w:t xml:space="preserve"> </w:t>
      </w:r>
    </w:p>
    <w:p w14:paraId="6EB96591" w14:textId="77777777" w:rsidR="00AE6BB4" w:rsidRPr="006F7B96" w:rsidRDefault="00AE6BB4" w:rsidP="00AE6BB4">
      <w:pPr>
        <w:rPr>
          <w:rFonts w:cs="Arial"/>
          <w:sz w:val="20"/>
          <w:szCs w:val="20"/>
        </w:rPr>
      </w:pPr>
      <w:r>
        <w:rPr>
          <w:rFonts w:cs="Arial"/>
          <w:sz w:val="20"/>
          <w:szCs w:val="20"/>
        </w:rPr>
        <w:t xml:space="preserve">MZ také ve spolupráci s Ministerstvem </w:t>
      </w:r>
      <w:r w:rsidRPr="0056265E">
        <w:rPr>
          <w:rFonts w:cs="Arial"/>
          <w:sz w:val="20"/>
          <w:szCs w:val="20"/>
        </w:rPr>
        <w:t>školství, mládeže a tělovýchovy</w:t>
      </w:r>
      <w:r>
        <w:rPr>
          <w:rFonts w:cs="Arial"/>
          <w:sz w:val="20"/>
          <w:szCs w:val="20"/>
        </w:rPr>
        <w:t xml:space="preserve"> vydalo </w:t>
      </w:r>
      <w:r>
        <w:rPr>
          <w:rFonts w:cs="Arial"/>
          <w:color w:val="000000" w:themeColor="text1"/>
          <w:sz w:val="20"/>
          <w:szCs w:val="20"/>
        </w:rPr>
        <w:t>Metodiku</w:t>
      </w:r>
      <w:r w:rsidRPr="00581E9F">
        <w:rPr>
          <w:rFonts w:cs="Arial"/>
          <w:color w:val="000000" w:themeColor="text1"/>
          <w:sz w:val="20"/>
          <w:szCs w:val="20"/>
        </w:rPr>
        <w:t xml:space="preserve"> poskytování dietní stravy v rámci školního st</w:t>
      </w:r>
      <w:r>
        <w:rPr>
          <w:rFonts w:cs="Arial"/>
          <w:color w:val="000000" w:themeColor="text1"/>
          <w:sz w:val="20"/>
          <w:szCs w:val="20"/>
        </w:rPr>
        <w:t>ravování sloužící jako pomůcka</w:t>
      </w:r>
      <w:r w:rsidRPr="00581E9F">
        <w:rPr>
          <w:rFonts w:cs="Arial"/>
          <w:color w:val="000000" w:themeColor="text1"/>
          <w:sz w:val="20"/>
          <w:szCs w:val="20"/>
        </w:rPr>
        <w:t xml:space="preserve"> pro zvládání požadavků na dietní stravování s ohledem na zabránění diskriminace dětí se zdravotním postižením v</w:t>
      </w:r>
      <w:r>
        <w:rPr>
          <w:rFonts w:cs="Arial"/>
          <w:color w:val="000000" w:themeColor="text1"/>
          <w:sz w:val="20"/>
          <w:szCs w:val="20"/>
        </w:rPr>
        <w:t xml:space="preserve"> rámci poskytovaného školního stravování.</w:t>
      </w:r>
    </w:p>
    <w:p w14:paraId="597A5A58" w14:textId="77777777" w:rsidR="00AE6BB4" w:rsidRPr="00C31B0B" w:rsidRDefault="00AE6BB4" w:rsidP="00AE6BB4">
      <w:pPr>
        <w:rPr>
          <w:rFonts w:eastAsia="Calibri" w:cs="Arial"/>
          <w:sz w:val="20"/>
          <w:szCs w:val="20"/>
        </w:rPr>
      </w:pPr>
      <w:r w:rsidRPr="0056265E">
        <w:rPr>
          <w:rFonts w:cs="Arial"/>
          <w:sz w:val="20"/>
          <w:szCs w:val="20"/>
        </w:rPr>
        <w:t xml:space="preserve">V oblasti </w:t>
      </w:r>
      <w:r w:rsidRPr="0056265E">
        <w:rPr>
          <w:rFonts w:cs="Arial"/>
          <w:b/>
          <w:sz w:val="20"/>
          <w:szCs w:val="20"/>
        </w:rPr>
        <w:t>školství a vzdělávání</w:t>
      </w:r>
      <w:r w:rsidRPr="0056265E">
        <w:rPr>
          <w:rFonts w:cs="Arial"/>
          <w:sz w:val="20"/>
          <w:szCs w:val="20"/>
        </w:rPr>
        <w:t xml:space="preserve"> plní</w:t>
      </w:r>
      <w:r w:rsidRPr="0056265E">
        <w:rPr>
          <w:sz w:val="20"/>
          <w:szCs w:val="20"/>
        </w:rPr>
        <w:t xml:space="preserve"> </w:t>
      </w:r>
      <w:r>
        <w:rPr>
          <w:rFonts w:cs="Arial"/>
          <w:sz w:val="20"/>
          <w:szCs w:val="20"/>
        </w:rPr>
        <w:t>MŠMT dále</w:t>
      </w:r>
      <w:r w:rsidRPr="0056265E">
        <w:rPr>
          <w:rFonts w:cs="Arial"/>
          <w:sz w:val="20"/>
          <w:szCs w:val="20"/>
        </w:rPr>
        <w:t xml:space="preserve"> zejména úkoly pr</w:t>
      </w:r>
      <w:r>
        <w:rPr>
          <w:rFonts w:cs="Arial"/>
          <w:sz w:val="20"/>
          <w:szCs w:val="20"/>
        </w:rPr>
        <w:t>ůběžného charakteru týkající se </w:t>
      </w:r>
      <w:r w:rsidRPr="0056265E">
        <w:rPr>
          <w:rFonts w:cs="Arial"/>
          <w:sz w:val="20"/>
          <w:szCs w:val="20"/>
        </w:rPr>
        <w:t xml:space="preserve">zajištění rovného přístupu ke vzdělávání v obecné rovině. V roce 2023 </w:t>
      </w:r>
      <w:r>
        <w:rPr>
          <w:rFonts w:cs="Arial"/>
          <w:sz w:val="20"/>
          <w:szCs w:val="20"/>
        </w:rPr>
        <w:t xml:space="preserve">např. </w:t>
      </w:r>
      <w:r w:rsidRPr="0056265E">
        <w:rPr>
          <w:rFonts w:cs="Arial"/>
          <w:sz w:val="20"/>
          <w:szCs w:val="20"/>
        </w:rPr>
        <w:t>vláda</w:t>
      </w:r>
      <w:r>
        <w:rPr>
          <w:rFonts w:cs="Arial"/>
          <w:sz w:val="20"/>
          <w:szCs w:val="20"/>
        </w:rPr>
        <w:t xml:space="preserve"> ČR</w:t>
      </w:r>
      <w:r w:rsidRPr="0056265E">
        <w:rPr>
          <w:rFonts w:cs="Arial"/>
          <w:sz w:val="20"/>
          <w:szCs w:val="20"/>
        </w:rPr>
        <w:t xml:space="preserve"> schválila Dlouhodobý záměr vzdělávání a rozvoje vzdělávací soustavy ČR 2023-2027, jehož průřezové opatření je věnováno </w:t>
      </w:r>
      <w:r w:rsidRPr="0056265E">
        <w:rPr>
          <w:color w:val="000000"/>
          <w:sz w:val="20"/>
          <w:szCs w:val="20"/>
        </w:rPr>
        <w:t>tématu rovnosti příležitostí ve vzdělávání.</w:t>
      </w:r>
      <w:r w:rsidRPr="0056265E">
        <w:rPr>
          <w:rFonts w:eastAsia="Calibri" w:cs="Arial"/>
          <w:sz w:val="20"/>
          <w:szCs w:val="20"/>
        </w:rPr>
        <w:t xml:space="preserve"> </w:t>
      </w:r>
      <w:r w:rsidRPr="0056265E">
        <w:rPr>
          <w:color w:val="000000"/>
          <w:sz w:val="20"/>
          <w:szCs w:val="20"/>
        </w:rPr>
        <w:t>MŠMT tak pokračuje v zavádění změn podporujících</w:t>
      </w:r>
      <w:r w:rsidRPr="00965F71">
        <w:rPr>
          <w:color w:val="000000"/>
          <w:sz w:val="20"/>
          <w:szCs w:val="20"/>
        </w:rPr>
        <w:t xml:space="preserve"> individualizaci ve vzdělávání prostřednictvím revize rámcových vzdělávacích programů, které umožní diferenciovat výuku dle potřeb žáků, a za</w:t>
      </w:r>
      <w:r>
        <w:rPr>
          <w:color w:val="000000"/>
          <w:sz w:val="20"/>
          <w:szCs w:val="20"/>
        </w:rPr>
        <w:t>jištěním vzdělávání</w:t>
      </w:r>
      <w:r w:rsidRPr="00965F71">
        <w:rPr>
          <w:color w:val="000000"/>
          <w:sz w:val="20"/>
          <w:szCs w:val="20"/>
        </w:rPr>
        <w:t xml:space="preserve"> učitelů. </w:t>
      </w:r>
      <w:r>
        <w:rPr>
          <w:rFonts w:cs="Arial"/>
          <w:sz w:val="20"/>
          <w:szCs w:val="20"/>
        </w:rPr>
        <w:t>Národní pedagogický institut</w:t>
      </w:r>
      <w:r w:rsidRPr="00431FB4">
        <w:rPr>
          <w:rFonts w:cs="Arial"/>
          <w:sz w:val="20"/>
          <w:szCs w:val="20"/>
        </w:rPr>
        <w:t xml:space="preserve"> ČR </w:t>
      </w:r>
      <w:r>
        <w:rPr>
          <w:rFonts w:cs="Arial"/>
          <w:sz w:val="20"/>
          <w:szCs w:val="20"/>
        </w:rPr>
        <w:t xml:space="preserve">se </w:t>
      </w:r>
      <w:r w:rsidRPr="00431FB4">
        <w:rPr>
          <w:rFonts w:cs="Arial"/>
          <w:sz w:val="20"/>
          <w:szCs w:val="20"/>
        </w:rPr>
        <w:t>v roce 2023</w:t>
      </w:r>
      <w:r>
        <w:rPr>
          <w:rFonts w:cs="Arial"/>
          <w:sz w:val="20"/>
          <w:szCs w:val="20"/>
        </w:rPr>
        <w:t xml:space="preserve"> zaměřil na</w:t>
      </w:r>
      <w:r w:rsidRPr="00431FB4">
        <w:rPr>
          <w:rFonts w:cs="Arial"/>
          <w:sz w:val="20"/>
          <w:szCs w:val="20"/>
        </w:rPr>
        <w:t xml:space="preserve"> vzdělávání pedagogů </w:t>
      </w:r>
      <w:r>
        <w:rPr>
          <w:rFonts w:cs="Arial"/>
          <w:sz w:val="20"/>
          <w:szCs w:val="20"/>
        </w:rPr>
        <w:t>a </w:t>
      </w:r>
      <w:r w:rsidRPr="00431FB4">
        <w:rPr>
          <w:rFonts w:cs="Arial"/>
          <w:sz w:val="20"/>
          <w:szCs w:val="20"/>
        </w:rPr>
        <w:t>inkluzivní pojetí práce s pestrou třídou, ve které jsou zapojeni i žác</w:t>
      </w:r>
      <w:r>
        <w:rPr>
          <w:rFonts w:cs="Arial"/>
          <w:sz w:val="20"/>
          <w:szCs w:val="20"/>
        </w:rPr>
        <w:t>i s různými druhy znevýhodnění, a </w:t>
      </w:r>
      <w:r w:rsidRPr="00C31B0B">
        <w:rPr>
          <w:rFonts w:cs="Arial"/>
          <w:sz w:val="20"/>
          <w:szCs w:val="20"/>
        </w:rPr>
        <w:t>související metodické dokumenty zveřejnil na internetových stránkách.</w:t>
      </w:r>
    </w:p>
    <w:p w14:paraId="45E8C6BF" w14:textId="77777777" w:rsidR="00AE6BB4" w:rsidRPr="00C31B0B" w:rsidRDefault="00AE6BB4" w:rsidP="00AE6BB4">
      <w:pPr>
        <w:rPr>
          <w:rFonts w:eastAsia="Calibri" w:cs="Arial"/>
          <w:sz w:val="20"/>
          <w:szCs w:val="20"/>
        </w:rPr>
      </w:pPr>
      <w:r w:rsidRPr="00C31B0B">
        <w:rPr>
          <w:rFonts w:cs="Arial"/>
          <w:sz w:val="20"/>
          <w:szCs w:val="20"/>
        </w:rPr>
        <w:t xml:space="preserve">V oblasti </w:t>
      </w:r>
      <w:r w:rsidRPr="00C31B0B">
        <w:rPr>
          <w:rFonts w:cs="Arial"/>
          <w:b/>
          <w:sz w:val="20"/>
          <w:szCs w:val="20"/>
        </w:rPr>
        <w:t>kultury</w:t>
      </w:r>
      <w:r w:rsidRPr="00C31B0B">
        <w:rPr>
          <w:rFonts w:cs="Arial"/>
          <w:sz w:val="20"/>
          <w:szCs w:val="20"/>
        </w:rPr>
        <w:t xml:space="preserve"> bylo v roce 2023 navázáno na proces odstraňování bariér v kulturních objektech a zpřístupňování kulturních aktivit, kterým se Ministerstvo kultury dl</w:t>
      </w:r>
      <w:r>
        <w:rPr>
          <w:rFonts w:cs="Arial"/>
          <w:sz w:val="20"/>
          <w:szCs w:val="20"/>
        </w:rPr>
        <w:t xml:space="preserve">ouhodobě a systematicky zabývá, a to především v oblasti digitalizace. </w:t>
      </w:r>
      <w:r>
        <w:rPr>
          <w:rFonts w:eastAsia="Calibri" w:cs="Arial"/>
          <w:bCs/>
          <w:sz w:val="20"/>
          <w:szCs w:val="20"/>
        </w:rPr>
        <w:t xml:space="preserve">Národní muzeum, které </w:t>
      </w:r>
      <w:r w:rsidRPr="00250071">
        <w:rPr>
          <w:rFonts w:eastAsia="Calibri" w:cs="Arial"/>
          <w:bCs/>
          <w:sz w:val="20"/>
          <w:szCs w:val="20"/>
        </w:rPr>
        <w:t>provozuje portál s digital</w:t>
      </w:r>
      <w:r>
        <w:rPr>
          <w:rFonts w:eastAsia="Calibri" w:cs="Arial"/>
          <w:bCs/>
          <w:sz w:val="20"/>
          <w:szCs w:val="20"/>
        </w:rPr>
        <w:t>izovaným obsahem eSbírky, zpřístupnilo ke konci roku 2023</w:t>
      </w:r>
      <w:r w:rsidRPr="00250071">
        <w:rPr>
          <w:rFonts w:eastAsia="Calibri" w:cs="Arial"/>
          <w:bCs/>
          <w:sz w:val="20"/>
          <w:szCs w:val="20"/>
        </w:rPr>
        <w:t xml:space="preserve"> téměř 237 000 </w:t>
      </w:r>
      <w:r w:rsidRPr="00C31B0B">
        <w:rPr>
          <w:rFonts w:eastAsia="Calibri" w:cs="Arial"/>
          <w:bCs/>
          <w:sz w:val="20"/>
          <w:szCs w:val="20"/>
        </w:rPr>
        <w:t xml:space="preserve">předmětů z 200 institucí </w:t>
      </w:r>
      <w:r w:rsidRPr="00C31B0B">
        <w:rPr>
          <w:rFonts w:eastAsia="Calibri"/>
          <w:sz w:val="20"/>
          <w:szCs w:val="20"/>
        </w:rPr>
        <w:t xml:space="preserve">a na jeho internetových stránkách </w:t>
      </w:r>
      <w:r w:rsidRPr="00C31B0B">
        <w:rPr>
          <w:rFonts w:eastAsia="Calibri" w:cs="Arial"/>
          <w:sz w:val="20"/>
          <w:szCs w:val="20"/>
        </w:rPr>
        <w:t xml:space="preserve">byl zveřejněn i text o činnosti muzea v souladu s metodikou Easy-to-read. </w:t>
      </w:r>
      <w:r w:rsidRPr="00C31B0B">
        <w:rPr>
          <w:rFonts w:eastAsia="Calibri" w:cs="Arial"/>
          <w:bCs/>
          <w:sz w:val="20"/>
          <w:szCs w:val="20"/>
        </w:rPr>
        <w:t>Moravská galerie v Brně organizovala n</w:t>
      </w:r>
      <w:r w:rsidRPr="00C31B0B">
        <w:rPr>
          <w:rFonts w:eastAsia="Calibri" w:cs="Arial"/>
          <w:sz w:val="20"/>
          <w:szCs w:val="20"/>
        </w:rPr>
        <w:t>a míru potřebám o</w:t>
      </w:r>
      <w:r>
        <w:rPr>
          <w:rFonts w:eastAsia="Calibri" w:cs="Arial"/>
          <w:sz w:val="20"/>
          <w:szCs w:val="20"/>
        </w:rPr>
        <w:t>sob</w:t>
      </w:r>
      <w:r w:rsidRPr="00C31B0B">
        <w:rPr>
          <w:rFonts w:eastAsia="Calibri" w:cs="Arial"/>
          <w:sz w:val="20"/>
          <w:szCs w:val="20"/>
        </w:rPr>
        <w:t xml:space="preserve"> se zrakovým postižením pravidelné programy v souvislosti s unikátní haptickou sbírkou uměleckých děl pro nevidomé.</w:t>
      </w:r>
    </w:p>
    <w:p w14:paraId="0E1D72FE" w14:textId="77777777" w:rsidR="00AE6BB4" w:rsidRDefault="00AE6BB4" w:rsidP="00AE6BB4">
      <w:pPr>
        <w:rPr>
          <w:rFonts w:eastAsia="Calibri"/>
          <w:sz w:val="20"/>
          <w:szCs w:val="20"/>
        </w:rPr>
      </w:pPr>
      <w:r>
        <w:rPr>
          <w:rFonts w:eastAsia="Calibri"/>
          <w:sz w:val="20"/>
          <w:szCs w:val="20"/>
        </w:rPr>
        <w:t xml:space="preserve">Zpřístupňována je kromě muzeí a expozic i celá řada dalších kulturních aktivit. </w:t>
      </w:r>
      <w:r w:rsidRPr="00C31B0B">
        <w:rPr>
          <w:rFonts w:eastAsia="Calibri"/>
          <w:sz w:val="20"/>
          <w:szCs w:val="20"/>
        </w:rPr>
        <w:t xml:space="preserve">Kino Ponrepo, provozované Národním </w:t>
      </w:r>
      <w:r>
        <w:rPr>
          <w:rFonts w:eastAsia="Calibri"/>
          <w:sz w:val="20"/>
          <w:szCs w:val="20"/>
        </w:rPr>
        <w:t>filmovým archivem,</w:t>
      </w:r>
      <w:r w:rsidRPr="00C31B0B">
        <w:rPr>
          <w:rFonts w:eastAsia="Calibri"/>
          <w:sz w:val="20"/>
          <w:szCs w:val="20"/>
        </w:rPr>
        <w:t xml:space="preserve"> </w:t>
      </w:r>
      <w:r>
        <w:rPr>
          <w:rFonts w:eastAsia="Calibri"/>
          <w:sz w:val="20"/>
          <w:szCs w:val="20"/>
        </w:rPr>
        <w:t>např. do programu zařadilo tzv.</w:t>
      </w:r>
      <w:r w:rsidRPr="00456E06">
        <w:rPr>
          <w:rFonts w:eastAsia="Calibri"/>
          <w:sz w:val="20"/>
          <w:szCs w:val="20"/>
        </w:rPr>
        <w:t xml:space="preserve"> relaxované projekce </w:t>
      </w:r>
      <w:r>
        <w:rPr>
          <w:rFonts w:eastAsia="Calibri"/>
          <w:sz w:val="20"/>
          <w:szCs w:val="20"/>
        </w:rPr>
        <w:t xml:space="preserve">s volným režimem </w:t>
      </w:r>
      <w:r w:rsidRPr="00456E06">
        <w:rPr>
          <w:rFonts w:eastAsia="Calibri"/>
          <w:sz w:val="20"/>
          <w:szCs w:val="20"/>
        </w:rPr>
        <w:t>určené pro diváky s mentálním postižení</w:t>
      </w:r>
      <w:r>
        <w:rPr>
          <w:rFonts w:eastAsia="Calibri"/>
          <w:sz w:val="20"/>
          <w:szCs w:val="20"/>
        </w:rPr>
        <w:t>m, autismem či epilepsií.</w:t>
      </w:r>
    </w:p>
    <w:p w14:paraId="65768768" w14:textId="4106D0D3" w:rsidR="00C01932" w:rsidRDefault="00C01932" w:rsidP="00C01932"/>
    <w:p w14:paraId="230E31B6" w14:textId="675850F8" w:rsidR="00C01932" w:rsidRPr="00C01932" w:rsidRDefault="00C01932" w:rsidP="00F41190">
      <w:pPr>
        <w:spacing w:after="160" w:line="259" w:lineRule="auto"/>
        <w:jc w:val="left"/>
      </w:pPr>
      <w:r>
        <w:br w:type="page"/>
      </w:r>
    </w:p>
    <w:p w14:paraId="37806809" w14:textId="72234780" w:rsidR="00057ED7" w:rsidRDefault="00057ED7" w:rsidP="00057ED7">
      <w:pPr>
        <w:pStyle w:val="Nadpis1"/>
      </w:pPr>
      <w:bookmarkStart w:id="6" w:name="_Toc101957888"/>
      <w:bookmarkStart w:id="7" w:name="_Toc38548786"/>
      <w:bookmarkStart w:id="8" w:name="_Toc38828883"/>
      <w:r>
        <w:lastRenderedPageBreak/>
        <w:t>Plnění opatření</w:t>
      </w:r>
      <w:bookmarkEnd w:id="6"/>
    </w:p>
    <w:p w14:paraId="0BBD0F07" w14:textId="01E489A0" w:rsidR="00F17E74" w:rsidRPr="00EC624C" w:rsidRDefault="006B10F5" w:rsidP="00C3667E">
      <w:pPr>
        <w:pStyle w:val="Nadpis2"/>
        <w:numPr>
          <w:ilvl w:val="0"/>
          <w:numId w:val="0"/>
        </w:numPr>
        <w:rPr>
          <w:color w:val="auto"/>
        </w:rPr>
      </w:pPr>
      <w:bookmarkStart w:id="9" w:name="_Toc101957889"/>
      <w:r w:rsidRPr="00EC624C">
        <w:rPr>
          <w:color w:val="auto"/>
        </w:rPr>
        <w:t>Oblast č. 1</w:t>
      </w:r>
      <w:r w:rsidR="0002667F" w:rsidRPr="00EC624C">
        <w:rPr>
          <w:color w:val="auto"/>
        </w:rPr>
        <w:t>:</w:t>
      </w:r>
      <w:r w:rsidR="00375EFE" w:rsidRPr="00EC624C">
        <w:rPr>
          <w:color w:val="auto"/>
        </w:rPr>
        <w:t xml:space="preserve"> </w:t>
      </w:r>
      <w:r w:rsidR="00F17E74" w:rsidRPr="00EC624C">
        <w:rPr>
          <w:color w:val="auto"/>
        </w:rPr>
        <w:t>Obecné závazky a principy</w:t>
      </w:r>
      <w:bookmarkEnd w:id="7"/>
      <w:r w:rsidR="0002667F" w:rsidRPr="00EC624C">
        <w:rPr>
          <w:color w:val="auto"/>
        </w:rPr>
        <w:t xml:space="preserve"> ochrany práv osob se </w:t>
      </w:r>
      <w:r w:rsidR="00F17E74" w:rsidRPr="00EC624C">
        <w:rPr>
          <w:color w:val="auto"/>
        </w:rPr>
        <w:t>zdravotním</w:t>
      </w:r>
      <w:r w:rsidR="0018270E" w:rsidRPr="00EC624C">
        <w:rPr>
          <w:color w:val="auto"/>
        </w:rPr>
        <w:t xml:space="preserve"> </w:t>
      </w:r>
      <w:r w:rsidR="00F17E74" w:rsidRPr="00EC624C">
        <w:rPr>
          <w:color w:val="auto"/>
        </w:rPr>
        <w:t>postižením</w:t>
      </w:r>
      <w:bookmarkEnd w:id="8"/>
      <w:bookmarkEnd w:id="9"/>
      <w:r w:rsidR="00F17E74" w:rsidRPr="00EC624C">
        <w:rPr>
          <w:color w:val="auto"/>
        </w:rPr>
        <w:t xml:space="preserve"> </w:t>
      </w:r>
    </w:p>
    <w:p w14:paraId="62A18C90" w14:textId="2482334D" w:rsidR="00F17E74" w:rsidRPr="00E06A91" w:rsidRDefault="00354BE4" w:rsidP="00E06A91">
      <w:pPr>
        <w:rPr>
          <w:rFonts w:cs="Arial"/>
          <w:sz w:val="20"/>
          <w:szCs w:val="20"/>
        </w:rPr>
      </w:pPr>
      <w:r w:rsidRPr="00E06A91">
        <w:rPr>
          <w:rFonts w:cs="Arial"/>
          <w:sz w:val="20"/>
          <w:szCs w:val="20"/>
        </w:rPr>
        <w:t>Tato oblast je zaměřena na z</w:t>
      </w:r>
      <w:r w:rsidR="00F17E74" w:rsidRPr="00E06A91">
        <w:rPr>
          <w:rFonts w:cs="Arial"/>
          <w:sz w:val="20"/>
          <w:szCs w:val="20"/>
        </w:rPr>
        <w:t xml:space="preserve">ákaz diskriminace </w:t>
      </w:r>
      <w:r w:rsidRPr="00E06A91">
        <w:rPr>
          <w:rFonts w:cs="Arial"/>
          <w:sz w:val="20"/>
          <w:szCs w:val="20"/>
        </w:rPr>
        <w:t>a zásadu</w:t>
      </w:r>
      <w:r w:rsidR="00F17E74" w:rsidRPr="00E06A91">
        <w:rPr>
          <w:rFonts w:cs="Arial"/>
          <w:sz w:val="20"/>
          <w:szCs w:val="20"/>
        </w:rPr>
        <w:t xml:space="preserve"> rovného zacház</w:t>
      </w:r>
      <w:r w:rsidR="00587FA0" w:rsidRPr="00E06A91">
        <w:rPr>
          <w:rFonts w:cs="Arial"/>
          <w:sz w:val="20"/>
          <w:szCs w:val="20"/>
        </w:rPr>
        <w:t>ení</w:t>
      </w:r>
      <w:r w:rsidRPr="00E06A91">
        <w:rPr>
          <w:rFonts w:cs="Arial"/>
          <w:sz w:val="20"/>
          <w:szCs w:val="20"/>
        </w:rPr>
        <w:t xml:space="preserve">. </w:t>
      </w:r>
      <w:r w:rsidR="00F17E74" w:rsidRPr="00E06A91">
        <w:rPr>
          <w:rFonts w:cs="Arial"/>
          <w:sz w:val="20"/>
          <w:szCs w:val="20"/>
        </w:rPr>
        <w:t xml:space="preserve">Zákaz diskriminace se vztahuje na všechny oblasti života a je vyjádřen závazkem přijmout </w:t>
      </w:r>
      <w:r w:rsidR="00582DC5">
        <w:rPr>
          <w:rFonts w:cs="Arial"/>
          <w:sz w:val="20"/>
          <w:szCs w:val="20"/>
        </w:rPr>
        <w:t>legislativní, administrativní a </w:t>
      </w:r>
      <w:r w:rsidR="00F17E74" w:rsidRPr="00E06A91">
        <w:rPr>
          <w:rFonts w:cs="Arial"/>
          <w:sz w:val="20"/>
          <w:szCs w:val="20"/>
        </w:rPr>
        <w:t>další opatření, která zohlední ochranu a podporu lidských práv osob se zdravotním postižením ve</w:t>
      </w:r>
      <w:r w:rsidR="00251C70" w:rsidRPr="00E06A91">
        <w:rPr>
          <w:rFonts w:cs="Arial"/>
          <w:sz w:val="20"/>
          <w:szCs w:val="20"/>
        </w:rPr>
        <w:t> </w:t>
      </w:r>
      <w:r w:rsidR="00F17E74" w:rsidRPr="00E06A91">
        <w:rPr>
          <w:rFonts w:cs="Arial"/>
          <w:sz w:val="20"/>
          <w:szCs w:val="20"/>
        </w:rPr>
        <w:t>všech veřejných politi</w:t>
      </w:r>
      <w:r w:rsidR="00587FA0" w:rsidRPr="00E06A91">
        <w:rPr>
          <w:rFonts w:cs="Arial"/>
          <w:sz w:val="20"/>
          <w:szCs w:val="20"/>
        </w:rPr>
        <w:t>kách a </w:t>
      </w:r>
      <w:r w:rsidR="00F17E74" w:rsidRPr="00E06A91">
        <w:rPr>
          <w:rFonts w:cs="Arial"/>
          <w:sz w:val="20"/>
          <w:szCs w:val="20"/>
        </w:rPr>
        <w:t>programech na</w:t>
      </w:r>
      <w:r w:rsidR="008D277A" w:rsidRPr="00E06A91">
        <w:rPr>
          <w:rFonts w:cs="Arial"/>
          <w:sz w:val="20"/>
          <w:szCs w:val="20"/>
        </w:rPr>
        <w:t xml:space="preserve"> celostátní i regionální úrovni.</w:t>
      </w:r>
      <w:r w:rsidR="00F17E74" w:rsidRPr="00E06A91">
        <w:rPr>
          <w:rFonts w:cs="Arial"/>
          <w:sz w:val="20"/>
          <w:szCs w:val="20"/>
        </w:rPr>
        <w:t xml:space="preserve"> </w:t>
      </w:r>
    </w:p>
    <w:p w14:paraId="6A9A64AD" w14:textId="3676056E" w:rsidR="00F17E74" w:rsidRPr="00E06A91" w:rsidRDefault="00F17E74" w:rsidP="00E06A91">
      <w:pPr>
        <w:rPr>
          <w:rFonts w:cs="Arial"/>
          <w:sz w:val="20"/>
          <w:szCs w:val="20"/>
        </w:rPr>
      </w:pPr>
      <w:r w:rsidRPr="00E06A91">
        <w:rPr>
          <w:rFonts w:cs="Arial"/>
          <w:sz w:val="20"/>
          <w:szCs w:val="20"/>
        </w:rPr>
        <w:t>Za účelem naplňování obecn</w:t>
      </w:r>
      <w:r w:rsidR="00354BE4" w:rsidRPr="00E06A91">
        <w:rPr>
          <w:rFonts w:cs="Arial"/>
          <w:sz w:val="20"/>
          <w:szCs w:val="20"/>
        </w:rPr>
        <w:t xml:space="preserve">ých zásad Úmluvy je </w:t>
      </w:r>
      <w:r w:rsidRPr="00E06A91">
        <w:rPr>
          <w:rFonts w:cs="Arial"/>
          <w:sz w:val="20"/>
          <w:szCs w:val="20"/>
        </w:rPr>
        <w:t>nezbytné zvyšovat povědomí a informovanost společnosti o situaci osob se zdravotním postižením, zajistit respektov</w:t>
      </w:r>
      <w:r w:rsidR="00582DC5">
        <w:rPr>
          <w:rFonts w:cs="Arial"/>
          <w:sz w:val="20"/>
          <w:szCs w:val="20"/>
        </w:rPr>
        <w:t>ání jejich práv a důstojnosti a </w:t>
      </w:r>
      <w:r w:rsidRPr="00E06A91">
        <w:rPr>
          <w:rFonts w:cs="Arial"/>
          <w:sz w:val="20"/>
          <w:szCs w:val="20"/>
        </w:rPr>
        <w:t>napomáhat v boji proti stereotypům a předsudkům ve</w:t>
      </w:r>
      <w:r w:rsidR="00251C70" w:rsidRPr="00E06A91">
        <w:rPr>
          <w:rFonts w:cs="Arial"/>
          <w:sz w:val="20"/>
          <w:szCs w:val="20"/>
        </w:rPr>
        <w:t> </w:t>
      </w:r>
      <w:r w:rsidR="00354BE4" w:rsidRPr="00E06A91">
        <w:rPr>
          <w:rFonts w:cs="Arial"/>
          <w:sz w:val="20"/>
          <w:szCs w:val="20"/>
        </w:rPr>
        <w:t>všech oblastech života.</w:t>
      </w:r>
      <w:r w:rsidRPr="00E06A91">
        <w:rPr>
          <w:rFonts w:cs="Arial"/>
          <w:sz w:val="20"/>
          <w:szCs w:val="20"/>
        </w:rPr>
        <w:t xml:space="preserve"> </w:t>
      </w:r>
    </w:p>
    <w:p w14:paraId="76CB0E23" w14:textId="1AA70A22" w:rsidR="00F17E74" w:rsidRPr="00E06A91" w:rsidRDefault="00F17E74" w:rsidP="00E06A91">
      <w:pPr>
        <w:rPr>
          <w:rFonts w:cs="Arial"/>
          <w:sz w:val="20"/>
          <w:szCs w:val="20"/>
        </w:rPr>
      </w:pPr>
      <w:r w:rsidRPr="00E06A91">
        <w:rPr>
          <w:rFonts w:cs="Arial"/>
          <w:sz w:val="20"/>
          <w:szCs w:val="20"/>
        </w:rPr>
        <w:t>Důležitým předpokladem pro naplňování zmíněných zásad je i zajišťování přístupnosti prostředí. Je nezbytné přijmout přiměřená opatření, která zajistí potřebné úpravy, napomohou odstraňování stávajících bariér a nevytváření bariér nových. Odpovídající úpravy by měly být prováděny ve všech oblastech, na základě principu univerzálního designu</w:t>
      </w:r>
      <w:r w:rsidR="00354BE4" w:rsidRPr="00E06A91">
        <w:rPr>
          <w:rFonts w:cs="Arial"/>
          <w:sz w:val="20"/>
          <w:szCs w:val="20"/>
        </w:rPr>
        <w:t>.</w:t>
      </w:r>
      <w:r w:rsidRPr="00E06A91">
        <w:rPr>
          <w:rFonts w:cs="Arial"/>
          <w:sz w:val="20"/>
          <w:szCs w:val="20"/>
        </w:rPr>
        <w:t xml:space="preserve"> </w:t>
      </w:r>
    </w:p>
    <w:p w14:paraId="66EA5A29" w14:textId="774C71A0" w:rsidR="00F17E74" w:rsidRPr="00E06A91" w:rsidRDefault="00F17E74" w:rsidP="00E06A91">
      <w:pPr>
        <w:rPr>
          <w:rFonts w:cs="Arial"/>
          <w:sz w:val="20"/>
          <w:szCs w:val="20"/>
        </w:rPr>
      </w:pPr>
      <w:r w:rsidRPr="00E06A91">
        <w:rPr>
          <w:rFonts w:cs="Arial"/>
          <w:sz w:val="20"/>
          <w:szCs w:val="20"/>
        </w:rPr>
        <w:t>Pro kvalitu života osob se zdravotním postižením a jejich integraci je také důležité, jakým způsobem jsou společností vnímány a akceptovány. Povědomí o tématu zdravotního postižení je vhodné zvyšovat prostřednictvím vzdělává</w:t>
      </w:r>
      <w:r w:rsidR="00626257" w:rsidRPr="00E06A91">
        <w:rPr>
          <w:rFonts w:cs="Arial"/>
          <w:sz w:val="20"/>
          <w:szCs w:val="20"/>
        </w:rPr>
        <w:t>ní, pořádáním osvětových akcí a </w:t>
      </w:r>
      <w:r w:rsidRPr="00E06A91">
        <w:rPr>
          <w:rFonts w:cs="Arial"/>
          <w:sz w:val="20"/>
          <w:szCs w:val="20"/>
        </w:rPr>
        <w:t>zveřejňováním příkladů dobré praxe</w:t>
      </w:r>
      <w:r w:rsidR="008D277A" w:rsidRPr="00E06A91">
        <w:rPr>
          <w:rFonts w:cs="Arial"/>
          <w:sz w:val="20"/>
          <w:szCs w:val="20"/>
        </w:rPr>
        <w:t>.</w:t>
      </w:r>
      <w:r w:rsidRPr="00E06A91">
        <w:rPr>
          <w:rFonts w:cs="Arial"/>
          <w:sz w:val="20"/>
          <w:szCs w:val="20"/>
        </w:rPr>
        <w:t xml:space="preserve"> </w:t>
      </w:r>
    </w:p>
    <w:p w14:paraId="4791C411" w14:textId="49FAB17D" w:rsidR="00F17E74" w:rsidRPr="00E06A91" w:rsidRDefault="00F17E74" w:rsidP="00E06A91">
      <w:pPr>
        <w:rPr>
          <w:rFonts w:cs="Arial"/>
          <w:sz w:val="20"/>
          <w:szCs w:val="20"/>
        </w:rPr>
      </w:pPr>
      <w:r w:rsidRPr="00E06A91">
        <w:rPr>
          <w:rFonts w:cs="Arial"/>
          <w:sz w:val="20"/>
          <w:szCs w:val="20"/>
        </w:rPr>
        <w:t>Je nezbytné neopomínat ani osvětu a informovanost těchto osob o jejich právech, o</w:t>
      </w:r>
      <w:r w:rsidR="00251C70" w:rsidRPr="00E06A91">
        <w:rPr>
          <w:rFonts w:cs="Arial"/>
          <w:sz w:val="20"/>
          <w:szCs w:val="20"/>
        </w:rPr>
        <w:t> </w:t>
      </w:r>
      <w:r w:rsidRPr="00E06A91">
        <w:rPr>
          <w:rFonts w:cs="Arial"/>
          <w:sz w:val="20"/>
          <w:szCs w:val="20"/>
        </w:rPr>
        <w:t>možnostech vzdělávání, pracovního uplatnění či o vhod</w:t>
      </w:r>
      <w:r w:rsidR="00626257" w:rsidRPr="00E06A91">
        <w:rPr>
          <w:rFonts w:cs="Arial"/>
          <w:sz w:val="20"/>
          <w:szCs w:val="20"/>
        </w:rPr>
        <w:t>ných dostupných službách, ale i </w:t>
      </w:r>
      <w:r w:rsidRPr="00E06A91">
        <w:rPr>
          <w:rFonts w:cs="Arial"/>
          <w:sz w:val="20"/>
          <w:szCs w:val="20"/>
        </w:rPr>
        <w:t>o</w:t>
      </w:r>
      <w:r w:rsidR="00251C70" w:rsidRPr="00E06A91">
        <w:rPr>
          <w:rFonts w:cs="Arial"/>
          <w:sz w:val="20"/>
          <w:szCs w:val="20"/>
        </w:rPr>
        <w:t> </w:t>
      </w:r>
      <w:r w:rsidR="00582DC5">
        <w:rPr>
          <w:rFonts w:cs="Arial"/>
          <w:sz w:val="20"/>
          <w:szCs w:val="20"/>
        </w:rPr>
        <w:t>tom, jak předcházet a </w:t>
      </w:r>
      <w:r w:rsidRPr="00E06A91">
        <w:rPr>
          <w:rFonts w:cs="Arial"/>
          <w:sz w:val="20"/>
          <w:szCs w:val="20"/>
        </w:rPr>
        <w:t xml:space="preserve">bránit se možnému násilí a zneužívání. </w:t>
      </w:r>
    </w:p>
    <w:p w14:paraId="3AC9AC49" w14:textId="77777777" w:rsidR="00E06A91" w:rsidRPr="00E06A91" w:rsidRDefault="00E06A91" w:rsidP="00E06A91">
      <w:pPr>
        <w:rPr>
          <w:rFonts w:cs="Arial"/>
          <w:sz w:val="20"/>
          <w:szCs w:val="20"/>
        </w:rPr>
      </w:pPr>
    </w:p>
    <w:p w14:paraId="4E39F710" w14:textId="77777777" w:rsidR="00F17E74" w:rsidRPr="00B84B7A" w:rsidRDefault="00F17E74" w:rsidP="00E06A91">
      <w:pPr>
        <w:rPr>
          <w:rFonts w:cs="Arial"/>
          <w:b/>
          <w:bCs/>
          <w:szCs w:val="20"/>
        </w:rPr>
      </w:pPr>
      <w:r>
        <w:rPr>
          <w:rFonts w:cs="Arial"/>
          <w:b/>
          <w:bCs/>
          <w:szCs w:val="20"/>
        </w:rPr>
        <w:t xml:space="preserve">1.1 </w:t>
      </w:r>
      <w:r w:rsidRPr="0057756D">
        <w:rPr>
          <w:rFonts w:cs="Arial"/>
          <w:b/>
          <w:bCs/>
          <w:szCs w:val="20"/>
        </w:rPr>
        <w:t xml:space="preserve">Cíl: V rámci státní správy dodržovat princip rovnosti a nediskriminace </w:t>
      </w:r>
      <w:r>
        <w:rPr>
          <w:rFonts w:cs="Arial"/>
          <w:b/>
          <w:bCs/>
          <w:szCs w:val="20"/>
        </w:rPr>
        <w:t xml:space="preserve">osob </w:t>
      </w:r>
      <w:r w:rsidRPr="0057756D">
        <w:rPr>
          <w:rFonts w:cs="Arial"/>
          <w:b/>
          <w:bCs/>
          <w:szCs w:val="20"/>
        </w:rPr>
        <w:t xml:space="preserve">se zdravotním postižením. </w:t>
      </w:r>
    </w:p>
    <w:p w14:paraId="340FBD05" w14:textId="56D7B9DB" w:rsidR="00F17E74" w:rsidRDefault="00F17E74" w:rsidP="00FF3A4C">
      <w:pPr>
        <w:spacing w:after="100"/>
        <w:rPr>
          <w:rFonts w:cs="Arial"/>
          <w:szCs w:val="20"/>
        </w:rPr>
      </w:pPr>
      <w:r w:rsidRPr="0035060D">
        <w:rPr>
          <w:rFonts w:cs="Arial"/>
          <w:bCs/>
          <w:szCs w:val="20"/>
        </w:rPr>
        <w:t xml:space="preserve">Opatření </w:t>
      </w:r>
      <w:r>
        <w:rPr>
          <w:rFonts w:cs="Arial"/>
          <w:szCs w:val="20"/>
        </w:rPr>
        <w:t>1.1.1</w:t>
      </w:r>
      <w:r w:rsidRPr="0035060D">
        <w:rPr>
          <w:rFonts w:cs="Arial"/>
          <w:szCs w:val="20"/>
        </w:rPr>
        <w:t xml:space="preserve"> </w:t>
      </w:r>
      <w:r w:rsidRPr="006E2794">
        <w:rPr>
          <w:rFonts w:cs="Arial"/>
          <w:szCs w:val="20"/>
        </w:rPr>
        <w:t>Dbát, aby žádné opatření státní sprá</w:t>
      </w:r>
      <w:r w:rsidR="00626257">
        <w:rPr>
          <w:rFonts w:cs="Arial"/>
          <w:szCs w:val="20"/>
        </w:rPr>
        <w:t>vy nemělo za následek přímou či </w:t>
      </w:r>
      <w:r w:rsidRPr="006E2794">
        <w:rPr>
          <w:rFonts w:cs="Arial"/>
          <w:szCs w:val="20"/>
        </w:rPr>
        <w:t xml:space="preserve">nepřímou diskriminaci </w:t>
      </w:r>
      <w:r>
        <w:rPr>
          <w:rFonts w:cs="Arial"/>
          <w:szCs w:val="20"/>
        </w:rPr>
        <w:t>osob</w:t>
      </w:r>
      <w:r w:rsidRPr="006E2794">
        <w:rPr>
          <w:rFonts w:cs="Arial"/>
          <w:szCs w:val="20"/>
        </w:rPr>
        <w:t xml:space="preserve"> se zdravotním postižením, dodržovat princip komplexního plánování (univerzální design) tak, aby</w:t>
      </w:r>
      <w:r w:rsidR="00587FA0">
        <w:rPr>
          <w:rFonts w:cs="Arial"/>
          <w:szCs w:val="20"/>
        </w:rPr>
        <w:t xml:space="preserve"> navrhovaná řešení vyhovovala i </w:t>
      </w:r>
      <w:r>
        <w:rPr>
          <w:rFonts w:cs="Arial"/>
          <w:szCs w:val="20"/>
        </w:rPr>
        <w:t>osobám</w:t>
      </w:r>
      <w:r w:rsidR="00A77850">
        <w:rPr>
          <w:rFonts w:cs="Arial"/>
          <w:szCs w:val="20"/>
        </w:rPr>
        <w:t xml:space="preserve"> se </w:t>
      </w:r>
      <w:r w:rsidRPr="006E2794">
        <w:rPr>
          <w:rFonts w:cs="Arial"/>
          <w:szCs w:val="20"/>
        </w:rPr>
        <w:t xml:space="preserve">zdravotním postižením. </w:t>
      </w:r>
    </w:p>
    <w:p w14:paraId="5AD33FBB" w14:textId="77777777" w:rsidR="00F17E74" w:rsidRPr="0057756D" w:rsidRDefault="00F17E74" w:rsidP="00FF3A4C">
      <w:pPr>
        <w:spacing w:after="100"/>
        <w:rPr>
          <w:rFonts w:cs="Arial"/>
          <w:szCs w:val="20"/>
        </w:rPr>
      </w:pPr>
      <w:r w:rsidRPr="0057756D">
        <w:rPr>
          <w:rFonts w:cs="Arial"/>
          <w:szCs w:val="20"/>
        </w:rPr>
        <w:t>Termín: průběžně</w:t>
      </w:r>
    </w:p>
    <w:p w14:paraId="7540DDBE" w14:textId="77777777" w:rsidR="00F17E74" w:rsidRPr="0057756D" w:rsidRDefault="00F17E74" w:rsidP="00FF3A4C">
      <w:pPr>
        <w:spacing w:after="100"/>
        <w:rPr>
          <w:rFonts w:cs="Arial"/>
          <w:szCs w:val="20"/>
        </w:rPr>
      </w:pPr>
      <w:r w:rsidRPr="0057756D">
        <w:rPr>
          <w:rFonts w:cs="Arial"/>
          <w:szCs w:val="20"/>
        </w:rPr>
        <w:t>Gestor: všechny resorty</w:t>
      </w:r>
      <w:r>
        <w:rPr>
          <w:rFonts w:cs="Arial"/>
          <w:szCs w:val="20"/>
        </w:rPr>
        <w:t>, ÚV</w:t>
      </w:r>
    </w:p>
    <w:p w14:paraId="5487C90B" w14:textId="71B47CAA" w:rsidR="00F17E74" w:rsidRDefault="00F17E74" w:rsidP="00F23141">
      <w:pPr>
        <w:rPr>
          <w:rFonts w:cs="Arial"/>
          <w:szCs w:val="20"/>
        </w:rPr>
      </w:pPr>
      <w:r w:rsidRPr="00646485">
        <w:rPr>
          <w:rFonts w:cs="Arial"/>
          <w:szCs w:val="20"/>
        </w:rPr>
        <w:t xml:space="preserve">Indikátor: Žádné opatření nemá za následek přímou či nepřímou diskriminaci </w:t>
      </w:r>
      <w:r>
        <w:rPr>
          <w:rFonts w:cs="Arial"/>
          <w:szCs w:val="20"/>
        </w:rPr>
        <w:t>osob</w:t>
      </w:r>
      <w:r w:rsidRPr="00646485">
        <w:rPr>
          <w:rFonts w:cs="Arial"/>
          <w:szCs w:val="20"/>
        </w:rPr>
        <w:t xml:space="preserve"> se zdravotním postižením.</w:t>
      </w:r>
    </w:p>
    <w:p w14:paraId="63C43832" w14:textId="77777777" w:rsidR="00F23141" w:rsidRDefault="00F23141" w:rsidP="00B448FC">
      <w:pPr>
        <w:tabs>
          <w:tab w:val="left" w:pos="720"/>
        </w:tabs>
        <w:rPr>
          <w:rFonts w:cs="Arial"/>
          <w:b/>
          <w:bCs/>
          <w:sz w:val="20"/>
          <w:szCs w:val="20"/>
          <w:lang w:eastAsia="cs-CZ"/>
        </w:rPr>
      </w:pPr>
    </w:p>
    <w:p w14:paraId="05D686B9" w14:textId="5CF89F4A" w:rsidR="0041199C" w:rsidRPr="004F59FD" w:rsidRDefault="0041199C" w:rsidP="007A77A9">
      <w:pPr>
        <w:tabs>
          <w:tab w:val="left" w:pos="720"/>
        </w:tabs>
        <w:rPr>
          <w:rFonts w:cs="Arial"/>
          <w:b/>
          <w:bCs/>
          <w:sz w:val="20"/>
          <w:szCs w:val="20"/>
          <w:lang w:eastAsia="cs-CZ"/>
        </w:rPr>
      </w:pPr>
      <w:r w:rsidRPr="004F59FD">
        <w:rPr>
          <w:rFonts w:cs="Arial"/>
          <w:b/>
          <w:bCs/>
          <w:sz w:val="20"/>
          <w:szCs w:val="20"/>
          <w:lang w:eastAsia="cs-CZ"/>
        </w:rPr>
        <w:t>PLNĚNÍ MD:</w:t>
      </w:r>
      <w:bookmarkStart w:id="10" w:name="_9ba7xfhucwzn" w:colFirst="0" w:colLast="0"/>
      <w:bookmarkEnd w:id="10"/>
    </w:p>
    <w:p w14:paraId="4903D417" w14:textId="050BA905" w:rsidR="004F59FD" w:rsidRPr="004F59FD" w:rsidRDefault="004F59FD" w:rsidP="004F59FD">
      <w:pPr>
        <w:spacing w:after="100"/>
        <w:rPr>
          <w:rFonts w:cs="Arial"/>
          <w:sz w:val="20"/>
          <w:szCs w:val="20"/>
        </w:rPr>
      </w:pPr>
      <w:r w:rsidRPr="004F59FD">
        <w:rPr>
          <w:rFonts w:cs="Arial"/>
          <w:sz w:val="20"/>
          <w:szCs w:val="20"/>
        </w:rPr>
        <w:t>Při realizaci projektů (materiálů) a opatření z nich vyplývajících je vždy kladen důraz zejména na pocit bezpečí a na dostupnost s ohledem na specifika osob se zvláštními potřebami, jako jsou např. senioři či osoby se zdravotním postižením.</w:t>
      </w:r>
    </w:p>
    <w:p w14:paraId="3ADFA497" w14:textId="2D0D05D4" w:rsidR="0041199C" w:rsidRPr="004F59FD" w:rsidRDefault="0041199C" w:rsidP="007A77A9">
      <w:pPr>
        <w:rPr>
          <w:rFonts w:cs="Arial"/>
          <w:b/>
          <w:bCs/>
          <w:sz w:val="20"/>
          <w:szCs w:val="20"/>
          <w:lang w:eastAsia="cs-CZ"/>
        </w:rPr>
      </w:pPr>
      <w:r w:rsidRPr="004F59FD">
        <w:rPr>
          <w:rFonts w:cs="Arial"/>
          <w:b/>
          <w:bCs/>
          <w:sz w:val="20"/>
          <w:szCs w:val="20"/>
          <w:lang w:eastAsia="cs-CZ"/>
        </w:rPr>
        <w:t xml:space="preserve">STANOVISKO K PLNĚNÍ: </w:t>
      </w:r>
      <w:r w:rsidR="005E4FD9" w:rsidRPr="004F59FD">
        <w:rPr>
          <w:rFonts w:cs="Arial"/>
          <w:b/>
          <w:bCs/>
          <w:sz w:val="20"/>
          <w:szCs w:val="20"/>
          <w:lang w:eastAsia="cs-CZ"/>
        </w:rPr>
        <w:t>Plněno.</w:t>
      </w:r>
    </w:p>
    <w:p w14:paraId="5AE26861" w14:textId="619D8771" w:rsidR="0041199C" w:rsidRPr="004F59FD" w:rsidRDefault="0041199C" w:rsidP="00B448FC">
      <w:pPr>
        <w:rPr>
          <w:rFonts w:cs="Arial"/>
          <w:sz w:val="20"/>
          <w:szCs w:val="20"/>
        </w:rPr>
      </w:pPr>
    </w:p>
    <w:p w14:paraId="5CC5F561" w14:textId="5CDB35CF" w:rsidR="000A6E79" w:rsidRPr="00E40F23" w:rsidRDefault="000A6E79" w:rsidP="00E40F23">
      <w:pPr>
        <w:keepNext/>
        <w:tabs>
          <w:tab w:val="left" w:pos="720"/>
        </w:tabs>
        <w:rPr>
          <w:rFonts w:cs="Arial"/>
          <w:b/>
          <w:bCs/>
          <w:sz w:val="20"/>
          <w:szCs w:val="20"/>
          <w:lang w:eastAsia="cs-CZ"/>
        </w:rPr>
      </w:pPr>
      <w:r w:rsidRPr="00E40F23">
        <w:rPr>
          <w:rFonts w:cs="Arial"/>
          <w:b/>
          <w:bCs/>
          <w:sz w:val="20"/>
          <w:szCs w:val="20"/>
          <w:lang w:eastAsia="cs-CZ"/>
        </w:rPr>
        <w:t>PLNĚNÍ MF:</w:t>
      </w:r>
    </w:p>
    <w:p w14:paraId="5F84D4A9" w14:textId="25575410" w:rsidR="00E40F23" w:rsidRPr="00E40F23" w:rsidRDefault="00E40F23" w:rsidP="00E40F23">
      <w:pPr>
        <w:rPr>
          <w:rFonts w:cs="Arial"/>
          <w:sz w:val="20"/>
          <w:szCs w:val="20"/>
          <w:lang w:eastAsia="cs-CZ"/>
        </w:rPr>
      </w:pPr>
      <w:r w:rsidRPr="00E40F23">
        <w:rPr>
          <w:rFonts w:cs="Arial"/>
          <w:sz w:val="20"/>
          <w:szCs w:val="20"/>
        </w:rPr>
        <w:t>Ministerstvo financí a jeho přímo řízené organizace při tvorbě a přijetí opatření vždy vyhodnocují jejich dopad ve snaze zamezit možné přímé či nepřímé diskriminaci osob z hlediska zdravotního postižení.</w:t>
      </w:r>
      <w:r w:rsidRPr="00E40F23">
        <w:rPr>
          <w:rFonts w:cs="Arial"/>
          <w:sz w:val="20"/>
          <w:szCs w:val="20"/>
          <w:lang w:eastAsia="cs-CZ"/>
        </w:rPr>
        <w:t xml:space="preserve"> Uplatňování opatření a principů zavádějící rovnost osob zdravotně postižených na pracovišti je součástí personální politiky Ministerstva financí. Úřad naplňuje politiku nediskriminace v souladu </w:t>
      </w:r>
      <w:r w:rsidRPr="00E40F23">
        <w:rPr>
          <w:rFonts w:cs="Arial"/>
          <w:sz w:val="20"/>
          <w:szCs w:val="20"/>
          <w:lang w:eastAsia="cs-CZ"/>
        </w:rPr>
        <w:lastRenderedPageBreak/>
        <w:t>s</w:t>
      </w:r>
      <w:r w:rsidR="00543466">
        <w:rPr>
          <w:rFonts w:cs="Arial"/>
          <w:sz w:val="20"/>
          <w:szCs w:val="20"/>
          <w:lang w:eastAsia="cs-CZ"/>
        </w:rPr>
        <w:t> </w:t>
      </w:r>
      <w:r w:rsidRPr="00E40F23">
        <w:rPr>
          <w:rFonts w:cs="Arial"/>
          <w:sz w:val="20"/>
          <w:szCs w:val="20"/>
          <w:lang w:eastAsia="cs-CZ"/>
        </w:rPr>
        <w:t xml:space="preserve">platnou legislativou. Přímo v interních aktech řízení týkajících se fyzických osob je zakotven článek o povinnosti rovného zacházení se všemi zaměstnanci a zaměstnankyněmi. </w:t>
      </w:r>
    </w:p>
    <w:p w14:paraId="05DF37E8" w14:textId="77777777" w:rsidR="00E40F23" w:rsidRPr="00E40F23" w:rsidRDefault="00E40F23" w:rsidP="00E40F23">
      <w:pPr>
        <w:rPr>
          <w:rFonts w:cs="Arial"/>
          <w:sz w:val="20"/>
          <w:szCs w:val="20"/>
          <w:lang w:eastAsia="cs-CZ"/>
        </w:rPr>
      </w:pPr>
      <w:r w:rsidRPr="00E40F23">
        <w:rPr>
          <w:rFonts w:cs="Arial"/>
          <w:sz w:val="20"/>
          <w:szCs w:val="20"/>
          <w:lang w:eastAsia="cs-CZ"/>
        </w:rPr>
        <w:t xml:space="preserve">Každý zaměstnanec je rovněž povinen se řídit Etickým kodexem Ministerstva financí. Kodex zakotvuje povinnost vykonávat svoji práci s nejvyšší mírou slušnosti, porozumění a ochoty a bez jakýchkoli předsudků, v souladu se zásadou rovných příležitostí bez ohledu na zdravotní postižení, barvu pleti, pohlaví, národnost, náboženství, etnickou příslušnost nebo jiné charakteristiky. Nepřipouští diskriminaci či obtěžování. </w:t>
      </w:r>
    </w:p>
    <w:p w14:paraId="60AC1B64" w14:textId="48942E69" w:rsidR="00E40F23" w:rsidRPr="00E40F23" w:rsidRDefault="00E40F23" w:rsidP="00E40F23">
      <w:pPr>
        <w:rPr>
          <w:rFonts w:cs="Arial"/>
          <w:sz w:val="20"/>
          <w:szCs w:val="20"/>
          <w:lang w:eastAsia="cs-CZ"/>
        </w:rPr>
      </w:pPr>
      <w:r w:rsidRPr="00E40F23">
        <w:rPr>
          <w:rFonts w:cs="Arial"/>
          <w:sz w:val="20"/>
          <w:szCs w:val="20"/>
          <w:lang w:eastAsia="cs-CZ"/>
        </w:rPr>
        <w:t>V roce 2023 byly dodržovány principy univerzálního designu tak, aby navrhovaná řešení odpovídala potřebám osob se zdravotním postižením. Principy univerzálního designu byly uplatňovány v rámci přijímání organizačních, technických i legislativních řešení.</w:t>
      </w:r>
    </w:p>
    <w:p w14:paraId="45937CDB" w14:textId="632B30CA" w:rsidR="00D1789E" w:rsidRPr="00E40F23" w:rsidRDefault="000A6E79" w:rsidP="00E40F23">
      <w:pPr>
        <w:rPr>
          <w:rFonts w:cs="Arial"/>
          <w:b/>
          <w:bCs/>
          <w:sz w:val="20"/>
          <w:szCs w:val="20"/>
          <w:lang w:eastAsia="cs-CZ"/>
        </w:rPr>
      </w:pPr>
      <w:r w:rsidRPr="00E40F23">
        <w:rPr>
          <w:rFonts w:cs="Arial"/>
          <w:b/>
          <w:bCs/>
          <w:sz w:val="20"/>
          <w:szCs w:val="20"/>
          <w:lang w:eastAsia="cs-CZ"/>
        </w:rPr>
        <w:t>STANOVISKO K PLNĚNÍ:</w:t>
      </w:r>
      <w:r w:rsidR="00DC288B" w:rsidRPr="00E40F23">
        <w:rPr>
          <w:rFonts w:cs="Arial"/>
          <w:b/>
          <w:bCs/>
          <w:sz w:val="20"/>
          <w:szCs w:val="20"/>
          <w:lang w:eastAsia="cs-CZ"/>
        </w:rPr>
        <w:t xml:space="preserve"> Plněno.</w:t>
      </w:r>
    </w:p>
    <w:p w14:paraId="40C61EBE" w14:textId="77777777" w:rsidR="00A13A2B" w:rsidRPr="008C4DCF" w:rsidRDefault="00A13A2B" w:rsidP="008C4DCF">
      <w:pPr>
        <w:keepNext/>
        <w:tabs>
          <w:tab w:val="left" w:pos="720"/>
        </w:tabs>
        <w:rPr>
          <w:rFonts w:cs="Arial"/>
          <w:b/>
          <w:bCs/>
          <w:sz w:val="20"/>
          <w:szCs w:val="20"/>
          <w:lang w:eastAsia="cs-CZ"/>
        </w:rPr>
      </w:pPr>
    </w:p>
    <w:p w14:paraId="55F5BCB9" w14:textId="61B0F6F4" w:rsidR="00D1789E" w:rsidRPr="00456E06" w:rsidRDefault="00D1789E" w:rsidP="008C4DCF">
      <w:pPr>
        <w:tabs>
          <w:tab w:val="left" w:pos="720"/>
        </w:tabs>
        <w:rPr>
          <w:rFonts w:cs="Arial"/>
          <w:b/>
          <w:bCs/>
          <w:sz w:val="20"/>
          <w:szCs w:val="20"/>
          <w:lang w:eastAsia="cs-CZ"/>
        </w:rPr>
      </w:pPr>
      <w:r w:rsidRPr="00456E06">
        <w:rPr>
          <w:rFonts w:cs="Arial"/>
          <w:b/>
          <w:bCs/>
          <w:sz w:val="20"/>
          <w:szCs w:val="20"/>
          <w:lang w:eastAsia="cs-CZ"/>
        </w:rPr>
        <w:t>PLNĚNÍ MK:</w:t>
      </w:r>
    </w:p>
    <w:p w14:paraId="6C91827B" w14:textId="77777777" w:rsidR="00456E06" w:rsidRPr="00456E06" w:rsidRDefault="00456E06" w:rsidP="00456E06">
      <w:pPr>
        <w:rPr>
          <w:rFonts w:eastAsia="Calibri"/>
          <w:sz w:val="20"/>
          <w:szCs w:val="20"/>
        </w:rPr>
      </w:pPr>
      <w:r w:rsidRPr="00456E06">
        <w:rPr>
          <w:rFonts w:eastAsia="Calibri"/>
          <w:sz w:val="20"/>
          <w:szCs w:val="20"/>
        </w:rPr>
        <w:t xml:space="preserve">Žádná z aktivit příspěvkových organizací Ministerstva kultury </w:t>
      </w:r>
      <w:r w:rsidRPr="00456E06">
        <w:rPr>
          <w:rFonts w:eastAsia="Calibri"/>
          <w:iCs/>
          <w:sz w:val="20"/>
          <w:szCs w:val="20"/>
        </w:rPr>
        <w:t>nemá za následek přímou či nepřímou diskriminaci osob se zdravotním postižením</w:t>
      </w:r>
      <w:r w:rsidRPr="00456E06">
        <w:rPr>
          <w:rFonts w:eastAsia="Calibri"/>
          <w:sz w:val="20"/>
          <w:szCs w:val="20"/>
        </w:rPr>
        <w:t>.</w:t>
      </w:r>
    </w:p>
    <w:p w14:paraId="0E341571" w14:textId="77777777" w:rsidR="001A16A0" w:rsidRDefault="001A16A0" w:rsidP="00456E06">
      <w:pPr>
        <w:contextualSpacing/>
        <w:rPr>
          <w:rFonts w:eastAsia="Calibri"/>
          <w:sz w:val="20"/>
          <w:szCs w:val="20"/>
        </w:rPr>
      </w:pPr>
      <w:r>
        <w:rPr>
          <w:rFonts w:eastAsia="Calibri"/>
          <w:sz w:val="20"/>
          <w:szCs w:val="20"/>
        </w:rPr>
        <w:t>Příklady opatření:</w:t>
      </w:r>
    </w:p>
    <w:p w14:paraId="25479E19" w14:textId="7766DD92" w:rsidR="00456E06" w:rsidRPr="00456E06" w:rsidRDefault="001A16A0" w:rsidP="00456E06">
      <w:pPr>
        <w:rPr>
          <w:rFonts w:eastAsia="Calibri"/>
          <w:sz w:val="20"/>
          <w:szCs w:val="20"/>
        </w:rPr>
      </w:pPr>
      <w:r>
        <w:rPr>
          <w:rFonts w:eastAsia="Calibri"/>
          <w:sz w:val="20"/>
          <w:szCs w:val="20"/>
        </w:rPr>
        <w:t>K</w:t>
      </w:r>
      <w:r w:rsidR="00456E06" w:rsidRPr="00456E06">
        <w:rPr>
          <w:rFonts w:eastAsia="Calibri"/>
          <w:sz w:val="20"/>
          <w:szCs w:val="20"/>
        </w:rPr>
        <w:t>ino Ponrepo, provozované Národním filmovým archivem, se v rámci spolupráce s festivalem Jeden svět dlouhodobě snaží zlepšovat přístupnost kina pro veřejnost se zdravotním znevýhodněním. Do programu kina Ponrepo byly zařazeny tzv.  relaxované projekce určené pro diváky s mentálním postižením, autismem či epilepsií. Na těchto projekcích jsou filmy pouštěny ve snížené zvukové hladině a po celou dobu je v sále mírně rozsvíceno. Diváci relaxovaných projekcí nejsou zatěžováni žádnými upoutávkami a trailery. Navíc se diváci mohou během projekce pohybovat nebo hlasitě projevovat.</w:t>
      </w:r>
    </w:p>
    <w:p w14:paraId="4788F0D6" w14:textId="77777777" w:rsidR="00456E06" w:rsidRPr="00456E06" w:rsidRDefault="00456E06" w:rsidP="00456E06">
      <w:pPr>
        <w:rPr>
          <w:rFonts w:eastAsia="Calibri"/>
          <w:sz w:val="20"/>
          <w:szCs w:val="20"/>
        </w:rPr>
      </w:pPr>
      <w:r w:rsidRPr="00456E06">
        <w:rPr>
          <w:rFonts w:eastAsia="Calibri"/>
          <w:sz w:val="20"/>
          <w:szCs w:val="20"/>
        </w:rPr>
        <w:t>Česká filharmonie zohlednila toto hledisko při návrhu nového navigačního systému.</w:t>
      </w:r>
    </w:p>
    <w:p w14:paraId="6B8C0DB8" w14:textId="77777777" w:rsidR="00456E06" w:rsidRPr="00456E06" w:rsidRDefault="00456E06" w:rsidP="00456E06">
      <w:pPr>
        <w:rPr>
          <w:rFonts w:eastAsia="Calibri"/>
          <w:sz w:val="20"/>
          <w:szCs w:val="20"/>
        </w:rPr>
      </w:pPr>
      <w:r w:rsidRPr="00456E06">
        <w:rPr>
          <w:rFonts w:eastAsia="Calibri"/>
          <w:sz w:val="20"/>
          <w:szCs w:val="20"/>
        </w:rPr>
        <w:t xml:space="preserve">Národní knihovna ČR (NK ČR) při poskytování služeb zdravotně postiženým dodržuje principy, aby navrhovaná řešení vyhovovala i osobám se zdravotním postižením. NK pravidelně aktualizuje stránky pro služby zdravotně znevýhodněným: </w:t>
      </w:r>
      <w:hyperlink r:id="rId11" w:history="1">
        <w:r w:rsidRPr="00456E06">
          <w:rPr>
            <w:rFonts w:eastAsia="Calibri"/>
            <w:color w:val="0563C1"/>
            <w:sz w:val="20"/>
            <w:szCs w:val="20"/>
            <w:u w:val="single"/>
          </w:rPr>
          <w:t>https://www.nkp.cz/sluzby/chci-sluzbu/sluzby-pro-zdravotne-nevyhodnene?searchterm=znev</w:t>
        </w:r>
      </w:hyperlink>
    </w:p>
    <w:p w14:paraId="76F72CB9" w14:textId="77777777" w:rsidR="00456E06" w:rsidRPr="00456E06" w:rsidRDefault="007C49CB" w:rsidP="00456E06">
      <w:pPr>
        <w:rPr>
          <w:rFonts w:eastAsia="Calibri"/>
          <w:sz w:val="20"/>
          <w:szCs w:val="20"/>
        </w:rPr>
      </w:pPr>
      <w:hyperlink r:id="rId12" w:history="1">
        <w:r w:rsidR="00456E06" w:rsidRPr="00456E06">
          <w:rPr>
            <w:rFonts w:eastAsia="Calibri"/>
            <w:color w:val="0563C1"/>
            <w:sz w:val="20"/>
            <w:szCs w:val="20"/>
            <w:u w:val="single"/>
          </w:rPr>
          <w:t>https://www.nkp.cz/titulni-strana/prohlaseni-o-pristupnosti?searchterm=p%C5%99%C3%ADstupno</w:t>
        </w:r>
      </w:hyperlink>
      <w:r w:rsidR="00456E06" w:rsidRPr="00456E06">
        <w:rPr>
          <w:rFonts w:eastAsia="Calibri"/>
          <w:sz w:val="20"/>
          <w:szCs w:val="20"/>
        </w:rPr>
        <w:t xml:space="preserve"> </w:t>
      </w:r>
    </w:p>
    <w:p w14:paraId="037BB02B" w14:textId="77777777" w:rsidR="00456E06" w:rsidRPr="00456E06" w:rsidRDefault="00456E06" w:rsidP="00456E06">
      <w:pPr>
        <w:rPr>
          <w:rFonts w:eastAsia="Calibri"/>
          <w:color w:val="0563C1"/>
          <w:sz w:val="20"/>
          <w:szCs w:val="20"/>
          <w:u w:val="single"/>
        </w:rPr>
      </w:pPr>
      <w:r w:rsidRPr="00456E06">
        <w:rPr>
          <w:rFonts w:eastAsia="Calibri"/>
          <w:sz w:val="20"/>
          <w:szCs w:val="20"/>
        </w:rPr>
        <w:t xml:space="preserve">NK ČR pravidelně pořádá exkurze pro zdravotně znevýhodněné: </w:t>
      </w:r>
      <w:hyperlink r:id="rId13" w:history="1">
        <w:r w:rsidRPr="00456E06">
          <w:rPr>
            <w:rFonts w:eastAsia="Calibri"/>
            <w:color w:val="0563C1"/>
            <w:sz w:val="20"/>
            <w:szCs w:val="20"/>
            <w:u w:val="single"/>
          </w:rPr>
          <w:t>https://www.nkp.cz/aktuality/novinky-titulni-strana/prohlidky-pohyb?searchterm=znev</w:t>
        </w:r>
      </w:hyperlink>
    </w:p>
    <w:p w14:paraId="06454A5A" w14:textId="7B6F5D5A" w:rsidR="00456E06" w:rsidRPr="00456E06" w:rsidRDefault="00456E06" w:rsidP="00D86C46">
      <w:pPr>
        <w:rPr>
          <w:rFonts w:eastAsia="Calibri"/>
          <w:sz w:val="20"/>
          <w:szCs w:val="20"/>
        </w:rPr>
      </w:pPr>
      <w:r w:rsidRPr="00456E06">
        <w:rPr>
          <w:rFonts w:eastAsia="Calibri"/>
          <w:sz w:val="20"/>
          <w:szCs w:val="20"/>
        </w:rPr>
        <w:t xml:space="preserve">Knihovna a tiskárna pro nevidomé K. E. Macana (KTN) je instituce specializující se výhradně na potřeby zrakově postižených. Ti mohou mít rovněž sluchový handicap. </w:t>
      </w:r>
      <w:r w:rsidR="00EB4C0A">
        <w:rPr>
          <w:rFonts w:eastAsia="Calibri"/>
          <w:sz w:val="20"/>
          <w:szCs w:val="20"/>
        </w:rPr>
        <w:t>Základní informace o činnosti a </w:t>
      </w:r>
      <w:r w:rsidRPr="00456E06">
        <w:rPr>
          <w:rFonts w:eastAsia="Calibri"/>
          <w:sz w:val="20"/>
          <w:szCs w:val="20"/>
        </w:rPr>
        <w:t xml:space="preserve">službách jsou umístěny ve výlohách sídla v ulici Ve Smečkách 15, v Krakovské 23, na </w:t>
      </w:r>
      <w:hyperlink r:id="rId14" w:history="1">
        <w:r w:rsidRPr="00456E06">
          <w:rPr>
            <w:rFonts w:eastAsia="Calibri"/>
            <w:sz w:val="20"/>
            <w:szCs w:val="20"/>
            <w:u w:val="single"/>
          </w:rPr>
          <w:t>www.ktn.cz</w:t>
        </w:r>
      </w:hyperlink>
      <w:r w:rsidRPr="00456E06">
        <w:rPr>
          <w:rFonts w:eastAsia="Calibri"/>
          <w:sz w:val="20"/>
          <w:szCs w:val="20"/>
        </w:rPr>
        <w:t xml:space="preserve"> a podle příslušné metodiky na </w:t>
      </w:r>
      <w:hyperlink r:id="rId15" w:history="1">
        <w:r w:rsidRPr="00456E06">
          <w:rPr>
            <w:rFonts w:eastAsia="Calibri"/>
            <w:sz w:val="20"/>
            <w:szCs w:val="20"/>
            <w:u w:val="single"/>
          </w:rPr>
          <w:t>https://www.ktn.cz/otevrena-kultura</w:t>
        </w:r>
      </w:hyperlink>
      <w:r w:rsidRPr="00456E06">
        <w:rPr>
          <w:rFonts w:eastAsia="Calibri"/>
          <w:sz w:val="20"/>
          <w:szCs w:val="20"/>
        </w:rPr>
        <w:t>.</w:t>
      </w:r>
      <w:r w:rsidR="00D86C46">
        <w:rPr>
          <w:rFonts w:eastAsia="Calibri"/>
          <w:sz w:val="20"/>
          <w:szCs w:val="20"/>
        </w:rPr>
        <w:t xml:space="preserve"> </w:t>
      </w:r>
      <w:r w:rsidRPr="00456E06">
        <w:rPr>
          <w:rFonts w:eastAsia="Calibri"/>
          <w:sz w:val="20"/>
          <w:szCs w:val="20"/>
        </w:rPr>
        <w:t xml:space="preserve">Dokumenty nutné k registraci jsou zde rovněž i ve zvukové podobě. Z výše uvedeného důvodu je výpůjční protokol KTN situován do snadno dostupného přízemního prostoru, opatřeného zvukovou signalizací a možností navigace. </w:t>
      </w:r>
    </w:p>
    <w:p w14:paraId="1293C799" w14:textId="37C5B574" w:rsidR="00456E06" w:rsidRPr="00456E06" w:rsidRDefault="00456E06" w:rsidP="00456E06">
      <w:pPr>
        <w:rPr>
          <w:rFonts w:eastAsia="Calibri"/>
          <w:sz w:val="20"/>
          <w:szCs w:val="20"/>
        </w:rPr>
      </w:pPr>
      <w:r w:rsidRPr="00D86C46">
        <w:rPr>
          <w:rFonts w:eastAsia="Calibri"/>
          <w:sz w:val="20"/>
          <w:szCs w:val="20"/>
        </w:rPr>
        <w:t>Koncepce sbírkotvorné činnosti Husitského muzea v Táboře 2016–2025 obsahuje závazky digitalizace sbírkových předmětů.</w:t>
      </w:r>
      <w:r w:rsidR="00D86C46">
        <w:rPr>
          <w:rFonts w:eastAsia="Calibri"/>
          <w:sz w:val="20"/>
          <w:szCs w:val="20"/>
        </w:rPr>
        <w:t xml:space="preserve"> </w:t>
      </w:r>
      <w:r w:rsidRPr="00456E06">
        <w:rPr>
          <w:rFonts w:eastAsia="Calibri"/>
          <w:sz w:val="20"/>
          <w:szCs w:val="20"/>
        </w:rPr>
        <w:t xml:space="preserve">Obecným cílem nové </w:t>
      </w:r>
      <w:r w:rsidRPr="00D86C46">
        <w:rPr>
          <w:rFonts w:eastAsia="Calibri"/>
          <w:sz w:val="20"/>
          <w:szCs w:val="20"/>
        </w:rPr>
        <w:t>Střednědobé koncepce rozvoje muzea v letech 2024–2029 je</w:t>
      </w:r>
      <w:r w:rsidRPr="00456E06">
        <w:rPr>
          <w:rFonts w:eastAsia="Calibri"/>
          <w:sz w:val="20"/>
          <w:szCs w:val="20"/>
        </w:rPr>
        <w:t xml:space="preserve"> vytvářet návštěvnicky atraktivní muzeum otevřené současně specifickým cílovým skupinám, včetně osob se zdravotním postižením. V rámci dokumentace sbírky je zajišťována digitalizace sbírkových předmětů vhodnými formami, čímž je sbírka připravena na zpřístupnění na dálku. Na základě stávající vnitřní směrnice a nové koncepce digitalizace jsou stanoveny a také aktivně plněny principy digitální dokumentace sbírkových předmětů a jejich digitálního, resp. dálkového elektronického zpřístupnění, jak ve smyslu zpřístupnění badatelského (elektronické báze katalogů on-line, virtuální knihovna), tak populárního (virtuální expozice, multimediální publikace).</w:t>
      </w:r>
    </w:p>
    <w:p w14:paraId="68862180" w14:textId="7AC07009" w:rsidR="00D1789E" w:rsidRPr="006E42B5" w:rsidRDefault="00D1789E" w:rsidP="006E42B5">
      <w:pPr>
        <w:keepNext/>
        <w:tabs>
          <w:tab w:val="left" w:pos="720"/>
        </w:tabs>
        <w:rPr>
          <w:rFonts w:cs="Arial"/>
          <w:b/>
          <w:bCs/>
          <w:sz w:val="20"/>
          <w:szCs w:val="20"/>
          <w:lang w:eastAsia="cs-CZ"/>
        </w:rPr>
      </w:pPr>
      <w:r w:rsidRPr="006E42B5">
        <w:rPr>
          <w:rFonts w:cs="Arial"/>
          <w:b/>
          <w:bCs/>
          <w:sz w:val="20"/>
          <w:szCs w:val="20"/>
          <w:lang w:eastAsia="cs-CZ"/>
        </w:rPr>
        <w:t>STANOVISKO K PLNĚNÍ:</w:t>
      </w:r>
      <w:r w:rsidR="00E10B05" w:rsidRPr="006E42B5">
        <w:rPr>
          <w:rFonts w:cs="Arial"/>
          <w:b/>
          <w:bCs/>
          <w:sz w:val="20"/>
          <w:szCs w:val="20"/>
          <w:lang w:eastAsia="cs-CZ"/>
        </w:rPr>
        <w:t xml:space="preserve"> Plněno.</w:t>
      </w:r>
    </w:p>
    <w:p w14:paraId="124AA7D2" w14:textId="18A41D39" w:rsidR="00D1789E" w:rsidRPr="006E42B5" w:rsidRDefault="00D1789E" w:rsidP="006E42B5">
      <w:pPr>
        <w:rPr>
          <w:rFonts w:cs="Arial"/>
          <w:sz w:val="20"/>
          <w:szCs w:val="20"/>
        </w:rPr>
      </w:pPr>
    </w:p>
    <w:p w14:paraId="39B79666" w14:textId="4B737551" w:rsidR="008F71A2" w:rsidRPr="00A95227" w:rsidRDefault="008F71A2" w:rsidP="00A95227">
      <w:pPr>
        <w:tabs>
          <w:tab w:val="left" w:pos="720"/>
        </w:tabs>
        <w:rPr>
          <w:rFonts w:cs="Arial"/>
          <w:b/>
          <w:bCs/>
          <w:sz w:val="20"/>
          <w:szCs w:val="20"/>
          <w:lang w:eastAsia="cs-CZ"/>
        </w:rPr>
      </w:pPr>
      <w:r w:rsidRPr="00A95227">
        <w:rPr>
          <w:rFonts w:cs="Arial"/>
          <w:b/>
          <w:bCs/>
          <w:sz w:val="20"/>
          <w:szCs w:val="20"/>
          <w:lang w:eastAsia="cs-CZ"/>
        </w:rPr>
        <w:t>PLNĚNÍ MMR:</w:t>
      </w:r>
    </w:p>
    <w:p w14:paraId="27688A68" w14:textId="41AB6509" w:rsidR="00A95227" w:rsidRPr="00A95227" w:rsidRDefault="00A95227" w:rsidP="00A95227">
      <w:pPr>
        <w:rPr>
          <w:rFonts w:cs="Arial"/>
          <w:iCs/>
          <w:sz w:val="20"/>
          <w:szCs w:val="20"/>
        </w:rPr>
      </w:pPr>
      <w:r w:rsidRPr="00A95227">
        <w:rPr>
          <w:rFonts w:cs="Arial"/>
          <w:iCs/>
          <w:sz w:val="20"/>
          <w:szCs w:val="20"/>
        </w:rPr>
        <w:lastRenderedPageBreak/>
        <w:t xml:space="preserve">MMR podporuje nestátní neziskové </w:t>
      </w:r>
      <w:r w:rsidRPr="00E00CB7">
        <w:rPr>
          <w:rFonts w:cs="Arial"/>
          <w:iCs/>
          <w:sz w:val="20"/>
          <w:szCs w:val="20"/>
        </w:rPr>
        <w:t>organizace</w:t>
      </w:r>
      <w:r w:rsidR="00E00CB7" w:rsidRPr="00E00CB7">
        <w:rPr>
          <w:rFonts w:cs="Arial"/>
          <w:iCs/>
          <w:sz w:val="20"/>
          <w:szCs w:val="20"/>
        </w:rPr>
        <w:t xml:space="preserve"> </w:t>
      </w:r>
      <w:r w:rsidR="00E21596">
        <w:rPr>
          <w:bCs/>
          <w:sz w:val="20"/>
          <w:szCs w:val="20"/>
        </w:rPr>
        <w:t>při realizaci</w:t>
      </w:r>
      <w:r w:rsidR="00E00CB7" w:rsidRPr="00E00CB7">
        <w:rPr>
          <w:bCs/>
          <w:sz w:val="20"/>
          <w:szCs w:val="20"/>
        </w:rPr>
        <w:t xml:space="preserve"> projektů a aktivit zaměřených na prosazování rovnosti a nediskriminace osob se zdravotním postižením</w:t>
      </w:r>
      <w:r w:rsidRPr="00E00CB7">
        <w:rPr>
          <w:rFonts w:cs="Arial"/>
          <w:iCs/>
          <w:sz w:val="20"/>
          <w:szCs w:val="20"/>
        </w:rPr>
        <w:t>.</w:t>
      </w:r>
      <w:r w:rsidRPr="00A95227">
        <w:rPr>
          <w:rFonts w:cs="Arial"/>
          <w:iCs/>
          <w:sz w:val="20"/>
          <w:szCs w:val="20"/>
        </w:rPr>
        <w:t xml:space="preserve"> Na úseku bytové politiky se uplatňuje princip celoživotního bydlení v přirozeném prostředí jedince. Na úseku cestovního ruchu se zohledňují potřeby osob s omezenou schopností pohybu nebo orientace. Přístupnost staveb se stala integrální součástí požadavků na výstavbu. Sekce veřejného investování, výstavby a sociálního začleňování spolupracuje se zmocněnkyní vlády pro lidská práva. Konkrétní podrobnosti obsahují vyjádření k plnění </w:t>
      </w:r>
      <w:r w:rsidR="00F63849">
        <w:rPr>
          <w:rFonts w:cs="Arial"/>
          <w:iCs/>
          <w:sz w:val="20"/>
          <w:szCs w:val="20"/>
        </w:rPr>
        <w:t xml:space="preserve">dalších </w:t>
      </w:r>
      <w:r w:rsidRPr="00A95227">
        <w:rPr>
          <w:rFonts w:cs="Arial"/>
          <w:iCs/>
          <w:sz w:val="20"/>
          <w:szCs w:val="20"/>
        </w:rPr>
        <w:t>příslušných opatření.</w:t>
      </w:r>
    </w:p>
    <w:p w14:paraId="79EDDCE0" w14:textId="1D7EF02A" w:rsidR="008F71A2" w:rsidRPr="00A95227" w:rsidRDefault="008F71A2" w:rsidP="00A95227">
      <w:pPr>
        <w:keepNext/>
        <w:tabs>
          <w:tab w:val="left" w:pos="720"/>
        </w:tabs>
        <w:rPr>
          <w:rFonts w:cs="Arial"/>
          <w:sz w:val="20"/>
          <w:szCs w:val="20"/>
        </w:rPr>
      </w:pPr>
      <w:r w:rsidRPr="00A95227">
        <w:rPr>
          <w:rFonts w:cs="Arial"/>
          <w:b/>
          <w:bCs/>
          <w:sz w:val="20"/>
          <w:szCs w:val="20"/>
          <w:lang w:eastAsia="cs-CZ"/>
        </w:rPr>
        <w:t>STANOVISKO K PLNĚNÍ:</w:t>
      </w:r>
      <w:r w:rsidR="002F3A6E" w:rsidRPr="00A95227">
        <w:rPr>
          <w:rFonts w:cs="Arial"/>
          <w:b/>
          <w:bCs/>
          <w:sz w:val="20"/>
          <w:szCs w:val="20"/>
          <w:lang w:eastAsia="cs-CZ"/>
        </w:rPr>
        <w:t xml:space="preserve"> </w:t>
      </w:r>
      <w:r w:rsidR="002F3A6E" w:rsidRPr="00A95227">
        <w:rPr>
          <w:rFonts w:cs="Arial"/>
          <w:b/>
          <w:sz w:val="20"/>
          <w:szCs w:val="20"/>
        </w:rPr>
        <w:t>Plněno.</w:t>
      </w:r>
    </w:p>
    <w:p w14:paraId="7D2105F4" w14:textId="3C6EDB5C" w:rsidR="008F71A2" w:rsidRPr="006E42B5" w:rsidRDefault="008F71A2" w:rsidP="006E42B5">
      <w:pPr>
        <w:rPr>
          <w:rFonts w:cs="Arial"/>
          <w:sz w:val="20"/>
          <w:szCs w:val="20"/>
        </w:rPr>
      </w:pPr>
    </w:p>
    <w:p w14:paraId="2725B4BE" w14:textId="31B81B14" w:rsidR="00516130" w:rsidRPr="006A1E1C" w:rsidRDefault="00516130" w:rsidP="006A1E1C">
      <w:pPr>
        <w:tabs>
          <w:tab w:val="left" w:pos="720"/>
        </w:tabs>
        <w:rPr>
          <w:rFonts w:cs="Arial"/>
          <w:b/>
          <w:bCs/>
          <w:sz w:val="20"/>
          <w:szCs w:val="20"/>
          <w:lang w:eastAsia="cs-CZ"/>
        </w:rPr>
      </w:pPr>
      <w:r w:rsidRPr="006A1E1C">
        <w:rPr>
          <w:rFonts w:cs="Arial"/>
          <w:b/>
          <w:bCs/>
          <w:sz w:val="20"/>
          <w:szCs w:val="20"/>
          <w:lang w:eastAsia="cs-CZ"/>
        </w:rPr>
        <w:t>PLNĚNÍ MO:</w:t>
      </w:r>
    </w:p>
    <w:p w14:paraId="2A27A5F0" w14:textId="4CE330D8" w:rsidR="006A1E1C" w:rsidRPr="006A1E1C" w:rsidRDefault="00740C42" w:rsidP="006A1E1C">
      <w:pPr>
        <w:rPr>
          <w:rFonts w:cs="Arial"/>
          <w:sz w:val="20"/>
          <w:szCs w:val="20"/>
        </w:rPr>
      </w:pPr>
      <w:r>
        <w:rPr>
          <w:rFonts w:cs="Arial"/>
          <w:sz w:val="20"/>
          <w:szCs w:val="20"/>
        </w:rPr>
        <w:t>V res</w:t>
      </w:r>
      <w:r w:rsidR="006A1E1C" w:rsidRPr="006A1E1C">
        <w:rPr>
          <w:rFonts w:cs="Arial"/>
          <w:sz w:val="20"/>
          <w:szCs w:val="20"/>
        </w:rPr>
        <w:t>ortu Mini</w:t>
      </w:r>
      <w:r>
        <w:rPr>
          <w:rFonts w:cs="Arial"/>
          <w:sz w:val="20"/>
          <w:szCs w:val="20"/>
        </w:rPr>
        <w:t xml:space="preserve">sterstvo obrany </w:t>
      </w:r>
      <w:r w:rsidR="006A1E1C" w:rsidRPr="006A1E1C">
        <w:rPr>
          <w:rFonts w:cs="Arial"/>
          <w:sz w:val="20"/>
          <w:szCs w:val="20"/>
        </w:rPr>
        <w:t>není přípustná žádná forma diskriminace, tudíž ani diskriminace osob se zdravotním postižením. Diskriminace v jakékoliv podobě je považová</w:t>
      </w:r>
      <w:r w:rsidR="006B0DC2">
        <w:rPr>
          <w:rFonts w:cs="Arial"/>
          <w:sz w:val="20"/>
          <w:szCs w:val="20"/>
        </w:rPr>
        <w:t>na za sociálně nežádoucí jev. V </w:t>
      </w:r>
      <w:r w:rsidR="006A1E1C" w:rsidRPr="006A1E1C">
        <w:rPr>
          <w:rFonts w:cs="Arial"/>
          <w:sz w:val="20"/>
          <w:szCs w:val="20"/>
        </w:rPr>
        <w:t>tomto smyslu je připravován i lektorský sbor primární prevence rizikového chování. Konkrétně se jedná o přednášky v rámci prevence rizikového chování tematicky</w:t>
      </w:r>
      <w:r w:rsidR="006B0DC2">
        <w:rPr>
          <w:rFonts w:cs="Arial"/>
          <w:sz w:val="20"/>
          <w:szCs w:val="20"/>
        </w:rPr>
        <w:t xml:space="preserve"> zaměřené na rizikové chování v </w:t>
      </w:r>
      <w:r w:rsidR="006A1E1C" w:rsidRPr="006A1E1C">
        <w:rPr>
          <w:rFonts w:cs="Arial"/>
          <w:sz w:val="20"/>
          <w:szCs w:val="20"/>
        </w:rPr>
        <w:t xml:space="preserve">pracovních vztazích, v mezilidských vztazích, či na příčiny rizikového chování. Rovný přístup ke všem zaměstnancům v pracovním i služebním poměru je důsledně průřezově uplatňován. To platí jak při přijímání zaměstnanců do pracovního/služebního poměru, tak při řešení personálních opatření. Dodržování zákazu diskriminace z hlediska zdravotního postižení, věku, pohlaví a dalších je naprostou samozřejmostí. Pro personál rezortu MO je zpracován a průběžně distribuován bulletin „Žádnou šanci diskriminaci, šikaně, obtěžování“, a to včetně kontaktů, na které se mohou v případě nevhodného přístupu obracet. Pro případ akutní pomoci je zřízena „Vojenská linka psychologické pomoci“. </w:t>
      </w:r>
    </w:p>
    <w:p w14:paraId="4E15B3DD" w14:textId="77777777" w:rsidR="006A1E1C" w:rsidRPr="006A1E1C" w:rsidRDefault="006A1E1C" w:rsidP="006A1E1C">
      <w:pPr>
        <w:rPr>
          <w:rFonts w:cs="Arial"/>
          <w:sz w:val="20"/>
          <w:szCs w:val="20"/>
        </w:rPr>
      </w:pPr>
      <w:r w:rsidRPr="006A1E1C">
        <w:rPr>
          <w:rFonts w:cs="Arial"/>
          <w:sz w:val="20"/>
          <w:szCs w:val="20"/>
        </w:rPr>
        <w:t>Ochranu lidských práv v působnosti rezortu MO zabezpečuje Hlavní inspektor ochrany lidských práv (ombudsman). Již od roku 2013 provozuje ombudsman anonymní schránku ombudsman@army.cz. Státní zaměstnanci a zaměstnankyně mohou za tímto účelem využívat také anonymní schránku prošetřovatelMO@army.cz. V rámci Armády České republiky je tato oblast také sledována právními poradci, příslušníky komisí primární prevence rizikového chování, příp. vrchními praporčíky, kaplany.</w:t>
      </w:r>
    </w:p>
    <w:p w14:paraId="31A210A9" w14:textId="77777777" w:rsidR="006A1E1C" w:rsidRPr="006A1E1C" w:rsidRDefault="006A1E1C" w:rsidP="006A1E1C">
      <w:pPr>
        <w:rPr>
          <w:rFonts w:cs="Arial"/>
          <w:sz w:val="20"/>
          <w:szCs w:val="20"/>
        </w:rPr>
      </w:pPr>
      <w:r w:rsidRPr="006A1E1C">
        <w:rPr>
          <w:rFonts w:cs="Arial"/>
          <w:sz w:val="20"/>
          <w:szCs w:val="20"/>
        </w:rPr>
        <w:t>Ministerstvo obrany u staveb důležitých pro obranu státu, které slouží nebo mají sloužit k zajišťování obrany státu a jsou zřizovány Ministerstvem obrany nebo právnickou osobou jím zřízenou nebo založenou a u staveb sloužících k plnění úkolů Národního úřadu pro kybernetickou a informační bezpečnost plní úkol především zajištěním bezbariérového přístupu do objektů.</w:t>
      </w:r>
    </w:p>
    <w:p w14:paraId="3165E209" w14:textId="77777777" w:rsidR="006A1E1C" w:rsidRPr="006A1E1C" w:rsidRDefault="006A1E1C" w:rsidP="006A1E1C">
      <w:pPr>
        <w:rPr>
          <w:rFonts w:cs="Arial"/>
          <w:sz w:val="20"/>
          <w:szCs w:val="20"/>
        </w:rPr>
      </w:pPr>
      <w:r w:rsidRPr="006A1E1C">
        <w:rPr>
          <w:rFonts w:cs="Arial"/>
          <w:sz w:val="20"/>
          <w:szCs w:val="20"/>
        </w:rPr>
        <w:t>U staveb provedených v roce 2023 byly v souvislosti s technicko-koordinačními opatřeními provedeny tyto úpravy:</w:t>
      </w:r>
    </w:p>
    <w:p w14:paraId="5640542B" w14:textId="19CDB103" w:rsidR="006A1E1C" w:rsidRPr="003A6095" w:rsidRDefault="006A1E1C" w:rsidP="003A6095">
      <w:pPr>
        <w:pStyle w:val="Odstavecseseznamem"/>
        <w:numPr>
          <w:ilvl w:val="0"/>
          <w:numId w:val="14"/>
        </w:numPr>
        <w:ind w:left="708" w:hanging="357"/>
        <w:contextualSpacing w:val="0"/>
        <w:rPr>
          <w:rFonts w:cs="Arial"/>
          <w:sz w:val="20"/>
          <w:szCs w:val="20"/>
        </w:rPr>
      </w:pPr>
      <w:r w:rsidRPr="003A6095">
        <w:rPr>
          <w:rFonts w:cs="Arial"/>
          <w:sz w:val="20"/>
          <w:szCs w:val="20"/>
        </w:rPr>
        <w:t>Ve Vojenské nemocnici Olomouc byla provedena rekonstrukce lůžkových oddělení, včetně ambulantních provozů. Součástí rekonstrukce bylo doplnění bezbariérových vstupů v objektu, výstavba výtahu zpřístupnila suterén hlavní budovy pro imobilní osoby. Dále byly zrekonstruovány hygienická zázemí a bezbariérové WC pro návštěvníky nemocnice.    Celkově došlo v rámci rekonstrukce ke zjednodušení komunikačních cest v rámci jednotlivých oddělení. Rekonstruována byla také okrasná zahrada, kdy došlo ke zpřístupnění klidové zóny pro imobilní osoby pomocí nájezdových ramp. Rovněž byly upraveny komunikační cesty na odděleních pro imobilní osoby formou instalace automatických dveří s pohybovými čidly.</w:t>
      </w:r>
    </w:p>
    <w:p w14:paraId="30869684" w14:textId="175ABD5D" w:rsidR="006A1E1C" w:rsidRPr="00BE4F4A" w:rsidRDefault="006A1E1C" w:rsidP="00BE4F4A">
      <w:pPr>
        <w:pStyle w:val="Odstavecseseznamem"/>
        <w:numPr>
          <w:ilvl w:val="0"/>
          <w:numId w:val="14"/>
        </w:numPr>
        <w:ind w:hanging="357"/>
        <w:contextualSpacing w:val="0"/>
        <w:rPr>
          <w:rFonts w:cs="Arial"/>
          <w:sz w:val="20"/>
          <w:szCs w:val="20"/>
        </w:rPr>
      </w:pPr>
      <w:r w:rsidRPr="006A1E1C">
        <w:rPr>
          <w:rFonts w:cs="Arial"/>
          <w:sz w:val="20"/>
          <w:szCs w:val="20"/>
        </w:rPr>
        <w:t>V Ústřední vojenské nemocnici Praha byl nově vybudován bezbariérový přístup do zrekonstruovaného prostoru Laboratoří OHKT v pavilonu E 10 zhotovením betonové rampy.</w:t>
      </w:r>
      <w:r w:rsidR="00BE4F4A">
        <w:rPr>
          <w:rFonts w:cs="Arial"/>
          <w:sz w:val="20"/>
          <w:szCs w:val="20"/>
        </w:rPr>
        <w:t xml:space="preserve"> </w:t>
      </w:r>
      <w:r w:rsidRPr="00BE4F4A">
        <w:rPr>
          <w:rFonts w:cs="Arial"/>
          <w:sz w:val="20"/>
          <w:szCs w:val="20"/>
        </w:rPr>
        <w:t>V rámci rekonstrukce prostorů pro umístění přístroje PET/CT včetně nezbytného zázemí v pavilonu CH2 bylo nově vybudováno pro imobilní osoby WC s bezbariérovým přístupem a vybavením.</w:t>
      </w:r>
    </w:p>
    <w:p w14:paraId="7EF3A029" w14:textId="4F4546CF" w:rsidR="006A1E1C" w:rsidRPr="006A1E1C" w:rsidRDefault="006A1E1C" w:rsidP="006A1E1C">
      <w:pPr>
        <w:pStyle w:val="Odstavecseseznamem"/>
        <w:numPr>
          <w:ilvl w:val="0"/>
          <w:numId w:val="14"/>
        </w:numPr>
        <w:rPr>
          <w:rFonts w:cs="Arial"/>
          <w:sz w:val="20"/>
          <w:szCs w:val="20"/>
        </w:rPr>
      </w:pPr>
      <w:r w:rsidRPr="006A1E1C">
        <w:rPr>
          <w:rFonts w:cs="Arial"/>
          <w:sz w:val="20"/>
          <w:szCs w:val="20"/>
        </w:rPr>
        <w:t>V rámci právě probíhající rekonstrukce administrativní budovy Ústavu leteckého zdravotnictví Praha (tzv. „domečku“) se rozšiřuje bezbariérový přístup do celého zařízení včetně přednáškového sálu. Dochází také k vybudování nového bezbariérového sociálního zařízení.</w:t>
      </w:r>
    </w:p>
    <w:p w14:paraId="230B808D" w14:textId="1A58CFA1" w:rsidR="00516130" w:rsidRPr="006A1E1C" w:rsidRDefault="00516130" w:rsidP="006A1E1C">
      <w:pPr>
        <w:keepNext/>
        <w:tabs>
          <w:tab w:val="left" w:pos="720"/>
        </w:tabs>
        <w:rPr>
          <w:rFonts w:cs="Arial"/>
          <w:sz w:val="20"/>
          <w:szCs w:val="20"/>
        </w:rPr>
      </w:pPr>
      <w:r w:rsidRPr="006A1E1C">
        <w:rPr>
          <w:rFonts w:cs="Arial"/>
          <w:b/>
          <w:bCs/>
          <w:sz w:val="20"/>
          <w:szCs w:val="20"/>
          <w:lang w:eastAsia="cs-CZ"/>
        </w:rPr>
        <w:t>STANOVISKO K PLNĚNÍ:</w:t>
      </w:r>
      <w:r w:rsidR="008A369E" w:rsidRPr="006A1E1C">
        <w:rPr>
          <w:rFonts w:cs="Arial"/>
          <w:b/>
          <w:bCs/>
          <w:sz w:val="20"/>
          <w:szCs w:val="20"/>
          <w:lang w:eastAsia="cs-CZ"/>
        </w:rPr>
        <w:t xml:space="preserve"> </w:t>
      </w:r>
      <w:r w:rsidR="008A369E" w:rsidRPr="006A1E1C">
        <w:rPr>
          <w:rFonts w:cs="Arial"/>
          <w:b/>
          <w:sz w:val="20"/>
          <w:szCs w:val="20"/>
        </w:rPr>
        <w:t>Plněno.</w:t>
      </w:r>
    </w:p>
    <w:p w14:paraId="7584FCFB" w14:textId="354457F4" w:rsidR="00516130" w:rsidRPr="000B2A0E" w:rsidRDefault="00516130" w:rsidP="005354D0">
      <w:pPr>
        <w:tabs>
          <w:tab w:val="left" w:pos="720"/>
        </w:tabs>
        <w:rPr>
          <w:rFonts w:cs="Arial"/>
          <w:b/>
          <w:bCs/>
          <w:sz w:val="20"/>
          <w:szCs w:val="20"/>
          <w:lang w:eastAsia="cs-CZ"/>
        </w:rPr>
      </w:pPr>
    </w:p>
    <w:p w14:paraId="52044315" w14:textId="6E0072EC" w:rsidR="0078343F" w:rsidRPr="006974E7" w:rsidRDefault="0078343F" w:rsidP="006974E7">
      <w:pPr>
        <w:tabs>
          <w:tab w:val="left" w:pos="720"/>
        </w:tabs>
        <w:rPr>
          <w:rFonts w:cs="Arial"/>
          <w:b/>
          <w:bCs/>
          <w:sz w:val="20"/>
          <w:szCs w:val="20"/>
          <w:lang w:eastAsia="cs-CZ"/>
        </w:rPr>
      </w:pPr>
      <w:r w:rsidRPr="006974E7">
        <w:rPr>
          <w:rFonts w:cs="Arial"/>
          <w:b/>
          <w:bCs/>
          <w:sz w:val="20"/>
          <w:szCs w:val="20"/>
          <w:lang w:eastAsia="cs-CZ"/>
        </w:rPr>
        <w:t>PLNĚNÍ MPO:</w:t>
      </w:r>
    </w:p>
    <w:p w14:paraId="0B8938C9" w14:textId="64250A15" w:rsidR="006974E7" w:rsidRPr="00697C19" w:rsidRDefault="006974E7" w:rsidP="006974E7">
      <w:pPr>
        <w:rPr>
          <w:rFonts w:cs="Arial"/>
          <w:sz w:val="20"/>
          <w:szCs w:val="20"/>
        </w:rPr>
      </w:pPr>
      <w:r w:rsidRPr="00697C19">
        <w:rPr>
          <w:rFonts w:cs="Arial"/>
          <w:sz w:val="20"/>
          <w:szCs w:val="20"/>
        </w:rPr>
        <w:lastRenderedPageBreak/>
        <w:t>Při vypisování výběrových řízení</w:t>
      </w:r>
      <w:r w:rsidRPr="006974E7">
        <w:rPr>
          <w:rFonts w:cs="Arial"/>
          <w:sz w:val="20"/>
          <w:szCs w:val="20"/>
        </w:rPr>
        <w:t xml:space="preserve"> (zadávání inzerce na vo</w:t>
      </w:r>
      <w:r w:rsidR="004B2226">
        <w:rPr>
          <w:rFonts w:cs="Arial"/>
          <w:sz w:val="20"/>
          <w:szCs w:val="20"/>
        </w:rPr>
        <w:t xml:space="preserve">lné pracovní pozice) se řídíme antidiskriminačním zákonem č. </w:t>
      </w:r>
      <w:r w:rsidRPr="006974E7">
        <w:rPr>
          <w:rFonts w:cs="Arial"/>
          <w:sz w:val="20"/>
          <w:szCs w:val="20"/>
        </w:rPr>
        <w:t>198/2009</w:t>
      </w:r>
      <w:r w:rsidR="004B2226">
        <w:rPr>
          <w:rFonts w:cs="Arial"/>
          <w:sz w:val="20"/>
          <w:szCs w:val="20"/>
        </w:rPr>
        <w:t xml:space="preserve"> Sb</w:t>
      </w:r>
      <w:r w:rsidRPr="006974E7">
        <w:rPr>
          <w:rFonts w:cs="Arial"/>
          <w:sz w:val="20"/>
          <w:szCs w:val="20"/>
        </w:rPr>
        <w:t xml:space="preserve">. Výběrová řízení jsou koncipována, tak, aby nikoho nezvýhodňovala. Posuzujeme uchazeče dle odbornosti, nepodporujeme přímou či nepřímou diskriminaci, naopak podporujeme dostupnost zaměstnání a setrvání v něm. Preferujeme univerzální přístupnost (univerzální design). </w:t>
      </w:r>
      <w:r w:rsidRPr="00697C19">
        <w:rPr>
          <w:rFonts w:cs="Arial"/>
          <w:sz w:val="20"/>
          <w:szCs w:val="20"/>
        </w:rPr>
        <w:t>Obdobně útvary MPO postupují i v případě zadávání veřejných zakázek.</w:t>
      </w:r>
    </w:p>
    <w:p w14:paraId="2A544014" w14:textId="77777777" w:rsidR="006974E7" w:rsidRPr="006974E7" w:rsidRDefault="006974E7" w:rsidP="0096475F">
      <w:pPr>
        <w:pStyle w:val="Normlnweb"/>
        <w:shd w:val="clear" w:color="auto" w:fill="FFFFFF"/>
        <w:spacing w:after="0"/>
        <w:contextualSpacing/>
        <w:rPr>
          <w:rFonts w:ascii="Arial" w:eastAsiaTheme="minorHAnsi" w:hAnsi="Arial" w:cs="Arial"/>
          <w:sz w:val="20"/>
          <w:szCs w:val="20"/>
          <w:lang w:eastAsia="en-US"/>
        </w:rPr>
      </w:pPr>
      <w:r w:rsidRPr="006974E7">
        <w:rPr>
          <w:rFonts w:ascii="Arial" w:eastAsiaTheme="minorHAnsi" w:hAnsi="Arial" w:cs="Arial"/>
          <w:sz w:val="20"/>
          <w:szCs w:val="20"/>
          <w:lang w:eastAsia="en-US"/>
        </w:rPr>
        <w:t>Rovněž podporujeme veškerá opatření, která jsou nezbytná pro výkon práce jak zdravotně postižených osob, tak při péči našich zaměstnanců o zdravotně postižené rodinné příslušníky:</w:t>
      </w:r>
    </w:p>
    <w:p w14:paraId="7D2AF68F" w14:textId="01C3EFBC" w:rsidR="006974E7" w:rsidRPr="006974E7" w:rsidRDefault="006974E7" w:rsidP="0096475F">
      <w:pPr>
        <w:pStyle w:val="Standard"/>
        <w:numPr>
          <w:ilvl w:val="0"/>
          <w:numId w:val="15"/>
        </w:numPr>
        <w:contextualSpacing/>
        <w:jc w:val="both"/>
        <w:rPr>
          <w:rFonts w:ascii="Arial" w:eastAsiaTheme="minorHAnsi" w:hAnsi="Arial" w:cs="Arial"/>
          <w:kern w:val="0"/>
          <w:sz w:val="20"/>
          <w:szCs w:val="20"/>
          <w:lang w:eastAsia="en-US" w:bidi="ar-SA"/>
        </w:rPr>
      </w:pPr>
      <w:r w:rsidRPr="006974E7">
        <w:rPr>
          <w:rFonts w:ascii="Arial" w:eastAsiaTheme="minorHAnsi" w:hAnsi="Arial" w:cs="Arial"/>
          <w:kern w:val="0"/>
          <w:sz w:val="20"/>
          <w:szCs w:val="20"/>
          <w:lang w:eastAsia="en-US" w:bidi="ar-SA"/>
        </w:rPr>
        <w:t>Slaďování osobního a rodinného života se státní službou, využití klouzavé pracovní doby, výkon práce z jiného místa (týká se i zaměstnanců, kteří</w:t>
      </w:r>
      <w:r w:rsidR="008317BF">
        <w:rPr>
          <w:rFonts w:ascii="Arial" w:eastAsiaTheme="minorHAnsi" w:hAnsi="Arial" w:cs="Arial"/>
          <w:kern w:val="0"/>
          <w:sz w:val="20"/>
          <w:szCs w:val="20"/>
          <w:lang w:eastAsia="en-US" w:bidi="ar-SA"/>
        </w:rPr>
        <w:t xml:space="preserve"> mají pečovatelské povinnosti o </w:t>
      </w:r>
      <w:r w:rsidRPr="006974E7">
        <w:rPr>
          <w:rFonts w:ascii="Arial" w:eastAsiaTheme="minorHAnsi" w:hAnsi="Arial" w:cs="Arial"/>
          <w:kern w:val="0"/>
          <w:sz w:val="20"/>
          <w:szCs w:val="20"/>
          <w:lang w:eastAsia="en-US" w:bidi="ar-SA"/>
        </w:rPr>
        <w:t>rodinné příslušníky);</w:t>
      </w:r>
    </w:p>
    <w:p w14:paraId="7441CE19" w14:textId="77777777" w:rsidR="006974E7" w:rsidRPr="006974E7" w:rsidRDefault="006974E7" w:rsidP="006974E7">
      <w:pPr>
        <w:pStyle w:val="Standard"/>
        <w:numPr>
          <w:ilvl w:val="0"/>
          <w:numId w:val="15"/>
        </w:numPr>
        <w:spacing w:after="120"/>
        <w:contextualSpacing/>
        <w:jc w:val="both"/>
        <w:rPr>
          <w:rFonts w:ascii="Arial" w:eastAsiaTheme="minorHAnsi" w:hAnsi="Arial" w:cs="Arial"/>
          <w:kern w:val="0"/>
          <w:sz w:val="20"/>
          <w:szCs w:val="20"/>
          <w:lang w:eastAsia="en-US" w:bidi="ar-SA"/>
        </w:rPr>
      </w:pPr>
      <w:r w:rsidRPr="006974E7">
        <w:rPr>
          <w:rFonts w:ascii="Arial" w:eastAsiaTheme="minorHAnsi" w:hAnsi="Arial" w:cs="Arial"/>
          <w:kern w:val="0"/>
          <w:sz w:val="20"/>
          <w:szCs w:val="20"/>
          <w:lang w:eastAsia="en-US" w:bidi="ar-SA"/>
        </w:rPr>
        <w:t>Možnost práce na zkrácené úvazky;</w:t>
      </w:r>
    </w:p>
    <w:p w14:paraId="1B8C828E" w14:textId="15EF9B7E" w:rsidR="006974E7" w:rsidRPr="006974E7" w:rsidRDefault="006974E7" w:rsidP="006974E7">
      <w:pPr>
        <w:pStyle w:val="Standard"/>
        <w:numPr>
          <w:ilvl w:val="0"/>
          <w:numId w:val="15"/>
        </w:numPr>
        <w:spacing w:after="120"/>
        <w:contextualSpacing/>
        <w:jc w:val="both"/>
        <w:rPr>
          <w:rFonts w:ascii="Arial" w:eastAsiaTheme="minorHAnsi" w:hAnsi="Arial" w:cs="Arial"/>
          <w:kern w:val="0"/>
          <w:sz w:val="20"/>
          <w:szCs w:val="20"/>
          <w:lang w:eastAsia="en-US" w:bidi="ar-SA"/>
        </w:rPr>
      </w:pPr>
      <w:r w:rsidRPr="006974E7">
        <w:rPr>
          <w:rFonts w:ascii="Arial" w:eastAsiaTheme="minorHAnsi" w:hAnsi="Arial" w:cs="Arial"/>
          <w:kern w:val="0"/>
          <w:sz w:val="20"/>
          <w:szCs w:val="20"/>
          <w:lang w:eastAsia="en-US" w:bidi="ar-SA"/>
        </w:rPr>
        <w:t>Vzdělávání podporující zaměstnatelnost, přizpůsobivos</w:t>
      </w:r>
      <w:r w:rsidR="008317BF">
        <w:rPr>
          <w:rFonts w:ascii="Arial" w:eastAsiaTheme="minorHAnsi" w:hAnsi="Arial" w:cs="Arial"/>
          <w:kern w:val="0"/>
          <w:sz w:val="20"/>
          <w:szCs w:val="20"/>
          <w:lang w:eastAsia="en-US" w:bidi="ar-SA"/>
        </w:rPr>
        <w:t>t, osobní rozvoj zaměstnanců (s </w:t>
      </w:r>
      <w:r w:rsidRPr="006974E7">
        <w:rPr>
          <w:rFonts w:ascii="Arial" w:eastAsiaTheme="minorHAnsi" w:hAnsi="Arial" w:cs="Arial"/>
          <w:kern w:val="0"/>
          <w:sz w:val="20"/>
          <w:szCs w:val="20"/>
          <w:lang w:eastAsia="en-US" w:bidi="ar-SA"/>
        </w:rPr>
        <w:t>dostupností k informovanosti o aktivním občanství osob se zdravotním postižením).</w:t>
      </w:r>
    </w:p>
    <w:p w14:paraId="78794398" w14:textId="596EB3D4" w:rsidR="006974E7" w:rsidRPr="006974E7" w:rsidRDefault="006974E7" w:rsidP="006974E7">
      <w:pPr>
        <w:rPr>
          <w:rFonts w:cs="Arial"/>
          <w:color w:val="0070C0"/>
          <w:sz w:val="20"/>
          <w:szCs w:val="20"/>
          <w:u w:val="single"/>
        </w:rPr>
      </w:pPr>
      <w:r w:rsidRPr="00697C19">
        <w:rPr>
          <w:rFonts w:cs="Arial"/>
          <w:sz w:val="20"/>
          <w:szCs w:val="20"/>
        </w:rPr>
        <w:t>U operačních programů: v</w:t>
      </w:r>
      <w:r w:rsidRPr="006974E7">
        <w:rPr>
          <w:rFonts w:cs="Arial"/>
          <w:sz w:val="20"/>
          <w:szCs w:val="20"/>
        </w:rPr>
        <w:t xml:space="preserve"> souladu s Výzvou nesmí při realizaci projektu docházet k porušování práv daných Listinou základních práv EU a Úmluvy OSN o právech osob se zdravotním postižením. Pro oznámení podezření na porušování uvedených práv zřizuje Řídící orgán Operačního programu Technologie a aplikace pro konkurenceschopnost (OP TAK) informační e-mail: </w:t>
      </w:r>
      <w:hyperlink r:id="rId16" w:history="1">
        <w:r w:rsidRPr="006974E7">
          <w:rPr>
            <w:rFonts w:cs="Arial"/>
            <w:color w:val="0070C0"/>
            <w:sz w:val="20"/>
            <w:szCs w:val="20"/>
            <w:u w:val="single"/>
          </w:rPr>
          <w:t>porusovaniprav@mpo.cz</w:t>
        </w:r>
      </w:hyperlink>
      <w:r w:rsidR="0096475F">
        <w:rPr>
          <w:rFonts w:cs="Arial"/>
          <w:color w:val="0070C0"/>
          <w:sz w:val="20"/>
          <w:szCs w:val="20"/>
          <w:u w:val="single"/>
        </w:rPr>
        <w:t>.</w:t>
      </w:r>
    </w:p>
    <w:p w14:paraId="5F231F65" w14:textId="77777777" w:rsidR="006974E7" w:rsidRPr="006974E7" w:rsidRDefault="006974E7" w:rsidP="0096475F">
      <w:pPr>
        <w:spacing w:after="0"/>
        <w:rPr>
          <w:rFonts w:cs="Arial"/>
          <w:sz w:val="20"/>
          <w:szCs w:val="20"/>
        </w:rPr>
      </w:pPr>
      <w:r w:rsidRPr="006974E7">
        <w:rPr>
          <w:rFonts w:cs="Arial"/>
          <w:sz w:val="20"/>
          <w:szCs w:val="20"/>
        </w:rPr>
        <w:t>Projekty v rámci OP TAK jsou povinny dodržovat následující horizontální principy:</w:t>
      </w:r>
    </w:p>
    <w:p w14:paraId="61784539" w14:textId="77777777" w:rsidR="006974E7" w:rsidRPr="006974E7" w:rsidRDefault="006974E7" w:rsidP="0096475F">
      <w:pPr>
        <w:pStyle w:val="Odstavecseseznamem"/>
        <w:numPr>
          <w:ilvl w:val="0"/>
          <w:numId w:val="16"/>
        </w:numPr>
        <w:spacing w:after="0"/>
        <w:rPr>
          <w:rFonts w:cs="Arial"/>
          <w:sz w:val="20"/>
          <w:szCs w:val="20"/>
        </w:rPr>
      </w:pPr>
      <w:r w:rsidRPr="006974E7">
        <w:rPr>
          <w:rFonts w:cs="Arial"/>
          <w:sz w:val="20"/>
          <w:szCs w:val="20"/>
        </w:rPr>
        <w:t>Udržitelný rozvoj,</w:t>
      </w:r>
    </w:p>
    <w:p w14:paraId="5E048C3F" w14:textId="77777777" w:rsidR="006974E7" w:rsidRPr="006974E7" w:rsidRDefault="006974E7" w:rsidP="006974E7">
      <w:pPr>
        <w:pStyle w:val="Odstavecseseznamem"/>
        <w:numPr>
          <w:ilvl w:val="0"/>
          <w:numId w:val="16"/>
        </w:numPr>
        <w:rPr>
          <w:rFonts w:cs="Arial"/>
          <w:sz w:val="20"/>
          <w:szCs w:val="20"/>
        </w:rPr>
      </w:pPr>
      <w:r w:rsidRPr="006974E7">
        <w:rPr>
          <w:rFonts w:cs="Arial"/>
          <w:sz w:val="20"/>
          <w:szCs w:val="20"/>
        </w:rPr>
        <w:t>Rovné příležitosti a nediskriminace,</w:t>
      </w:r>
    </w:p>
    <w:p w14:paraId="2245BD73" w14:textId="24310A43" w:rsidR="006974E7" w:rsidRPr="006974E7" w:rsidRDefault="006974E7" w:rsidP="006974E7">
      <w:pPr>
        <w:pStyle w:val="Odstavecseseznamem"/>
        <w:numPr>
          <w:ilvl w:val="0"/>
          <w:numId w:val="16"/>
        </w:numPr>
        <w:rPr>
          <w:rFonts w:cs="Arial"/>
          <w:sz w:val="20"/>
          <w:szCs w:val="20"/>
        </w:rPr>
      </w:pPr>
      <w:r w:rsidRPr="006974E7">
        <w:rPr>
          <w:rFonts w:cs="Arial"/>
          <w:sz w:val="20"/>
          <w:szCs w:val="20"/>
        </w:rPr>
        <w:t>Rovné příležitosti mužů a žen.</w:t>
      </w:r>
    </w:p>
    <w:p w14:paraId="19EF0A47" w14:textId="6925BA6E" w:rsidR="0078343F" w:rsidRPr="006974E7" w:rsidRDefault="0078343F" w:rsidP="006974E7">
      <w:pPr>
        <w:keepNext/>
        <w:tabs>
          <w:tab w:val="left" w:pos="720"/>
        </w:tabs>
        <w:rPr>
          <w:rFonts w:cs="Arial"/>
          <w:b/>
          <w:bCs/>
          <w:sz w:val="20"/>
          <w:szCs w:val="20"/>
          <w:lang w:eastAsia="cs-CZ"/>
        </w:rPr>
      </w:pPr>
      <w:r w:rsidRPr="006974E7">
        <w:rPr>
          <w:rFonts w:cs="Arial"/>
          <w:b/>
          <w:bCs/>
          <w:sz w:val="20"/>
          <w:szCs w:val="20"/>
          <w:lang w:eastAsia="cs-CZ"/>
        </w:rPr>
        <w:t>STANOVISKO K PLNĚNÍ:</w:t>
      </w:r>
      <w:r w:rsidR="00BA6910" w:rsidRPr="006974E7">
        <w:rPr>
          <w:rFonts w:cs="Arial"/>
          <w:b/>
          <w:bCs/>
          <w:sz w:val="20"/>
          <w:szCs w:val="20"/>
          <w:lang w:eastAsia="cs-CZ"/>
        </w:rPr>
        <w:t xml:space="preserve"> </w:t>
      </w:r>
      <w:r w:rsidR="00BA6910" w:rsidRPr="006974E7">
        <w:rPr>
          <w:rFonts w:cs="Arial"/>
          <w:b/>
          <w:sz w:val="20"/>
          <w:szCs w:val="20"/>
        </w:rPr>
        <w:t>Plněno.</w:t>
      </w:r>
    </w:p>
    <w:p w14:paraId="3CC50F01" w14:textId="35B05B61" w:rsidR="0078343F" w:rsidRPr="00CA7FDD" w:rsidRDefault="0078343F" w:rsidP="005354D0">
      <w:pPr>
        <w:tabs>
          <w:tab w:val="left" w:pos="720"/>
        </w:tabs>
        <w:rPr>
          <w:rFonts w:cs="Arial"/>
          <w:b/>
          <w:bCs/>
          <w:sz w:val="20"/>
          <w:szCs w:val="20"/>
          <w:lang w:eastAsia="cs-CZ"/>
        </w:rPr>
      </w:pPr>
    </w:p>
    <w:p w14:paraId="654E58CA" w14:textId="2F14A4D8" w:rsidR="00281868" w:rsidRPr="00BA3092" w:rsidRDefault="00281868" w:rsidP="00CA7FDD">
      <w:pPr>
        <w:keepNext/>
        <w:tabs>
          <w:tab w:val="left" w:pos="720"/>
        </w:tabs>
        <w:rPr>
          <w:rFonts w:cs="Arial"/>
          <w:b/>
          <w:bCs/>
          <w:sz w:val="20"/>
          <w:szCs w:val="20"/>
          <w:lang w:eastAsia="cs-CZ"/>
        </w:rPr>
      </w:pPr>
      <w:r w:rsidRPr="00BA3092">
        <w:rPr>
          <w:rFonts w:cs="Arial"/>
          <w:b/>
          <w:bCs/>
          <w:sz w:val="20"/>
          <w:szCs w:val="20"/>
          <w:lang w:eastAsia="cs-CZ"/>
        </w:rPr>
        <w:t>PLNĚNÍ MPSV:</w:t>
      </w:r>
    </w:p>
    <w:p w14:paraId="7325ECAB" w14:textId="140EABCC" w:rsidR="00BA3092" w:rsidRPr="00BA3092" w:rsidRDefault="00BA3092" w:rsidP="00BA3092">
      <w:pPr>
        <w:rPr>
          <w:rFonts w:cs="Arial"/>
          <w:sz w:val="20"/>
          <w:szCs w:val="20"/>
        </w:rPr>
      </w:pPr>
      <w:r w:rsidRPr="00BA3092">
        <w:rPr>
          <w:rFonts w:cs="Arial"/>
          <w:sz w:val="20"/>
          <w:szCs w:val="20"/>
        </w:rPr>
        <w:t>Ministerstvo práce a s</w:t>
      </w:r>
      <w:r w:rsidR="001679E4">
        <w:rPr>
          <w:rFonts w:cs="Arial"/>
          <w:sz w:val="20"/>
          <w:szCs w:val="20"/>
        </w:rPr>
        <w:t>ociálních věcí</w:t>
      </w:r>
      <w:r w:rsidRPr="00BA3092">
        <w:rPr>
          <w:rFonts w:cs="Arial"/>
          <w:sz w:val="20"/>
          <w:szCs w:val="20"/>
        </w:rPr>
        <w:t>, jakož i jemu podřízené resortní organizace s celorepublikovou působností, tj. Česká správa sociálníh</w:t>
      </w:r>
      <w:r w:rsidR="001679E4">
        <w:rPr>
          <w:rFonts w:cs="Arial"/>
          <w:sz w:val="20"/>
          <w:szCs w:val="20"/>
        </w:rPr>
        <w:t xml:space="preserve">o zabezpečení </w:t>
      </w:r>
      <w:r w:rsidRPr="00BA3092">
        <w:rPr>
          <w:rFonts w:cs="Arial"/>
          <w:sz w:val="20"/>
          <w:szCs w:val="20"/>
        </w:rPr>
        <w:t>a </w:t>
      </w:r>
      <w:r w:rsidR="001679E4">
        <w:rPr>
          <w:rFonts w:cs="Arial"/>
          <w:sz w:val="20"/>
          <w:szCs w:val="20"/>
        </w:rPr>
        <w:t>Úřad práce ČR</w:t>
      </w:r>
      <w:r w:rsidRPr="00BA3092">
        <w:rPr>
          <w:rFonts w:cs="Arial"/>
          <w:sz w:val="20"/>
          <w:szCs w:val="20"/>
        </w:rPr>
        <w:t>, se při přijímání organizačních, legislativních i nelegislativních opatření, a při plánování stavebních úprav, investic a rozsáhlejších oprav administrativních budov snaží v co nejvyšší míře uplatňovat princip komplexního plánování a univerzálního designu.</w:t>
      </w:r>
    </w:p>
    <w:p w14:paraId="10F55E80" w14:textId="77777777" w:rsidR="00BA3092" w:rsidRPr="00BA3092" w:rsidRDefault="00BA3092" w:rsidP="00BA3092">
      <w:pPr>
        <w:rPr>
          <w:rFonts w:cs="Arial"/>
          <w:sz w:val="20"/>
          <w:szCs w:val="20"/>
        </w:rPr>
      </w:pPr>
      <w:r w:rsidRPr="00BA3092">
        <w:rPr>
          <w:rFonts w:cs="Arial"/>
          <w:sz w:val="20"/>
          <w:szCs w:val="20"/>
        </w:rPr>
        <w:t>V rámci legislativního procesu je plnění tohoto úkolu zajištěno okruhem připomínkových míst, která se vyjadřují ke všem návrhům právních předpisů v působnosti MPSV.</w:t>
      </w:r>
    </w:p>
    <w:p w14:paraId="30370A13" w14:textId="1C3C0410" w:rsidR="00BA3092" w:rsidRPr="00BA3092" w:rsidRDefault="00BA3092" w:rsidP="00BA3092">
      <w:pPr>
        <w:rPr>
          <w:rFonts w:cs="Arial"/>
          <w:sz w:val="20"/>
          <w:szCs w:val="20"/>
        </w:rPr>
      </w:pPr>
      <w:r w:rsidRPr="00BA3092">
        <w:rPr>
          <w:rFonts w:cs="Arial"/>
          <w:sz w:val="20"/>
          <w:szCs w:val="20"/>
        </w:rPr>
        <w:t xml:space="preserve">V rámci provádění sociálního pojištění při přijímání organizačních a případných technických opatření, která se týkají osob se zdravotním postižením (dále jen „osoby se </w:t>
      </w:r>
      <w:r w:rsidR="00604BB4">
        <w:rPr>
          <w:rFonts w:cs="Arial"/>
          <w:sz w:val="20"/>
          <w:szCs w:val="20"/>
        </w:rPr>
        <w:t>ZP“), postupuje ČSSZ důsledně v </w:t>
      </w:r>
      <w:r w:rsidRPr="00BA3092">
        <w:rPr>
          <w:rFonts w:cs="Arial"/>
          <w:sz w:val="20"/>
          <w:szCs w:val="20"/>
        </w:rPr>
        <w:t>intencích platné právní úpravy, to znamená tak, že u všech pojištěnců aplikuje zcela rovnoprávný přístup, dbá, aby žádné opatření nemělo za následek přímou či nepřímou diskriminaci osob se ZP, zohledňuje jejich případné specifické potřeby.</w:t>
      </w:r>
    </w:p>
    <w:p w14:paraId="4A8A4FDF" w14:textId="2B85A345" w:rsidR="00BA3092" w:rsidRPr="00BA3092" w:rsidRDefault="00BA3092" w:rsidP="00BA3092">
      <w:pPr>
        <w:rPr>
          <w:rFonts w:cs="Arial"/>
          <w:sz w:val="20"/>
          <w:szCs w:val="20"/>
        </w:rPr>
      </w:pPr>
      <w:r w:rsidRPr="00BA3092">
        <w:rPr>
          <w:rFonts w:cs="Arial"/>
          <w:sz w:val="20"/>
          <w:szCs w:val="20"/>
        </w:rPr>
        <w:t>Organizační i legislativní opatření lékařské posudkové služby (LPS) ČSSZ byla vždy takového charakteru, aby vyhovovala i osobám se ZP. Konkrétně se jednalo např. o organizaci výpomocí se zpracováním posudků napříč celou republikou tak, aby žádosti osob se ZP byly vyřízeny v co možná nejkratší lhůtě a při dostatečné zdravotnické dokumentace bez nutné přítomnosti klienta, aby nebyl zbytečně zatěžován. Mezi další opatření, účinná od 1. 1. 2023, patřilo např. zavedení koncentrace podkladů, kdy jsou klienti jasně a prokazatelně informováni o tom, do kdy mohou ještě po podání žádosti předkládat další z jejich pohledu významné podklady. Za účelem zkrácení délky posudkového řízení byli od uvedeného data zavedeni do struktury LPS odborní nelék</w:t>
      </w:r>
      <w:r w:rsidR="008F1CF4">
        <w:rPr>
          <w:rFonts w:cs="Arial"/>
          <w:sz w:val="20"/>
          <w:szCs w:val="20"/>
        </w:rPr>
        <w:t>ařští zdravotničtí pracovníci s </w:t>
      </w:r>
      <w:r w:rsidRPr="00BA3092">
        <w:rPr>
          <w:rFonts w:cs="Arial"/>
          <w:sz w:val="20"/>
          <w:szCs w:val="20"/>
        </w:rPr>
        <w:t xml:space="preserve">taxativně vymezenou zdravotnickou odborností a kompetencemi posuzovat ve vyjmenovaných případech zdravotní stav žadatelů o dávky podmíněné dlouhodobě nepříznivým zdravotním stavem. Pokračovala opatření přijatá za účelem minimalizace zátěže osob se ZP v souvislosti s efektivním stanovováním lhůt kontrolních lékařských prohlídek a doby platnosti posudku LPS. Za účelem zefektivnění činnosti a zkrácení lhůt bylo aktualizováno několik metodických pokynů LPS. </w:t>
      </w:r>
    </w:p>
    <w:p w14:paraId="3726F71A" w14:textId="77777777" w:rsidR="00BA3092" w:rsidRPr="00BA3092" w:rsidRDefault="00BA3092" w:rsidP="00BA3092">
      <w:pPr>
        <w:rPr>
          <w:rFonts w:cs="Arial"/>
          <w:sz w:val="20"/>
          <w:szCs w:val="20"/>
        </w:rPr>
      </w:pPr>
      <w:r w:rsidRPr="00BA3092">
        <w:rPr>
          <w:rFonts w:cs="Arial"/>
          <w:sz w:val="20"/>
          <w:szCs w:val="20"/>
        </w:rPr>
        <w:t>Profesní dotazník byl rozšířen o položky, v rámci nichž mají osoby se ZP možnost vyjádřit se ke svému zdravotnímu stavu a obtížím, které je z jejich pohledu nejvíce limitují.</w:t>
      </w:r>
    </w:p>
    <w:p w14:paraId="6CE27928" w14:textId="6F27C434" w:rsidR="00BA3092" w:rsidRPr="00BA3092" w:rsidRDefault="00BA3092" w:rsidP="00BA3092">
      <w:pPr>
        <w:rPr>
          <w:rFonts w:cs="Arial"/>
          <w:sz w:val="20"/>
          <w:szCs w:val="20"/>
        </w:rPr>
      </w:pPr>
      <w:r w:rsidRPr="00BA3092">
        <w:rPr>
          <w:rFonts w:cs="Arial"/>
          <w:sz w:val="20"/>
          <w:szCs w:val="20"/>
        </w:rPr>
        <w:lastRenderedPageBreak/>
        <w:t>Od 1. 7. 2023 začala LPS ČSSZ posuzovat zdravotní stav cizinců s dočasnou ochranou podle zákona č. 66/2022 Sb., o opatřeních v oblasti zaměstnanosti a oblasti sociáln</w:t>
      </w:r>
      <w:r w:rsidR="00340188">
        <w:rPr>
          <w:rFonts w:cs="Arial"/>
          <w:sz w:val="20"/>
          <w:szCs w:val="20"/>
        </w:rPr>
        <w:t>ího zabezpečení v souvislosti s </w:t>
      </w:r>
      <w:r w:rsidRPr="00BA3092">
        <w:rPr>
          <w:rFonts w:cs="Arial"/>
          <w:sz w:val="20"/>
          <w:szCs w:val="20"/>
        </w:rPr>
        <w:t>ozbrojeným konfliktem na území Ukrajiny vyvolaným invazí vojsk Ruské federace.</w:t>
      </w:r>
    </w:p>
    <w:p w14:paraId="4604B71A" w14:textId="41627654" w:rsidR="00BA3092" w:rsidRPr="00BA3092" w:rsidRDefault="00BA3092" w:rsidP="00BA3092">
      <w:pPr>
        <w:rPr>
          <w:rFonts w:cs="Arial"/>
          <w:sz w:val="20"/>
          <w:szCs w:val="20"/>
        </w:rPr>
      </w:pPr>
      <w:r w:rsidRPr="00BA3092">
        <w:rPr>
          <w:rFonts w:cs="Arial"/>
          <w:sz w:val="20"/>
          <w:szCs w:val="20"/>
        </w:rPr>
        <w:t>ČSSZ dodržuje univerzální design dle vzoru MPSV či Úřadu pro zastupování stát</w:t>
      </w:r>
      <w:r w:rsidR="001679E4">
        <w:rPr>
          <w:rFonts w:cs="Arial"/>
          <w:sz w:val="20"/>
          <w:szCs w:val="20"/>
        </w:rPr>
        <w:t>u ve věcech majetkových (ÚZSVM)</w:t>
      </w:r>
      <w:r w:rsidRPr="00BA3092">
        <w:rPr>
          <w:rFonts w:cs="Arial"/>
          <w:sz w:val="20"/>
          <w:szCs w:val="20"/>
        </w:rPr>
        <w:t xml:space="preserve"> tak, aby navrhovaná řešení vyhovovala osobám se ZP.</w:t>
      </w:r>
    </w:p>
    <w:p w14:paraId="6DF863C7" w14:textId="3A1AA6CA" w:rsidR="00281868" w:rsidRPr="00BA3092" w:rsidRDefault="00281868" w:rsidP="00CA7FDD">
      <w:pPr>
        <w:keepNext/>
        <w:tabs>
          <w:tab w:val="left" w:pos="720"/>
        </w:tabs>
        <w:rPr>
          <w:rFonts w:cs="Arial"/>
          <w:b/>
          <w:bCs/>
          <w:sz w:val="20"/>
          <w:szCs w:val="20"/>
          <w:lang w:eastAsia="cs-CZ"/>
        </w:rPr>
      </w:pPr>
      <w:r w:rsidRPr="00BA3092">
        <w:rPr>
          <w:rFonts w:cs="Arial"/>
          <w:b/>
          <w:bCs/>
          <w:sz w:val="20"/>
          <w:szCs w:val="20"/>
          <w:lang w:eastAsia="cs-CZ"/>
        </w:rPr>
        <w:t>STANOVISKO K PLNĚNÍ:</w:t>
      </w:r>
      <w:r w:rsidR="00665EFC" w:rsidRPr="00BA3092">
        <w:rPr>
          <w:rFonts w:cs="Arial"/>
          <w:b/>
          <w:bCs/>
          <w:sz w:val="20"/>
          <w:szCs w:val="20"/>
          <w:lang w:eastAsia="cs-CZ"/>
        </w:rPr>
        <w:t xml:space="preserve"> </w:t>
      </w:r>
      <w:r w:rsidR="00665EFC" w:rsidRPr="00BA3092">
        <w:rPr>
          <w:rFonts w:cs="Arial"/>
          <w:b/>
          <w:sz w:val="20"/>
          <w:szCs w:val="20"/>
        </w:rPr>
        <w:t>Plněno.</w:t>
      </w:r>
    </w:p>
    <w:p w14:paraId="49AE5A53" w14:textId="77777777" w:rsidR="0078343F" w:rsidRPr="00CA7FDD" w:rsidRDefault="0078343F" w:rsidP="00CA7FDD">
      <w:pPr>
        <w:tabs>
          <w:tab w:val="left" w:pos="720"/>
        </w:tabs>
        <w:rPr>
          <w:rFonts w:cs="Arial"/>
          <w:b/>
          <w:bCs/>
          <w:sz w:val="20"/>
          <w:szCs w:val="20"/>
          <w:lang w:eastAsia="cs-CZ"/>
        </w:rPr>
      </w:pPr>
    </w:p>
    <w:p w14:paraId="26BC1FF5" w14:textId="5FD46E4E" w:rsidR="00182719" w:rsidRPr="00093774" w:rsidRDefault="0079159A" w:rsidP="00093774">
      <w:pPr>
        <w:tabs>
          <w:tab w:val="left" w:pos="720"/>
        </w:tabs>
        <w:rPr>
          <w:rFonts w:cs="Arial"/>
          <w:b/>
          <w:bCs/>
          <w:sz w:val="20"/>
          <w:szCs w:val="20"/>
          <w:lang w:eastAsia="cs-CZ"/>
        </w:rPr>
      </w:pPr>
      <w:r w:rsidRPr="00093774">
        <w:rPr>
          <w:rFonts w:cs="Arial"/>
          <w:b/>
          <w:bCs/>
          <w:sz w:val="20"/>
          <w:szCs w:val="20"/>
          <w:lang w:eastAsia="cs-CZ"/>
        </w:rPr>
        <w:t>PLNĚNÍ MSp</w:t>
      </w:r>
      <w:r w:rsidR="00182719" w:rsidRPr="00093774">
        <w:rPr>
          <w:rFonts w:cs="Arial"/>
          <w:b/>
          <w:bCs/>
          <w:sz w:val="20"/>
          <w:szCs w:val="20"/>
          <w:lang w:eastAsia="cs-CZ"/>
        </w:rPr>
        <w:t>:</w:t>
      </w:r>
    </w:p>
    <w:p w14:paraId="739897B3" w14:textId="5FA1E5C8" w:rsidR="00093774" w:rsidRPr="00093774" w:rsidRDefault="00093774" w:rsidP="00093774">
      <w:pPr>
        <w:autoSpaceDE w:val="0"/>
        <w:autoSpaceDN w:val="0"/>
        <w:adjustRightInd w:val="0"/>
        <w:rPr>
          <w:rFonts w:cs="Arial"/>
          <w:sz w:val="20"/>
          <w:szCs w:val="20"/>
        </w:rPr>
      </w:pPr>
      <w:r w:rsidRPr="00093774">
        <w:rPr>
          <w:rFonts w:cs="Arial"/>
          <w:sz w:val="20"/>
          <w:szCs w:val="20"/>
        </w:rPr>
        <w:t>Ministerstv</w:t>
      </w:r>
      <w:r w:rsidR="00CF4B1A">
        <w:rPr>
          <w:rFonts w:cs="Arial"/>
          <w:sz w:val="20"/>
          <w:szCs w:val="20"/>
        </w:rPr>
        <w:t>o spravedlnosti</w:t>
      </w:r>
      <w:r w:rsidRPr="00093774">
        <w:rPr>
          <w:rFonts w:cs="Arial"/>
          <w:sz w:val="20"/>
          <w:szCs w:val="20"/>
        </w:rPr>
        <w:t xml:space="preserve"> důsledně předchází jakémukoliv jednání, které by znevýhodňovalo osoby se zdravotním postižením. Při obsazování volných služebních a pracovních míst jsou zajištěny rovné podmínky pro ženy i muže bez ohledu na zdravotní postižení, neboť hlavními kritérii jsou jejich odborné znalosti a kvalifikace. Proto každé oznámení o vyhlášení VŘ na služební místo obsahuje formulaci: „Služební úřad s ohledem na profesní a kvalifikační předpoklady podporuje přímé zaměstnávání osob se zdravotním postižením.“ V rámci pracovníh</w:t>
      </w:r>
      <w:r w:rsidR="00340188">
        <w:rPr>
          <w:rFonts w:cs="Arial"/>
          <w:sz w:val="20"/>
          <w:szCs w:val="20"/>
        </w:rPr>
        <w:t>o uplatnění v MSp lze požádat o </w:t>
      </w:r>
      <w:r w:rsidRPr="00093774">
        <w:rPr>
          <w:rFonts w:cs="Arial"/>
          <w:sz w:val="20"/>
          <w:szCs w:val="20"/>
        </w:rPr>
        <w:t xml:space="preserve">úpravu pracovní doby nebo zkrácení úvazku. Standardně je zde </w:t>
      </w:r>
      <w:r w:rsidR="00340188">
        <w:rPr>
          <w:rFonts w:cs="Arial"/>
          <w:sz w:val="20"/>
          <w:szCs w:val="20"/>
        </w:rPr>
        <w:t>zavedena pružná pracovní doba a </w:t>
      </w:r>
      <w:r w:rsidRPr="00093774">
        <w:rPr>
          <w:rFonts w:cs="Arial"/>
          <w:sz w:val="20"/>
          <w:szCs w:val="20"/>
        </w:rPr>
        <w:t xml:space="preserve">po domluvě s představeným či nadřízeným lze využívat home office. Všechny uvedené možnosti byly osobami se zdravotním postižením v uplynulém roce 2023 využívány. Zároveň vůči nim nedocházelo k diskriminačnímu jednání a byla pro ně uplatňována jednotná pravidla ve všech oblastech, které se týkaly jejich zaměstnávání. </w:t>
      </w:r>
    </w:p>
    <w:p w14:paraId="7535EAE2" w14:textId="314286F9" w:rsidR="00182719" w:rsidRPr="00093774" w:rsidRDefault="00182719" w:rsidP="00093774">
      <w:pPr>
        <w:keepNext/>
        <w:tabs>
          <w:tab w:val="left" w:pos="720"/>
        </w:tabs>
        <w:rPr>
          <w:rFonts w:cs="Arial"/>
          <w:b/>
          <w:bCs/>
          <w:sz w:val="20"/>
          <w:szCs w:val="20"/>
          <w:lang w:eastAsia="cs-CZ"/>
        </w:rPr>
      </w:pPr>
      <w:r w:rsidRPr="00093774">
        <w:rPr>
          <w:rFonts w:cs="Arial"/>
          <w:b/>
          <w:bCs/>
          <w:sz w:val="20"/>
          <w:szCs w:val="20"/>
          <w:lang w:eastAsia="cs-CZ"/>
        </w:rPr>
        <w:t>STANOVISKO K PLNĚNÍ:</w:t>
      </w:r>
      <w:r w:rsidR="002B212A" w:rsidRPr="00093774">
        <w:rPr>
          <w:rFonts w:cs="Arial"/>
          <w:b/>
          <w:bCs/>
          <w:sz w:val="20"/>
          <w:szCs w:val="20"/>
          <w:lang w:eastAsia="cs-CZ"/>
        </w:rPr>
        <w:t xml:space="preserve"> </w:t>
      </w:r>
      <w:r w:rsidR="002B212A" w:rsidRPr="00093774">
        <w:rPr>
          <w:rFonts w:cs="Arial"/>
          <w:b/>
          <w:sz w:val="20"/>
          <w:szCs w:val="20"/>
        </w:rPr>
        <w:t>Plněno.</w:t>
      </w:r>
    </w:p>
    <w:p w14:paraId="4F4E5C41" w14:textId="77777777" w:rsidR="00182719" w:rsidRPr="00EA554A" w:rsidRDefault="00182719" w:rsidP="00EA554A">
      <w:pPr>
        <w:tabs>
          <w:tab w:val="left" w:pos="720"/>
        </w:tabs>
        <w:rPr>
          <w:rFonts w:cs="Arial"/>
          <w:b/>
          <w:bCs/>
          <w:sz w:val="20"/>
          <w:szCs w:val="20"/>
          <w:lang w:eastAsia="cs-CZ"/>
        </w:rPr>
      </w:pPr>
    </w:p>
    <w:p w14:paraId="0C3E1B52" w14:textId="03E496E7" w:rsidR="00656573" w:rsidRPr="004B71F1" w:rsidRDefault="00656573" w:rsidP="00EA554A">
      <w:pPr>
        <w:tabs>
          <w:tab w:val="left" w:pos="720"/>
        </w:tabs>
        <w:rPr>
          <w:rFonts w:cs="Arial"/>
          <w:b/>
          <w:bCs/>
          <w:sz w:val="20"/>
          <w:szCs w:val="20"/>
          <w:lang w:eastAsia="cs-CZ"/>
        </w:rPr>
      </w:pPr>
      <w:r w:rsidRPr="004B71F1">
        <w:rPr>
          <w:rFonts w:cs="Arial"/>
          <w:b/>
          <w:bCs/>
          <w:sz w:val="20"/>
          <w:szCs w:val="20"/>
          <w:lang w:eastAsia="cs-CZ"/>
        </w:rPr>
        <w:t>PLNĚNÍ MŠMT:</w:t>
      </w:r>
    </w:p>
    <w:p w14:paraId="0717A373" w14:textId="7ECA414F" w:rsidR="004B71F1" w:rsidRPr="004B71F1" w:rsidRDefault="004B71F1" w:rsidP="004B71F1">
      <w:pPr>
        <w:rPr>
          <w:rFonts w:cs="Arial"/>
          <w:sz w:val="20"/>
          <w:szCs w:val="20"/>
        </w:rPr>
      </w:pPr>
      <w:r w:rsidRPr="004B71F1">
        <w:rPr>
          <w:rFonts w:cs="Arial"/>
          <w:sz w:val="20"/>
          <w:szCs w:val="20"/>
        </w:rPr>
        <w:t>Při přijímání všech opatření státní správy je dodržován princip komplexního plánování (univerzální design) tak, aby navrhovaná řešení vyhovovala i osobám se zdravotním postižením. Při přijímání legislativních předpisů je postupováno v souladu s hodnocením dopadů regulace, v nichž se hodnotí dopady ve vztahu k zákazu diskriminace a ve vztahu k rovnos</w:t>
      </w:r>
      <w:r w:rsidR="00340188">
        <w:rPr>
          <w:rFonts w:cs="Arial"/>
          <w:sz w:val="20"/>
          <w:szCs w:val="20"/>
        </w:rPr>
        <w:t>ti žen a mužů. Jsou přijímány a </w:t>
      </w:r>
      <w:r w:rsidRPr="004B71F1">
        <w:rPr>
          <w:rFonts w:cs="Arial"/>
          <w:sz w:val="20"/>
          <w:szCs w:val="20"/>
        </w:rPr>
        <w:t>upravovány legislativní předpisy za účelem zvýšení rovnosti osob se zdravotním postižením při vzdělávání.</w:t>
      </w:r>
    </w:p>
    <w:p w14:paraId="30E63324" w14:textId="77777777" w:rsidR="004B71F1" w:rsidRPr="004B71F1" w:rsidRDefault="004B71F1" w:rsidP="004B71F1">
      <w:pPr>
        <w:rPr>
          <w:rFonts w:cs="Arial"/>
          <w:sz w:val="20"/>
          <w:szCs w:val="20"/>
        </w:rPr>
      </w:pPr>
      <w:r w:rsidRPr="004B71F1">
        <w:rPr>
          <w:rFonts w:cs="Arial"/>
          <w:sz w:val="20"/>
          <w:szCs w:val="20"/>
        </w:rPr>
        <w:t xml:space="preserve">V oblasti regionálního školství je cílem podpořit spravedlivé a rovné šance a přístup ke kvalitnímu vzdělání všech dětí, žáků a studentů vyšších odborných škol, včetně dětí, žáků a studentů se speciálními vzdělávacími potřebami. </w:t>
      </w:r>
    </w:p>
    <w:p w14:paraId="0A44C70B" w14:textId="77777777" w:rsidR="004B71F1" w:rsidRPr="004B71F1" w:rsidRDefault="004B71F1" w:rsidP="004B71F1">
      <w:pPr>
        <w:rPr>
          <w:rFonts w:cs="Arial"/>
          <w:sz w:val="20"/>
          <w:szCs w:val="20"/>
        </w:rPr>
      </w:pPr>
      <w:r w:rsidRPr="004B71F1">
        <w:rPr>
          <w:rFonts w:cs="Arial"/>
          <w:sz w:val="20"/>
          <w:szCs w:val="20"/>
        </w:rPr>
        <w:t xml:space="preserve">Při vytváření opatření a strategickém plánování v oblasti vysokých škol je brán ohled na všechny skupiny obyvatel, přičemž cílem je naopak zvyšovat dostupnost vzdělání všem bez rozdílu. Tento princip se projevuje i ve Strategickém záměru MŠMT pro oblast vysokých škol, který byl navíc skrze </w:t>
      </w:r>
      <w:hyperlink r:id="rId17" w:history="1">
        <w:r w:rsidRPr="004B71F1">
          <w:rPr>
            <w:rStyle w:val="Hypertextovodkaz"/>
            <w:rFonts w:cs="Arial"/>
            <w:sz w:val="20"/>
            <w:szCs w:val="20"/>
          </w:rPr>
          <w:t>Plán realizace Strategického záměru pro rok 2024</w:t>
        </w:r>
      </w:hyperlink>
      <w:r w:rsidRPr="004B71F1">
        <w:rPr>
          <w:rFonts w:cs="Arial"/>
          <w:sz w:val="20"/>
          <w:szCs w:val="20"/>
        </w:rPr>
        <w:t xml:space="preserve"> doplněn o téma rozvoje wellbeingu, které dále napomáhá rozvoji rovného přístupu ke vzdělávání a zlepšování podmínek pro studující i zaměstnance a zaměstnankyně vysokých škol.</w:t>
      </w:r>
    </w:p>
    <w:p w14:paraId="7053F17D" w14:textId="2BC8B392" w:rsidR="00D76BE4" w:rsidRPr="004B71F1" w:rsidRDefault="004B71F1" w:rsidP="004B71F1">
      <w:pPr>
        <w:rPr>
          <w:rFonts w:cs="Arial"/>
          <w:sz w:val="20"/>
          <w:szCs w:val="20"/>
        </w:rPr>
      </w:pPr>
      <w:r w:rsidRPr="004B71F1">
        <w:rPr>
          <w:rFonts w:cs="Arial"/>
          <w:sz w:val="20"/>
          <w:szCs w:val="20"/>
        </w:rPr>
        <w:t>V roce 2023 byly v Operačním programu Jan Amos Komenský vyhlášeny dvě výzvy zaměřené na akční plánování v území – tvorbu a implementaci místních akčních plánů vzdělávání a implementaci dlouhodobých záměrů krajů. Obě výzvy podporují aktivity zaměřené na rovné šance a přístup ke kvalitnímu vzdělání všech dětí, žáků a studentů, včetně dětí, žáků a studentů se speciálními vzdělávacími potřebami.</w:t>
      </w:r>
    </w:p>
    <w:p w14:paraId="5CAB9047" w14:textId="5350B6D1" w:rsidR="00656573" w:rsidRPr="004B71F1" w:rsidRDefault="00656573" w:rsidP="00EA554A">
      <w:pPr>
        <w:keepNext/>
        <w:tabs>
          <w:tab w:val="left" w:pos="720"/>
        </w:tabs>
        <w:rPr>
          <w:rFonts w:cs="Arial"/>
          <w:b/>
          <w:bCs/>
          <w:sz w:val="20"/>
          <w:szCs w:val="20"/>
          <w:lang w:eastAsia="cs-CZ"/>
        </w:rPr>
      </w:pPr>
      <w:r w:rsidRPr="004B71F1">
        <w:rPr>
          <w:rFonts w:cs="Arial"/>
          <w:b/>
          <w:bCs/>
          <w:sz w:val="20"/>
          <w:szCs w:val="20"/>
          <w:lang w:eastAsia="cs-CZ"/>
        </w:rPr>
        <w:t>STANOVISKO K PLNĚNÍ:</w:t>
      </w:r>
      <w:r w:rsidR="0024244E" w:rsidRPr="004B71F1">
        <w:rPr>
          <w:rFonts w:cs="Arial"/>
          <w:b/>
          <w:bCs/>
          <w:sz w:val="20"/>
          <w:szCs w:val="20"/>
          <w:lang w:eastAsia="cs-CZ"/>
        </w:rPr>
        <w:t xml:space="preserve"> </w:t>
      </w:r>
      <w:r w:rsidR="0024244E" w:rsidRPr="004B71F1">
        <w:rPr>
          <w:rFonts w:cs="Arial"/>
          <w:b/>
          <w:sz w:val="20"/>
          <w:szCs w:val="20"/>
        </w:rPr>
        <w:t>Plněno.</w:t>
      </w:r>
    </w:p>
    <w:p w14:paraId="7BB0A417" w14:textId="1AE37053" w:rsidR="00516130" w:rsidRPr="004B71F1" w:rsidRDefault="00516130" w:rsidP="00EA554A">
      <w:pPr>
        <w:rPr>
          <w:rFonts w:cs="Arial"/>
          <w:sz w:val="20"/>
          <w:szCs w:val="20"/>
        </w:rPr>
      </w:pPr>
    </w:p>
    <w:p w14:paraId="7E1BCBC2" w14:textId="22326BC2" w:rsidR="00D976E4" w:rsidRPr="00485EAA" w:rsidRDefault="00D976E4" w:rsidP="00485EAA">
      <w:pPr>
        <w:tabs>
          <w:tab w:val="left" w:pos="720"/>
        </w:tabs>
        <w:rPr>
          <w:rFonts w:cs="Arial"/>
          <w:b/>
          <w:bCs/>
          <w:sz w:val="20"/>
          <w:szCs w:val="20"/>
          <w:lang w:eastAsia="cs-CZ"/>
        </w:rPr>
      </w:pPr>
      <w:r w:rsidRPr="00485EAA">
        <w:rPr>
          <w:rFonts w:cs="Arial"/>
          <w:b/>
          <w:bCs/>
          <w:sz w:val="20"/>
          <w:szCs w:val="20"/>
          <w:lang w:eastAsia="cs-CZ"/>
        </w:rPr>
        <w:t>PLNĚNÍ MV:</w:t>
      </w:r>
    </w:p>
    <w:p w14:paraId="3896B756" w14:textId="6785E9B8" w:rsidR="00485EAA" w:rsidRPr="00485EAA" w:rsidRDefault="00485EAA" w:rsidP="00485EAA">
      <w:pPr>
        <w:rPr>
          <w:rFonts w:cs="Arial"/>
          <w:sz w:val="20"/>
          <w:szCs w:val="20"/>
        </w:rPr>
      </w:pPr>
      <w:r w:rsidRPr="00485EAA">
        <w:rPr>
          <w:rFonts w:cs="Arial"/>
          <w:sz w:val="20"/>
          <w:szCs w:val="20"/>
        </w:rPr>
        <w:t>Ministerstvo vnitra obecně dbá na to, aby žádné opatření státní správy, z něj vzešlé, nemělo za následek přímou či nepřímou diskriminaci osob se zdravotním postižením a aby navrhovaná řešení vyhovovala i osobám se zdravotním postižením.</w:t>
      </w:r>
    </w:p>
    <w:p w14:paraId="3CD21855" w14:textId="09042102" w:rsidR="00485EAA" w:rsidRPr="00485EAA" w:rsidRDefault="00485EAA" w:rsidP="00485EAA">
      <w:pPr>
        <w:tabs>
          <w:tab w:val="left" w:pos="720"/>
        </w:tabs>
        <w:rPr>
          <w:rFonts w:cs="Arial"/>
          <w:b/>
          <w:bCs/>
          <w:sz w:val="20"/>
          <w:szCs w:val="20"/>
          <w:lang w:eastAsia="cs-CZ"/>
        </w:rPr>
      </w:pPr>
      <w:r w:rsidRPr="00485EAA">
        <w:rPr>
          <w:rFonts w:cs="Arial"/>
          <w:sz w:val="20"/>
          <w:szCs w:val="20"/>
        </w:rPr>
        <w:t>Při přijímání organizačních, technických a legislativních řešení byly tedy i v roce 2023 dodržovány principy komplexního plánování, tak aby navrhovaná řešení vyhovovala také osobám se zdravotním postižením.</w:t>
      </w:r>
    </w:p>
    <w:p w14:paraId="3E3CD8EC" w14:textId="03346820" w:rsidR="00D976E4" w:rsidRPr="00485EAA" w:rsidRDefault="00D976E4" w:rsidP="00485EAA">
      <w:pPr>
        <w:keepNext/>
        <w:tabs>
          <w:tab w:val="left" w:pos="720"/>
        </w:tabs>
        <w:rPr>
          <w:rFonts w:cs="Arial"/>
          <w:b/>
          <w:bCs/>
          <w:sz w:val="20"/>
          <w:szCs w:val="20"/>
          <w:lang w:eastAsia="cs-CZ"/>
        </w:rPr>
      </w:pPr>
      <w:r w:rsidRPr="00485EAA">
        <w:rPr>
          <w:rFonts w:cs="Arial"/>
          <w:b/>
          <w:bCs/>
          <w:sz w:val="20"/>
          <w:szCs w:val="20"/>
          <w:lang w:eastAsia="cs-CZ"/>
        </w:rPr>
        <w:lastRenderedPageBreak/>
        <w:t>STANOVISKO K PLNĚNÍ:</w:t>
      </w:r>
      <w:r w:rsidR="00AF37A7" w:rsidRPr="00485EAA">
        <w:rPr>
          <w:rFonts w:cs="Arial"/>
          <w:b/>
          <w:bCs/>
          <w:sz w:val="20"/>
          <w:szCs w:val="20"/>
          <w:lang w:eastAsia="cs-CZ"/>
        </w:rPr>
        <w:t xml:space="preserve"> Plněno.</w:t>
      </w:r>
    </w:p>
    <w:p w14:paraId="2258DC06" w14:textId="77777777" w:rsidR="00D976E4" w:rsidRPr="004F65CB" w:rsidRDefault="00D976E4" w:rsidP="00EA554A">
      <w:pPr>
        <w:rPr>
          <w:rFonts w:cs="Arial"/>
          <w:sz w:val="20"/>
          <w:szCs w:val="20"/>
        </w:rPr>
      </w:pPr>
    </w:p>
    <w:p w14:paraId="620EACFB" w14:textId="6126E9CF" w:rsidR="005E4186" w:rsidRPr="009144D5" w:rsidRDefault="005E4186" w:rsidP="009144D5">
      <w:pPr>
        <w:keepNext/>
        <w:tabs>
          <w:tab w:val="left" w:pos="720"/>
        </w:tabs>
        <w:rPr>
          <w:rFonts w:cs="Arial"/>
          <w:b/>
          <w:bCs/>
          <w:sz w:val="20"/>
          <w:szCs w:val="20"/>
          <w:lang w:eastAsia="cs-CZ"/>
        </w:rPr>
      </w:pPr>
      <w:r w:rsidRPr="009144D5">
        <w:rPr>
          <w:rFonts w:cs="Arial"/>
          <w:b/>
          <w:bCs/>
          <w:sz w:val="20"/>
          <w:szCs w:val="20"/>
          <w:lang w:eastAsia="cs-CZ"/>
        </w:rPr>
        <w:t>PLNĚNÍ MZ:</w:t>
      </w:r>
    </w:p>
    <w:p w14:paraId="328D76EA" w14:textId="685767C4" w:rsidR="009144D5" w:rsidRPr="009144D5" w:rsidRDefault="009144D5" w:rsidP="009144D5">
      <w:pPr>
        <w:rPr>
          <w:rFonts w:cs="Arial"/>
          <w:color w:val="000000" w:themeColor="text1"/>
          <w:sz w:val="20"/>
          <w:szCs w:val="20"/>
        </w:rPr>
      </w:pPr>
      <w:r w:rsidRPr="009144D5">
        <w:rPr>
          <w:rFonts w:cs="Arial"/>
          <w:color w:val="000000" w:themeColor="text1"/>
          <w:sz w:val="20"/>
          <w:szCs w:val="20"/>
        </w:rPr>
        <w:t>V zákonu č. 372/2011 Sb., o zdravotních službách a podmínkách jejich poskytování, je stanoveno dodržování principu komplexního plánování ve vztahu k osobám</w:t>
      </w:r>
      <w:r w:rsidR="0010373F">
        <w:rPr>
          <w:rFonts w:cs="Arial"/>
          <w:color w:val="000000" w:themeColor="text1"/>
          <w:sz w:val="20"/>
          <w:szCs w:val="20"/>
        </w:rPr>
        <w:t xml:space="preserve"> s omezenou schopností pohybu a </w:t>
      </w:r>
      <w:r w:rsidRPr="009144D5">
        <w:rPr>
          <w:rFonts w:cs="Arial"/>
          <w:color w:val="000000" w:themeColor="text1"/>
          <w:sz w:val="20"/>
          <w:szCs w:val="20"/>
        </w:rPr>
        <w:t xml:space="preserve">orientace. Zákon ošetřuje problematiku pacientů se smyslovým postižením nebo s těžkými komunikačními problémy.  </w:t>
      </w:r>
    </w:p>
    <w:p w14:paraId="7817B2D1" w14:textId="77777777" w:rsidR="009144D5" w:rsidRPr="009144D5" w:rsidRDefault="009144D5" w:rsidP="009144D5">
      <w:pPr>
        <w:rPr>
          <w:rFonts w:cs="Arial"/>
          <w:color w:val="000000" w:themeColor="text1"/>
          <w:sz w:val="20"/>
          <w:szCs w:val="20"/>
        </w:rPr>
      </w:pPr>
      <w:r w:rsidRPr="009144D5">
        <w:rPr>
          <w:rFonts w:cs="Arial"/>
          <w:color w:val="000000" w:themeColor="text1"/>
          <w:sz w:val="20"/>
          <w:szCs w:val="20"/>
        </w:rPr>
        <w:t xml:space="preserve">Na MZ působí Pracovní skupina pro bezpečí pacientů a kvalitu zdravotní péče. V rámci tvorby systémových opatření Ministerstva zdravotnictví v oblasti kvality a bezpečí poskytovaných zdravotních služeb je dodržováno pravidlo plošné implementace, tzn., že zohledňuje všechny pacienty včetně pacientů s jakoukoli disabilitou. </w:t>
      </w:r>
    </w:p>
    <w:p w14:paraId="4033E487" w14:textId="77777777" w:rsidR="009144D5" w:rsidRPr="009144D5" w:rsidRDefault="009144D5" w:rsidP="009144D5">
      <w:pPr>
        <w:rPr>
          <w:rFonts w:cs="Arial"/>
          <w:color w:val="000000" w:themeColor="text1"/>
          <w:sz w:val="20"/>
          <w:szCs w:val="20"/>
        </w:rPr>
      </w:pPr>
      <w:r w:rsidRPr="009144D5">
        <w:rPr>
          <w:rFonts w:cs="Arial"/>
          <w:color w:val="000000" w:themeColor="text1"/>
          <w:sz w:val="20"/>
          <w:szCs w:val="20"/>
        </w:rPr>
        <w:t xml:space="preserve">Při tvorbě všech materiálů legislativní povahy jsou povinně vyhodnocovány jejich potenciální sociální dopady, včetně dopadů na osoby se zdravotním postižením jakožto specifikou sociální skupinu obyvatel, a to v souladu s Obecnými zásadami pro hodnocení dopadů regulace (RIA). V rámci připomínkových řízení jsou oslovovány relevantní subjekty v rámci resortu i mimo něj (včetně organizací zastupujících osoby se zdravotním postižením), které se mohou k jednotlivým opatřením, cílům, předpisům apod. vyjadřovat. </w:t>
      </w:r>
    </w:p>
    <w:p w14:paraId="21D2D866" w14:textId="299BAE02" w:rsidR="009144D5" w:rsidRPr="009144D5" w:rsidRDefault="009144D5" w:rsidP="009144D5">
      <w:pPr>
        <w:rPr>
          <w:rFonts w:cs="Arial"/>
          <w:color w:val="000000" w:themeColor="text1"/>
          <w:sz w:val="20"/>
          <w:szCs w:val="20"/>
        </w:rPr>
      </w:pPr>
      <w:r w:rsidRPr="009144D5">
        <w:rPr>
          <w:rFonts w:cs="Arial"/>
          <w:color w:val="000000" w:themeColor="text1"/>
          <w:sz w:val="20"/>
          <w:szCs w:val="20"/>
        </w:rPr>
        <w:t>V rámci odboru zdravotní péče MZ vznikl speciální tým z</w:t>
      </w:r>
      <w:r w:rsidR="0010373F">
        <w:rPr>
          <w:rFonts w:cs="Arial"/>
          <w:color w:val="000000" w:themeColor="text1"/>
          <w:sz w:val="20"/>
          <w:szCs w:val="20"/>
        </w:rPr>
        <w:t>aměřený na zlepšování ochrany a </w:t>
      </w:r>
      <w:r w:rsidRPr="009144D5">
        <w:rPr>
          <w:rFonts w:cs="Arial"/>
          <w:color w:val="000000" w:themeColor="text1"/>
          <w:sz w:val="20"/>
          <w:szCs w:val="20"/>
        </w:rPr>
        <w:t xml:space="preserve">uplatňování práv pacientů, vč. pacientů se zdravotním postižením, při poskytování zdravotních služeb. </w:t>
      </w:r>
    </w:p>
    <w:p w14:paraId="00774061" w14:textId="194BB1FA" w:rsidR="009144D5" w:rsidRPr="009144D5" w:rsidRDefault="009144D5" w:rsidP="009144D5">
      <w:pPr>
        <w:pStyle w:val="paragraph"/>
        <w:spacing w:before="0" w:beforeAutospacing="0" w:after="120" w:afterAutospacing="0"/>
        <w:jc w:val="both"/>
        <w:textAlignment w:val="baseline"/>
        <w:rPr>
          <w:rStyle w:val="eop"/>
          <w:rFonts w:ascii="Arial" w:eastAsia="Calibri" w:hAnsi="Arial" w:cs="Arial"/>
          <w:color w:val="000000" w:themeColor="text1"/>
          <w:sz w:val="20"/>
          <w:szCs w:val="20"/>
        </w:rPr>
      </w:pPr>
      <w:r w:rsidRPr="009144D5">
        <w:rPr>
          <w:rStyle w:val="normaltextrun"/>
          <w:rFonts w:ascii="Arial" w:eastAsia="Calibri" w:hAnsi="Arial" w:cs="Arial"/>
          <w:color w:val="000000" w:themeColor="text1"/>
          <w:sz w:val="20"/>
          <w:szCs w:val="20"/>
        </w:rPr>
        <w:t>Na Ministerstvu zdravotnictví ČR probíhá od roku 2017 proces n</w:t>
      </w:r>
      <w:r w:rsidR="0010373F">
        <w:rPr>
          <w:rStyle w:val="normaltextrun"/>
          <w:rFonts w:ascii="Arial" w:eastAsia="Calibri" w:hAnsi="Arial" w:cs="Arial"/>
          <w:color w:val="000000" w:themeColor="text1"/>
          <w:sz w:val="20"/>
          <w:szCs w:val="20"/>
        </w:rPr>
        <w:t>astavení pravidel, mechanismů a </w:t>
      </w:r>
      <w:r w:rsidRPr="009144D5">
        <w:rPr>
          <w:rStyle w:val="normaltextrun"/>
          <w:rFonts w:ascii="Arial" w:eastAsia="Calibri" w:hAnsi="Arial" w:cs="Arial"/>
          <w:color w:val="000000" w:themeColor="text1"/>
          <w:sz w:val="20"/>
          <w:szCs w:val="20"/>
        </w:rPr>
        <w:t xml:space="preserve">podmínek, které určují, jak se pacientské organizace mohou účastnit tvorby a implementace zdravotní politiky. Za tímto účelem vzniklo na Ministerstvu zdravotnictví samostatné oddělení podpory práv pacientů (OPP), které iniciovalo vznik Pacientské rady jako stálého poradního orgánu ministra zdravotnictví a které průběžně zajišťuje participaci pacientských organizací na procesech zdravotní politiky a vytváří podmínky pro tuto participaci (vzdělávání, informování, financování). </w:t>
      </w:r>
    </w:p>
    <w:p w14:paraId="243E4808" w14:textId="35138658" w:rsidR="009144D5" w:rsidRPr="009144D5" w:rsidRDefault="009144D5" w:rsidP="009144D5">
      <w:pPr>
        <w:rPr>
          <w:rFonts w:cs="Arial"/>
          <w:color w:val="000000" w:themeColor="text1"/>
          <w:sz w:val="20"/>
          <w:szCs w:val="20"/>
        </w:rPr>
      </w:pPr>
      <w:r w:rsidRPr="009144D5">
        <w:rPr>
          <w:rFonts w:cs="Arial"/>
          <w:color w:val="000000" w:themeColor="text1"/>
          <w:sz w:val="20"/>
          <w:szCs w:val="20"/>
        </w:rPr>
        <w:t>Konkrétními opatřeními, kterými lze prokázat respektování principu komplexního plánování jsou například aktivity Státního zdravotního ústavu.</w:t>
      </w:r>
      <w:r w:rsidR="00F13238">
        <w:rPr>
          <w:rFonts w:cs="Arial"/>
          <w:color w:val="000000" w:themeColor="text1"/>
          <w:sz w:val="20"/>
          <w:szCs w:val="20"/>
        </w:rPr>
        <w:t xml:space="preserve"> </w:t>
      </w:r>
      <w:r w:rsidRPr="009144D5">
        <w:rPr>
          <w:rFonts w:cs="Arial"/>
          <w:color w:val="000000" w:themeColor="text1"/>
          <w:sz w:val="20"/>
          <w:szCs w:val="20"/>
        </w:rPr>
        <w:t xml:space="preserve">SZÚ se podílí na naplňování Implementačního plánu Národního akčního plánu pro Alzheimerovu nemoc a obdobná onemocnění (NAPAN) pro rok 2020 – 2030. Konkrétně se jedná o Strategický cíl 4 Povědomí o demenci a její prevence. V roce 2023 byl zpracován a předložen návrh Primární prevence k Národnímu akčnímu plánu, který by měl být součástí Doporučených postupů pro Alzheimerovu nemoc a obdobná onemocnění (zatím v jednání). </w:t>
      </w:r>
    </w:p>
    <w:p w14:paraId="045E126F" w14:textId="6CD12196" w:rsidR="009144D5" w:rsidRPr="009144D5" w:rsidRDefault="009144D5" w:rsidP="009144D5">
      <w:pPr>
        <w:rPr>
          <w:rFonts w:cs="Arial"/>
          <w:color w:val="000000" w:themeColor="text1"/>
          <w:sz w:val="20"/>
          <w:szCs w:val="20"/>
        </w:rPr>
      </w:pPr>
      <w:r w:rsidRPr="009144D5">
        <w:rPr>
          <w:rFonts w:cs="Arial"/>
          <w:color w:val="000000" w:themeColor="text1"/>
          <w:sz w:val="20"/>
          <w:szCs w:val="20"/>
        </w:rPr>
        <w:t>Návrh uvedené Primární prevence nevykazuje známky přímé ani nepřímé diskriminace osob se zdravotním postižením. Navrhovaná opatření vyhovují osobám s</w:t>
      </w:r>
      <w:r w:rsidR="00F13238">
        <w:rPr>
          <w:rFonts w:cs="Arial"/>
          <w:color w:val="000000" w:themeColor="text1"/>
          <w:sz w:val="20"/>
          <w:szCs w:val="20"/>
        </w:rPr>
        <w:t>e zdravotním postižením.</w:t>
      </w:r>
    </w:p>
    <w:p w14:paraId="4452DD01" w14:textId="24F62986" w:rsidR="009144D5" w:rsidRPr="00F13238" w:rsidRDefault="009144D5" w:rsidP="00F13238">
      <w:pPr>
        <w:rPr>
          <w:rFonts w:cs="Arial"/>
          <w:color w:val="000000" w:themeColor="text1"/>
          <w:sz w:val="20"/>
          <w:szCs w:val="20"/>
        </w:rPr>
      </w:pPr>
      <w:r w:rsidRPr="009144D5">
        <w:rPr>
          <w:rFonts w:cs="Arial"/>
          <w:color w:val="000000" w:themeColor="text1"/>
          <w:sz w:val="20"/>
          <w:szCs w:val="20"/>
        </w:rPr>
        <w:t xml:space="preserve">Intervenční aktivity SZÚ v rámci primární prevence infekčních a neinfekčních onemocnění a podpory zdravého životního stylu jsou realizovány tak, aby vyhovovaly i osobám se </w:t>
      </w:r>
      <w:r w:rsidR="0010373F">
        <w:rPr>
          <w:rFonts w:cs="Arial"/>
          <w:color w:val="000000" w:themeColor="text1"/>
          <w:sz w:val="20"/>
          <w:szCs w:val="20"/>
        </w:rPr>
        <w:t>zdravotním postižením a </w:t>
      </w:r>
      <w:r w:rsidRPr="009144D5">
        <w:rPr>
          <w:rFonts w:cs="Arial"/>
          <w:color w:val="000000" w:themeColor="text1"/>
          <w:sz w:val="20"/>
          <w:szCs w:val="20"/>
        </w:rPr>
        <w:t>tyto osoby nediskriminovaly. Interaktivní programy jsou realizovány ve spolupráci s organizacemi, které sdružují zdravotně postižené osoby, např. Česká unie neslyšících, Brněnská unie neslyšících, Moravská kavárna neslyšících, Tyfloservis, se školami se žáky se zdravotním posti</w:t>
      </w:r>
      <w:r w:rsidR="00F13238">
        <w:rPr>
          <w:rFonts w:cs="Arial"/>
          <w:color w:val="000000" w:themeColor="text1"/>
          <w:sz w:val="20"/>
          <w:szCs w:val="20"/>
        </w:rPr>
        <w:t>žením a se speciálními školami.</w:t>
      </w:r>
      <w:r w:rsidRPr="009144D5">
        <w:rPr>
          <w:rFonts w:cs="Arial"/>
          <w:color w:val="000000" w:themeColor="text1"/>
          <w:sz w:val="20"/>
          <w:szCs w:val="20"/>
        </w:rPr>
        <w:t xml:space="preserve"> </w:t>
      </w:r>
    </w:p>
    <w:p w14:paraId="1A3B405D" w14:textId="71A00CF1" w:rsidR="005E4186" w:rsidRPr="009144D5" w:rsidRDefault="005E4186" w:rsidP="009144D5">
      <w:pPr>
        <w:keepNext/>
        <w:tabs>
          <w:tab w:val="left" w:pos="720"/>
        </w:tabs>
        <w:rPr>
          <w:rFonts w:cs="Arial"/>
          <w:b/>
          <w:bCs/>
          <w:sz w:val="20"/>
          <w:szCs w:val="20"/>
          <w:lang w:eastAsia="cs-CZ"/>
        </w:rPr>
      </w:pPr>
      <w:r w:rsidRPr="009144D5">
        <w:rPr>
          <w:rFonts w:cs="Arial"/>
          <w:b/>
          <w:bCs/>
          <w:sz w:val="20"/>
          <w:szCs w:val="20"/>
          <w:lang w:eastAsia="cs-CZ"/>
        </w:rPr>
        <w:t>STANOVISKO K PLNĚNÍ:</w:t>
      </w:r>
      <w:r w:rsidR="006E5437" w:rsidRPr="009144D5">
        <w:rPr>
          <w:rFonts w:cs="Arial"/>
          <w:b/>
          <w:bCs/>
          <w:sz w:val="20"/>
          <w:szCs w:val="20"/>
          <w:lang w:eastAsia="cs-CZ"/>
        </w:rPr>
        <w:t xml:space="preserve"> </w:t>
      </w:r>
      <w:r w:rsidR="006E5437" w:rsidRPr="009144D5">
        <w:rPr>
          <w:rFonts w:cs="Arial"/>
          <w:b/>
          <w:sz w:val="20"/>
          <w:szCs w:val="20"/>
        </w:rPr>
        <w:t>Plněno.</w:t>
      </w:r>
    </w:p>
    <w:p w14:paraId="06452153" w14:textId="47AE315A" w:rsidR="005E4186" w:rsidRPr="00C84B2A" w:rsidRDefault="005E4186" w:rsidP="00C84B2A">
      <w:pPr>
        <w:rPr>
          <w:rFonts w:cs="Arial"/>
          <w:sz w:val="20"/>
          <w:szCs w:val="20"/>
        </w:rPr>
      </w:pPr>
    </w:p>
    <w:p w14:paraId="3F0563BE" w14:textId="69C02897" w:rsidR="002C4D6E" w:rsidRPr="00C345AA" w:rsidRDefault="006B5543" w:rsidP="00C345AA">
      <w:pPr>
        <w:keepNext/>
        <w:keepLines/>
        <w:tabs>
          <w:tab w:val="left" w:pos="720"/>
        </w:tabs>
        <w:rPr>
          <w:rFonts w:cs="Arial"/>
          <w:b/>
          <w:bCs/>
          <w:sz w:val="20"/>
          <w:szCs w:val="20"/>
          <w:lang w:eastAsia="cs-CZ"/>
        </w:rPr>
      </w:pPr>
      <w:r w:rsidRPr="00C345AA">
        <w:rPr>
          <w:rFonts w:cs="Arial"/>
          <w:b/>
          <w:bCs/>
          <w:sz w:val="20"/>
          <w:szCs w:val="20"/>
          <w:lang w:eastAsia="cs-CZ"/>
        </w:rPr>
        <w:t>PLNĚNÍ MZe</w:t>
      </w:r>
      <w:r w:rsidR="002C4D6E" w:rsidRPr="00C345AA">
        <w:rPr>
          <w:rFonts w:cs="Arial"/>
          <w:b/>
          <w:bCs/>
          <w:sz w:val="20"/>
          <w:szCs w:val="20"/>
          <w:lang w:eastAsia="cs-CZ"/>
        </w:rPr>
        <w:t>:</w:t>
      </w:r>
    </w:p>
    <w:p w14:paraId="1C2488F4" w14:textId="77777777" w:rsidR="00C345AA" w:rsidRPr="00C345AA" w:rsidRDefault="00C345AA" w:rsidP="00C345AA">
      <w:pPr>
        <w:rPr>
          <w:sz w:val="20"/>
          <w:szCs w:val="20"/>
        </w:rPr>
      </w:pPr>
      <w:r w:rsidRPr="00C345AA">
        <w:rPr>
          <w:sz w:val="20"/>
          <w:szCs w:val="20"/>
        </w:rPr>
        <w:t>Trvalé úsilí respektovat potřeby a uplatňovat princip tolerance u osob se zdravotním postižením plyne nejen ze zákoníku práce a zákona o státní službě, ale je doplněno interními akty Ministerstva zemědělství, jako je např. Etický kodex zaměstnanců Ministerstva zemědělství, který přímo zdůrazňuje etické hodnoty, nediskriminaci odlišných sociálních skupin, toleranci k jinakosti pohlaví, podporování rovných příležitostí všech zaměstnanců a zkvalitňování vzájemné spolupráce. Etický kodex je závaznou normou chování všech zaměstnanců resortu zemědělství.</w:t>
      </w:r>
    </w:p>
    <w:p w14:paraId="3E1F96B2" w14:textId="019DDC74" w:rsidR="00C345AA" w:rsidRPr="00C345AA" w:rsidRDefault="00C345AA" w:rsidP="00C345AA">
      <w:pPr>
        <w:rPr>
          <w:sz w:val="20"/>
          <w:szCs w:val="20"/>
        </w:rPr>
      </w:pPr>
      <w:r w:rsidRPr="00C345AA">
        <w:rPr>
          <w:sz w:val="20"/>
          <w:szCs w:val="20"/>
        </w:rPr>
        <w:t>Ministerstvo zemědělství při výkonu svých činností klade značný důraz na zásady uvedené v Etickém kodexu a citovaných právních předpisech.</w:t>
      </w:r>
    </w:p>
    <w:p w14:paraId="13AD70F6" w14:textId="2144EFC2" w:rsidR="005E4186" w:rsidRPr="00C345AA" w:rsidRDefault="002C4D6E" w:rsidP="00C345AA">
      <w:pPr>
        <w:keepNext/>
        <w:tabs>
          <w:tab w:val="left" w:pos="720"/>
        </w:tabs>
        <w:rPr>
          <w:rFonts w:cs="Arial"/>
          <w:b/>
          <w:bCs/>
          <w:sz w:val="20"/>
          <w:szCs w:val="20"/>
          <w:lang w:eastAsia="cs-CZ"/>
        </w:rPr>
      </w:pPr>
      <w:r w:rsidRPr="00C345AA">
        <w:rPr>
          <w:rFonts w:cs="Arial"/>
          <w:b/>
          <w:bCs/>
          <w:sz w:val="20"/>
          <w:szCs w:val="20"/>
          <w:lang w:eastAsia="cs-CZ"/>
        </w:rPr>
        <w:lastRenderedPageBreak/>
        <w:t>STANOVISKO K PLNĚNÍ:</w:t>
      </w:r>
      <w:r w:rsidR="00BE78FD" w:rsidRPr="00C345AA">
        <w:rPr>
          <w:rFonts w:cs="Arial"/>
          <w:b/>
          <w:sz w:val="20"/>
          <w:szCs w:val="20"/>
        </w:rPr>
        <w:t xml:space="preserve"> Plněno.</w:t>
      </w:r>
    </w:p>
    <w:p w14:paraId="3348C83C" w14:textId="77777777" w:rsidR="00FD010A" w:rsidRPr="00C84B2A" w:rsidRDefault="00FD010A" w:rsidP="00C84B2A">
      <w:pPr>
        <w:rPr>
          <w:rFonts w:eastAsia="Calibri" w:cs="Arial"/>
          <w:b/>
          <w:sz w:val="20"/>
          <w:szCs w:val="20"/>
        </w:rPr>
      </w:pPr>
    </w:p>
    <w:p w14:paraId="0A36797F" w14:textId="2F7782E1" w:rsidR="00FD010A" w:rsidRPr="00E65523" w:rsidRDefault="00FD010A" w:rsidP="00E65523">
      <w:pPr>
        <w:tabs>
          <w:tab w:val="left" w:pos="720"/>
        </w:tabs>
        <w:rPr>
          <w:rFonts w:cs="Arial"/>
          <w:b/>
          <w:bCs/>
          <w:sz w:val="20"/>
          <w:szCs w:val="20"/>
          <w:lang w:eastAsia="cs-CZ"/>
        </w:rPr>
      </w:pPr>
      <w:r w:rsidRPr="00E65523">
        <w:rPr>
          <w:rFonts w:cs="Arial"/>
          <w:b/>
          <w:bCs/>
          <w:sz w:val="20"/>
          <w:szCs w:val="20"/>
          <w:lang w:eastAsia="cs-CZ"/>
        </w:rPr>
        <w:t>PLNĚNÍ MZV:</w:t>
      </w:r>
    </w:p>
    <w:p w14:paraId="3E1551E7" w14:textId="5149B9C7" w:rsidR="00E65523" w:rsidRPr="00E65523" w:rsidRDefault="00E65523" w:rsidP="00E65523">
      <w:pPr>
        <w:rPr>
          <w:rFonts w:cs="Arial"/>
          <w:bCs/>
          <w:sz w:val="20"/>
          <w:szCs w:val="20"/>
        </w:rPr>
      </w:pPr>
      <w:r w:rsidRPr="00E65523">
        <w:rPr>
          <w:rFonts w:cs="Arial"/>
          <w:bCs/>
          <w:sz w:val="20"/>
          <w:szCs w:val="20"/>
        </w:rPr>
        <w:t>MZV dbá na to, aby interní předpisy a rozhodnutí ministra nebo stát</w:t>
      </w:r>
      <w:r w:rsidR="00A93FC5">
        <w:rPr>
          <w:rFonts w:cs="Arial"/>
          <w:bCs/>
          <w:sz w:val="20"/>
          <w:szCs w:val="20"/>
        </w:rPr>
        <w:t>ního tajemníka byly v souladu s </w:t>
      </w:r>
      <w:r w:rsidRPr="00E65523">
        <w:rPr>
          <w:rFonts w:cs="Arial"/>
          <w:bCs/>
          <w:sz w:val="20"/>
          <w:szCs w:val="20"/>
        </w:rPr>
        <w:t xml:space="preserve">obecně závaznými právními předpisy, a to včetně oblasti diskriminace osob se zdravotním postižením. </w:t>
      </w:r>
    </w:p>
    <w:p w14:paraId="6FC6848A" w14:textId="056C381A" w:rsidR="00FD010A" w:rsidRPr="00E65523" w:rsidRDefault="00FD010A" w:rsidP="00E65523">
      <w:pPr>
        <w:keepNext/>
        <w:tabs>
          <w:tab w:val="left" w:pos="720"/>
        </w:tabs>
        <w:rPr>
          <w:rFonts w:cs="Arial"/>
          <w:b/>
          <w:bCs/>
          <w:sz w:val="20"/>
          <w:szCs w:val="20"/>
          <w:lang w:eastAsia="cs-CZ"/>
        </w:rPr>
      </w:pPr>
      <w:r w:rsidRPr="00E65523">
        <w:rPr>
          <w:rFonts w:cs="Arial"/>
          <w:b/>
          <w:bCs/>
          <w:sz w:val="20"/>
          <w:szCs w:val="20"/>
          <w:lang w:eastAsia="cs-CZ"/>
        </w:rPr>
        <w:t>STANOVISKO K PLNĚNÍ:</w:t>
      </w:r>
      <w:r w:rsidR="00830C81" w:rsidRPr="00E65523">
        <w:rPr>
          <w:rFonts w:cs="Arial"/>
          <w:b/>
          <w:sz w:val="20"/>
          <w:szCs w:val="20"/>
        </w:rPr>
        <w:t xml:space="preserve"> Plněno.</w:t>
      </w:r>
    </w:p>
    <w:p w14:paraId="40DBEBDE" w14:textId="1DBE9146" w:rsidR="007B3637" w:rsidRPr="004374AD" w:rsidRDefault="007B3637" w:rsidP="004374AD">
      <w:pPr>
        <w:rPr>
          <w:rFonts w:cs="Arial"/>
          <w:sz w:val="20"/>
          <w:szCs w:val="20"/>
        </w:rPr>
      </w:pPr>
    </w:p>
    <w:p w14:paraId="358A92D7" w14:textId="12549F7E" w:rsidR="0008103A" w:rsidRPr="006C5E57" w:rsidRDefault="0008103A" w:rsidP="006C5E57">
      <w:pPr>
        <w:tabs>
          <w:tab w:val="left" w:pos="720"/>
        </w:tabs>
        <w:rPr>
          <w:rFonts w:cs="Arial"/>
          <w:b/>
          <w:bCs/>
          <w:sz w:val="20"/>
          <w:szCs w:val="20"/>
          <w:lang w:eastAsia="cs-CZ"/>
        </w:rPr>
      </w:pPr>
      <w:r w:rsidRPr="006C5E57">
        <w:rPr>
          <w:rFonts w:cs="Arial"/>
          <w:b/>
          <w:bCs/>
          <w:sz w:val="20"/>
          <w:szCs w:val="20"/>
          <w:lang w:eastAsia="cs-CZ"/>
        </w:rPr>
        <w:t>PLNĚNÍ MŽP:</w:t>
      </w:r>
    </w:p>
    <w:p w14:paraId="5D190310" w14:textId="0DAD97FE" w:rsidR="006C5E57" w:rsidRPr="006C5E57" w:rsidRDefault="006C5E57" w:rsidP="006C5E57">
      <w:pPr>
        <w:rPr>
          <w:rFonts w:cs="Arial"/>
          <w:sz w:val="20"/>
          <w:szCs w:val="20"/>
        </w:rPr>
      </w:pPr>
      <w:r w:rsidRPr="006C5E57">
        <w:rPr>
          <w:rFonts w:cs="Arial"/>
          <w:sz w:val="20"/>
          <w:szCs w:val="20"/>
        </w:rPr>
        <w:t>Při přijímání opatření je dodržován princip komplexního plánování (univerzální design) s ohledem na osoby se zdravotním postižením. Tvorba legislativních předpisů a strategických materiálů je v souladu s hodnocením dopadů regulace, jejichž součástí je hodnocení dopadů ve vztahu k zákazu diskriminace a ve vztahu k rovnosti žen a mužů. V rámci vyhlášených veřejných zakázek je dodržován princip komplexního plánování (univerzální design) tak, aby řešení vyhovovalo i osobám se zdravotním postižením. Ministerstvo životního prostředí vždy dodržuje principy univerzálního designu při stavebních úpravách budov, komunikací i prostranství. Řada těchto prvků byla v minulosti již vybudována, včetně bezbariérového přístupu, označení výtahů Braillovým písmem, vybudování samostatného hygienického zázemí pro tělesně postižené osoby</w:t>
      </w:r>
      <w:r w:rsidR="00A93FC5">
        <w:rPr>
          <w:rFonts w:cs="Arial"/>
          <w:sz w:val="20"/>
          <w:szCs w:val="20"/>
        </w:rPr>
        <w:t xml:space="preserve"> situovaného v přízemí budovy a </w:t>
      </w:r>
      <w:r w:rsidRPr="006C5E57">
        <w:rPr>
          <w:rFonts w:cs="Arial"/>
          <w:sz w:val="20"/>
          <w:szCs w:val="20"/>
        </w:rPr>
        <w:t xml:space="preserve">v posledním období výměny plošiny pro vozíčkáře spojující jednotlivé mimoúrovňové části budovy za modernější a bezpečnější. Budova ministerstva je vybavena signalizací pro neslyšící osoby a bezpečnostními informačními značkami, které určují směr úniku ve snadno srozumitelné formě. </w:t>
      </w:r>
    </w:p>
    <w:p w14:paraId="4C182112" w14:textId="05A49785" w:rsidR="0008103A" w:rsidRPr="006C5E57" w:rsidRDefault="0008103A" w:rsidP="006C5E57">
      <w:pPr>
        <w:keepNext/>
        <w:tabs>
          <w:tab w:val="left" w:pos="720"/>
        </w:tabs>
        <w:rPr>
          <w:rFonts w:cs="Arial"/>
          <w:b/>
          <w:bCs/>
          <w:sz w:val="20"/>
          <w:szCs w:val="20"/>
          <w:lang w:eastAsia="cs-CZ"/>
        </w:rPr>
      </w:pPr>
      <w:r w:rsidRPr="006C5E57">
        <w:rPr>
          <w:rFonts w:cs="Arial"/>
          <w:b/>
          <w:bCs/>
          <w:sz w:val="20"/>
          <w:szCs w:val="20"/>
          <w:lang w:eastAsia="cs-CZ"/>
        </w:rPr>
        <w:t>STANOVISKO K PLNĚNÍ:</w:t>
      </w:r>
      <w:r w:rsidR="00E70756" w:rsidRPr="006C5E57">
        <w:rPr>
          <w:rFonts w:cs="Arial"/>
          <w:b/>
          <w:sz w:val="20"/>
          <w:szCs w:val="20"/>
        </w:rPr>
        <w:t xml:space="preserve"> Plněno.</w:t>
      </w:r>
    </w:p>
    <w:p w14:paraId="32D7DEBB" w14:textId="0992BF68" w:rsidR="007B3637" w:rsidRPr="004374AD" w:rsidRDefault="007B3637" w:rsidP="004374AD">
      <w:pPr>
        <w:rPr>
          <w:rFonts w:cs="Arial"/>
          <w:sz w:val="20"/>
          <w:szCs w:val="20"/>
        </w:rPr>
      </w:pPr>
    </w:p>
    <w:p w14:paraId="31F778E3" w14:textId="470FCF1D" w:rsidR="00A0486F" w:rsidRDefault="00A0486F" w:rsidP="00EA554A">
      <w:pPr>
        <w:tabs>
          <w:tab w:val="left" w:pos="720"/>
        </w:tabs>
        <w:rPr>
          <w:rFonts w:cs="Arial"/>
          <w:b/>
          <w:bCs/>
          <w:sz w:val="20"/>
          <w:szCs w:val="20"/>
          <w:lang w:eastAsia="cs-CZ"/>
        </w:rPr>
      </w:pPr>
      <w:r w:rsidRPr="00C33428">
        <w:rPr>
          <w:rFonts w:cs="Arial"/>
          <w:b/>
          <w:bCs/>
          <w:sz w:val="20"/>
          <w:szCs w:val="20"/>
          <w:lang w:eastAsia="cs-CZ"/>
        </w:rPr>
        <w:t>PLNĚNÍ ÚV:</w:t>
      </w:r>
    </w:p>
    <w:p w14:paraId="648FCBB1" w14:textId="413E35C0" w:rsidR="00E37863" w:rsidRPr="003B4FB5" w:rsidRDefault="00E37863" w:rsidP="00E37863">
      <w:pPr>
        <w:rPr>
          <w:rFonts w:cs="Arial"/>
          <w:bCs/>
          <w:sz w:val="20"/>
          <w:szCs w:val="20"/>
        </w:rPr>
      </w:pPr>
      <w:r w:rsidRPr="00EF3A68">
        <w:rPr>
          <w:sz w:val="20"/>
          <w:szCs w:val="20"/>
        </w:rPr>
        <w:t xml:space="preserve">V rámci přípravy jednotlivých materiálů postupuje ÚV v souladu s principem komplexního plánování tak, aby žádné opatření nemělo za následek přímou či nepřímou diskriminaci osob se zdravotním postižením. Dbá se na to, aby navrhovaná řešení vyhovovala potřebám osob se zdravotním postižením. </w:t>
      </w:r>
    </w:p>
    <w:p w14:paraId="7B863B62" w14:textId="77777777" w:rsidR="00E37863" w:rsidRPr="003B4FB5" w:rsidRDefault="00E37863" w:rsidP="00E37863">
      <w:pPr>
        <w:rPr>
          <w:rFonts w:cs="Arial"/>
          <w:sz w:val="20"/>
          <w:szCs w:val="20"/>
        </w:rPr>
      </w:pPr>
      <w:r w:rsidRPr="003B4FB5">
        <w:rPr>
          <w:rFonts w:cs="Arial"/>
          <w:sz w:val="20"/>
          <w:szCs w:val="20"/>
        </w:rPr>
        <w:t xml:space="preserve">Oddělení veřejných zakázek při vytváření zadávacích podmínek, hodnocení nabídek a výběru dodavatele dbá na důsledné dodržování zásady sociálně odpovědného zadávání, pokud je to vzhledem k povaze a smyslu zakázky vhodné. Úřad vlády příležitostně využívá institutu vyhrazené veřejné zakázky, kterou je veřejná zakázka vyhrazena pouze pro dodavatele splňující zadávací podmínku, že zaměstnávají více než 50 % osob se zdravotním postižením z celkového počtu svých zaměstnanců a se kterými Úřad práce uzavřel písemnou dohodu o jejich uznání za zaměstnavatele na chráněném trhu práce. </w:t>
      </w:r>
    </w:p>
    <w:p w14:paraId="4489623A" w14:textId="26F09D5C" w:rsidR="00E37863" w:rsidRPr="00E37863" w:rsidRDefault="00E37863" w:rsidP="00E37863">
      <w:pPr>
        <w:rPr>
          <w:rFonts w:cs="Arial"/>
          <w:bCs/>
          <w:sz w:val="20"/>
          <w:szCs w:val="20"/>
        </w:rPr>
      </w:pPr>
      <w:r w:rsidRPr="003C570E">
        <w:rPr>
          <w:rFonts w:cs="Arial"/>
          <w:sz w:val="20"/>
          <w:szCs w:val="20"/>
        </w:rPr>
        <w:t>Při plánování renovací, rekonstrukcí a jiných prací na budovách Úřadu vlády jsou zohledňovány principy řešení tak, aby vyhovovala i osobám se zdravotním postižením. V současné době probíhají práce na redesignu webu vlada.gov.cz, ke kterému je přizván také odborník na přístupnost internetových stránek a aplikací.</w:t>
      </w:r>
    </w:p>
    <w:p w14:paraId="5DC5A417" w14:textId="761CED98" w:rsidR="007B3637" w:rsidRPr="00C33428" w:rsidRDefault="00A0486F" w:rsidP="00EA554A">
      <w:pPr>
        <w:keepNext/>
        <w:tabs>
          <w:tab w:val="left" w:pos="720"/>
        </w:tabs>
        <w:rPr>
          <w:rFonts w:cs="Arial"/>
          <w:b/>
          <w:bCs/>
          <w:sz w:val="20"/>
          <w:szCs w:val="20"/>
          <w:lang w:eastAsia="cs-CZ"/>
        </w:rPr>
      </w:pPr>
      <w:r w:rsidRPr="00C33428">
        <w:rPr>
          <w:rFonts w:cs="Arial"/>
          <w:b/>
          <w:bCs/>
          <w:sz w:val="20"/>
          <w:szCs w:val="20"/>
          <w:lang w:eastAsia="cs-CZ"/>
        </w:rPr>
        <w:t>STANOVISKO K PLNĚNÍ:</w:t>
      </w:r>
      <w:r w:rsidR="00B568F3" w:rsidRPr="00C33428">
        <w:rPr>
          <w:rFonts w:cs="Arial"/>
          <w:b/>
          <w:bCs/>
          <w:sz w:val="20"/>
          <w:szCs w:val="20"/>
          <w:lang w:eastAsia="cs-CZ"/>
        </w:rPr>
        <w:t xml:space="preserve"> Plněno.</w:t>
      </w:r>
    </w:p>
    <w:p w14:paraId="48B9FC9B" w14:textId="77777777" w:rsidR="007B3637" w:rsidRPr="00C33428" w:rsidRDefault="007B3637" w:rsidP="00EA554A">
      <w:pPr>
        <w:rPr>
          <w:rFonts w:cs="Arial"/>
          <w:sz w:val="20"/>
          <w:szCs w:val="20"/>
        </w:rPr>
      </w:pPr>
    </w:p>
    <w:p w14:paraId="7838911F" w14:textId="77777777" w:rsidR="00F17E74" w:rsidRPr="0057756D" w:rsidRDefault="00F17E74" w:rsidP="00FF3A4C">
      <w:pPr>
        <w:spacing w:after="100"/>
        <w:rPr>
          <w:rFonts w:cs="Arial"/>
          <w:b/>
          <w:bCs/>
          <w:szCs w:val="20"/>
        </w:rPr>
      </w:pPr>
      <w:r w:rsidRPr="0035060D">
        <w:rPr>
          <w:rFonts w:cs="Arial"/>
          <w:bCs/>
          <w:szCs w:val="20"/>
        </w:rPr>
        <w:t xml:space="preserve">Opatření </w:t>
      </w:r>
      <w:r w:rsidRPr="0035060D">
        <w:rPr>
          <w:rFonts w:cs="Arial"/>
          <w:szCs w:val="20"/>
        </w:rPr>
        <w:t>1.</w:t>
      </w:r>
      <w:r>
        <w:rPr>
          <w:rFonts w:cs="Arial"/>
          <w:szCs w:val="20"/>
        </w:rPr>
        <w:t>1</w:t>
      </w:r>
      <w:r w:rsidRPr="0035060D">
        <w:rPr>
          <w:rFonts w:cs="Arial"/>
          <w:szCs w:val="20"/>
        </w:rPr>
        <w:t>.</w:t>
      </w:r>
      <w:r>
        <w:rPr>
          <w:rFonts w:cs="Arial"/>
          <w:szCs w:val="20"/>
        </w:rPr>
        <w:t>2</w:t>
      </w:r>
      <w:r w:rsidRPr="0035060D">
        <w:rPr>
          <w:rFonts w:cs="Arial"/>
          <w:szCs w:val="20"/>
        </w:rPr>
        <w:t xml:space="preserve"> </w:t>
      </w:r>
      <w:r w:rsidRPr="0057756D">
        <w:rPr>
          <w:rFonts w:cs="Arial"/>
          <w:szCs w:val="20"/>
        </w:rPr>
        <w:t xml:space="preserve">Při tvorbě strategických materiálů zohledňovat dopady na </w:t>
      </w:r>
      <w:r>
        <w:rPr>
          <w:rFonts w:cs="Arial"/>
          <w:szCs w:val="20"/>
        </w:rPr>
        <w:t>osoby</w:t>
      </w:r>
      <w:r w:rsidR="00A77850">
        <w:rPr>
          <w:rFonts w:cs="Arial"/>
          <w:szCs w:val="20"/>
        </w:rPr>
        <w:t xml:space="preserve"> se </w:t>
      </w:r>
      <w:r w:rsidRPr="0057756D">
        <w:rPr>
          <w:rFonts w:cs="Arial"/>
          <w:szCs w:val="20"/>
        </w:rPr>
        <w:t>zdravotním postižením a jejich případné specifické požadavky.</w:t>
      </w:r>
    </w:p>
    <w:p w14:paraId="2D244235" w14:textId="77777777" w:rsidR="00F17E74" w:rsidRPr="0057756D" w:rsidRDefault="00F17E74" w:rsidP="00FF3A4C">
      <w:pPr>
        <w:spacing w:after="100"/>
        <w:rPr>
          <w:rFonts w:cs="Arial"/>
          <w:szCs w:val="20"/>
        </w:rPr>
      </w:pPr>
      <w:r w:rsidRPr="0057756D">
        <w:rPr>
          <w:rFonts w:cs="Arial"/>
          <w:szCs w:val="20"/>
        </w:rPr>
        <w:t>Termín: průběžně</w:t>
      </w:r>
    </w:p>
    <w:p w14:paraId="3F9DFE9C" w14:textId="77777777" w:rsidR="00FF3A4C" w:rsidRDefault="00F17E74" w:rsidP="00FF3A4C">
      <w:pPr>
        <w:spacing w:after="100"/>
        <w:rPr>
          <w:rFonts w:cs="Arial"/>
          <w:szCs w:val="20"/>
        </w:rPr>
      </w:pPr>
      <w:r w:rsidRPr="0057756D">
        <w:rPr>
          <w:rFonts w:cs="Arial"/>
          <w:szCs w:val="20"/>
        </w:rPr>
        <w:t>Gestor: všechny resorty</w:t>
      </w:r>
      <w:r>
        <w:rPr>
          <w:rFonts w:cs="Arial"/>
          <w:szCs w:val="20"/>
        </w:rPr>
        <w:t>, ÚV</w:t>
      </w:r>
    </w:p>
    <w:p w14:paraId="785A24C6" w14:textId="0D8ED33C" w:rsidR="00F17E74" w:rsidRDefault="00F17E74" w:rsidP="00FF3A4C">
      <w:pPr>
        <w:rPr>
          <w:rFonts w:cs="Arial"/>
          <w:szCs w:val="20"/>
        </w:rPr>
      </w:pPr>
      <w:r w:rsidRPr="00646485">
        <w:rPr>
          <w:rFonts w:cs="Arial"/>
          <w:szCs w:val="20"/>
        </w:rPr>
        <w:t xml:space="preserve">Indikátor: </w:t>
      </w:r>
      <w:r>
        <w:rPr>
          <w:rFonts w:cs="Arial"/>
          <w:szCs w:val="20"/>
        </w:rPr>
        <w:t>Při tvorbě</w:t>
      </w:r>
      <w:r w:rsidRPr="00646485">
        <w:rPr>
          <w:rFonts w:cs="Arial"/>
          <w:szCs w:val="20"/>
        </w:rPr>
        <w:t xml:space="preserve"> strategick</w:t>
      </w:r>
      <w:r>
        <w:rPr>
          <w:rFonts w:cs="Arial"/>
          <w:szCs w:val="20"/>
        </w:rPr>
        <w:t>ých</w:t>
      </w:r>
      <w:r w:rsidRPr="00646485">
        <w:rPr>
          <w:rFonts w:cs="Arial"/>
          <w:szCs w:val="20"/>
        </w:rPr>
        <w:t xml:space="preserve"> materiál</w:t>
      </w:r>
      <w:r>
        <w:rPr>
          <w:rFonts w:cs="Arial"/>
          <w:szCs w:val="20"/>
        </w:rPr>
        <w:t>ů jsou</w:t>
      </w:r>
      <w:r w:rsidRPr="00646485">
        <w:rPr>
          <w:rFonts w:cs="Arial"/>
          <w:szCs w:val="20"/>
        </w:rPr>
        <w:t xml:space="preserve"> zohledň</w:t>
      </w:r>
      <w:r>
        <w:rPr>
          <w:rFonts w:cs="Arial"/>
          <w:szCs w:val="20"/>
        </w:rPr>
        <w:t>ovány</w:t>
      </w:r>
      <w:r w:rsidRPr="00646485">
        <w:rPr>
          <w:rFonts w:cs="Arial"/>
          <w:szCs w:val="20"/>
        </w:rPr>
        <w:t xml:space="preserve"> </w:t>
      </w:r>
      <w:r>
        <w:rPr>
          <w:rFonts w:cs="Arial"/>
          <w:szCs w:val="20"/>
        </w:rPr>
        <w:t>i</w:t>
      </w:r>
      <w:r w:rsidRPr="00646485">
        <w:rPr>
          <w:rFonts w:cs="Arial"/>
          <w:szCs w:val="20"/>
        </w:rPr>
        <w:t xml:space="preserve"> dopady na </w:t>
      </w:r>
      <w:r>
        <w:rPr>
          <w:rFonts w:cs="Arial"/>
          <w:szCs w:val="20"/>
        </w:rPr>
        <w:t>osoby</w:t>
      </w:r>
      <w:r w:rsidRPr="00646485">
        <w:rPr>
          <w:rFonts w:cs="Arial"/>
          <w:szCs w:val="20"/>
        </w:rPr>
        <w:t xml:space="preserve"> se zdravotním postižením. </w:t>
      </w:r>
    </w:p>
    <w:p w14:paraId="3B4A51FB" w14:textId="4A78413B" w:rsidR="003D4238" w:rsidRPr="00D91018" w:rsidRDefault="003D4238" w:rsidP="00D91018">
      <w:pPr>
        <w:rPr>
          <w:rFonts w:cs="Arial"/>
          <w:sz w:val="20"/>
          <w:szCs w:val="20"/>
        </w:rPr>
      </w:pPr>
    </w:p>
    <w:p w14:paraId="393FE6EE" w14:textId="1D9CD5E2" w:rsidR="003E79CC" w:rsidRPr="009C1303" w:rsidRDefault="003E79CC" w:rsidP="00D91018">
      <w:pPr>
        <w:tabs>
          <w:tab w:val="left" w:pos="720"/>
        </w:tabs>
        <w:rPr>
          <w:rFonts w:cs="Arial"/>
          <w:b/>
          <w:bCs/>
          <w:sz w:val="20"/>
          <w:szCs w:val="20"/>
          <w:lang w:eastAsia="cs-CZ"/>
        </w:rPr>
      </w:pPr>
      <w:r w:rsidRPr="009C1303">
        <w:rPr>
          <w:rFonts w:cs="Arial"/>
          <w:b/>
          <w:bCs/>
          <w:sz w:val="20"/>
          <w:szCs w:val="20"/>
          <w:lang w:eastAsia="cs-CZ"/>
        </w:rPr>
        <w:lastRenderedPageBreak/>
        <w:t>PLNĚNÍ MD:</w:t>
      </w:r>
    </w:p>
    <w:p w14:paraId="24C6016A" w14:textId="1ED2B2C2" w:rsidR="009C1303" w:rsidRPr="009C1303" w:rsidRDefault="009C1303" w:rsidP="009C1303">
      <w:pPr>
        <w:spacing w:after="100"/>
        <w:rPr>
          <w:rFonts w:cs="Arial"/>
          <w:bCs/>
          <w:sz w:val="20"/>
          <w:szCs w:val="20"/>
        </w:rPr>
      </w:pPr>
      <w:r w:rsidRPr="009C1303">
        <w:rPr>
          <w:rFonts w:cs="Arial"/>
          <w:bCs/>
          <w:sz w:val="20"/>
          <w:szCs w:val="20"/>
        </w:rPr>
        <w:t>V rámci přípravy strategických materiálů resortu dopravy je zohledňována problematika osob se zdravotním postižením.</w:t>
      </w:r>
    </w:p>
    <w:p w14:paraId="66364914" w14:textId="4F84908C" w:rsidR="003E79CC" w:rsidRPr="00D91018" w:rsidRDefault="003E79CC" w:rsidP="00D91018">
      <w:pPr>
        <w:keepNext/>
        <w:tabs>
          <w:tab w:val="left" w:pos="720"/>
        </w:tabs>
        <w:rPr>
          <w:rFonts w:cs="Arial"/>
          <w:b/>
          <w:bCs/>
          <w:sz w:val="20"/>
          <w:szCs w:val="20"/>
          <w:lang w:eastAsia="cs-CZ"/>
        </w:rPr>
      </w:pPr>
      <w:r w:rsidRPr="009C1303">
        <w:rPr>
          <w:rFonts w:cs="Arial"/>
          <w:b/>
          <w:bCs/>
          <w:sz w:val="20"/>
          <w:szCs w:val="20"/>
          <w:lang w:eastAsia="cs-CZ"/>
        </w:rPr>
        <w:t>STANOVISKO K PLNĚNÍ:</w:t>
      </w:r>
      <w:r w:rsidR="006674D1" w:rsidRPr="009C1303">
        <w:rPr>
          <w:rFonts w:cs="Arial"/>
          <w:b/>
          <w:bCs/>
          <w:sz w:val="20"/>
          <w:szCs w:val="20"/>
          <w:lang w:eastAsia="cs-CZ"/>
        </w:rPr>
        <w:t xml:space="preserve"> Plněno</w:t>
      </w:r>
      <w:r w:rsidR="006674D1" w:rsidRPr="00D91018">
        <w:rPr>
          <w:rFonts w:cs="Arial"/>
          <w:b/>
          <w:bCs/>
          <w:sz w:val="20"/>
          <w:szCs w:val="20"/>
          <w:lang w:eastAsia="cs-CZ"/>
        </w:rPr>
        <w:t>.</w:t>
      </w:r>
    </w:p>
    <w:p w14:paraId="0EB1B350" w14:textId="77777777" w:rsidR="003D4238" w:rsidRPr="00D91018" w:rsidRDefault="003D4238" w:rsidP="00D91018">
      <w:pPr>
        <w:tabs>
          <w:tab w:val="left" w:pos="720"/>
        </w:tabs>
        <w:rPr>
          <w:rFonts w:cs="Arial"/>
          <w:b/>
          <w:bCs/>
          <w:sz w:val="20"/>
          <w:szCs w:val="20"/>
          <w:lang w:eastAsia="cs-CZ"/>
        </w:rPr>
      </w:pPr>
    </w:p>
    <w:p w14:paraId="6ACB33E8" w14:textId="5A574D71" w:rsidR="003D4238" w:rsidRDefault="003D4238" w:rsidP="00D91018">
      <w:pPr>
        <w:tabs>
          <w:tab w:val="left" w:pos="720"/>
        </w:tabs>
        <w:rPr>
          <w:rFonts w:cs="Arial"/>
          <w:b/>
          <w:bCs/>
          <w:sz w:val="20"/>
          <w:szCs w:val="20"/>
          <w:lang w:eastAsia="cs-CZ"/>
        </w:rPr>
      </w:pPr>
      <w:r w:rsidRPr="00D91018">
        <w:rPr>
          <w:rFonts w:cs="Arial"/>
          <w:b/>
          <w:bCs/>
          <w:sz w:val="20"/>
          <w:szCs w:val="20"/>
          <w:lang w:eastAsia="cs-CZ"/>
        </w:rPr>
        <w:t>PLNĚNÍ MF:</w:t>
      </w:r>
    </w:p>
    <w:p w14:paraId="5A734663" w14:textId="77777777" w:rsidR="004A7C51" w:rsidRPr="004A7C51" w:rsidRDefault="004A7C51" w:rsidP="004A7C51">
      <w:pPr>
        <w:rPr>
          <w:rFonts w:cs="Arial"/>
          <w:sz w:val="20"/>
          <w:szCs w:val="20"/>
          <w:lang w:eastAsia="cs-CZ"/>
        </w:rPr>
      </w:pPr>
      <w:r w:rsidRPr="004A7C51">
        <w:rPr>
          <w:rFonts w:cs="Arial"/>
          <w:sz w:val="20"/>
          <w:szCs w:val="20"/>
        </w:rPr>
        <w:t xml:space="preserve">Ministerstvo financí a jeho přímo řízené organizace vždy vyhodnocují při tvorbě a přijetí strategických materiálů jejich dopad na osoby se zdravotním postižením, a to i s ohledem na další diskriminační kritéria. Tato kritéria jsou maximálně zohledněna rovněž při tvorbě a schvalování nových strategických záměrů, které jsou spojeny s digitalizací a elektronizací a se zjednodušením plnění daňových povinností všem daňovým klientům. Ministerstvo financí </w:t>
      </w:r>
      <w:r w:rsidRPr="004A7C51">
        <w:rPr>
          <w:rFonts w:cs="Arial"/>
          <w:sz w:val="20"/>
          <w:szCs w:val="20"/>
          <w:lang w:eastAsia="cs-CZ"/>
        </w:rPr>
        <w:t xml:space="preserve">například každoročně vyhodnocuje plnění strategického dokumentu „Strategie vlastnické politiky státu“, a o výsledcích plnění informuje vládu ČR. Materiál zahrnuje i oblast diverzity, kdy strategické obchodní společnosti s vlastnickým podílem státu jsou povinné průběžně přijímat opatření na podporu diverzity (zastoupení dle zdravotního postižení, pohlaví, věku, sexuální orientace, atd.), tj. např. v oblasti zastoupení osob v orgánech společností, výběrových řízení, rozmanitosti pracovních kolektivů a vytváření vhodných pracovních podmínek pro slaďování pracovního a soukromého života zaměstnanců. </w:t>
      </w:r>
    </w:p>
    <w:p w14:paraId="6242DE83" w14:textId="72FFB08F" w:rsidR="004A7C51" w:rsidRPr="004A7C51" w:rsidRDefault="004A7C51" w:rsidP="004A7C51">
      <w:pPr>
        <w:rPr>
          <w:rFonts w:cs="Arial"/>
          <w:sz w:val="20"/>
          <w:szCs w:val="20"/>
          <w:lang w:eastAsia="cs-CZ"/>
        </w:rPr>
      </w:pPr>
      <w:r w:rsidRPr="004A7C51">
        <w:rPr>
          <w:rFonts w:cs="Arial"/>
          <w:sz w:val="20"/>
          <w:szCs w:val="20"/>
          <w:lang w:eastAsia="cs-CZ"/>
        </w:rPr>
        <w:t>Osoby zdravotně postižené často čelí různým diskriminacím (šikana, sexuální násilí) díky svému handicapu. Ministerstvo jako hlavní zprostředkovatel Fondů EHP a Norska i v roce 2023 pokračovalo v podpoře projektů, které mohou zlepšit životní podmínky i osob se zdravotním postižením. Například díky financování z Fondů EHP a Norska se v roce 2024 otevře v Praze první centrum pro oběti sexuálního násilí s názvem „PORT“, které bude nabízet široké spektrum podpůrných služeb pod jednou střechou (krizová pomoc, sociální poradenství, krizový pokoj, individuální a skupinové terapie, atd.). Zásadním principem všech služeb PORTu je citlivý přístup ke všem obětem, respektování jejich individuálních potřeb a tempa.</w:t>
      </w:r>
    </w:p>
    <w:p w14:paraId="791D9B55" w14:textId="5804A6DC" w:rsidR="003D4238" w:rsidRPr="00424CF4" w:rsidRDefault="003D4238" w:rsidP="00424CF4">
      <w:pPr>
        <w:rPr>
          <w:rFonts w:cs="Arial"/>
          <w:b/>
          <w:sz w:val="20"/>
          <w:szCs w:val="20"/>
          <w:lang w:eastAsia="cs-CZ"/>
        </w:rPr>
      </w:pPr>
      <w:r w:rsidRPr="00D91018">
        <w:rPr>
          <w:rFonts w:cs="Arial"/>
          <w:b/>
          <w:bCs/>
          <w:sz w:val="20"/>
          <w:szCs w:val="20"/>
          <w:lang w:eastAsia="cs-CZ"/>
        </w:rPr>
        <w:t>STANOVISKO K PLNĚNÍ:</w:t>
      </w:r>
      <w:r w:rsidR="0060106A" w:rsidRPr="00D91018">
        <w:rPr>
          <w:rFonts w:cs="Arial"/>
          <w:b/>
          <w:bCs/>
          <w:sz w:val="20"/>
          <w:szCs w:val="20"/>
          <w:lang w:eastAsia="cs-CZ"/>
        </w:rPr>
        <w:t xml:space="preserve"> </w:t>
      </w:r>
      <w:r w:rsidR="00A31C8E" w:rsidRPr="00D91018">
        <w:rPr>
          <w:rFonts w:cs="Arial"/>
          <w:b/>
          <w:bCs/>
          <w:sz w:val="20"/>
          <w:szCs w:val="20"/>
          <w:lang w:eastAsia="cs-CZ"/>
        </w:rPr>
        <w:t>Plněno.</w:t>
      </w:r>
    </w:p>
    <w:p w14:paraId="734F9B92" w14:textId="77777777" w:rsidR="00716499" w:rsidRPr="00D91018" w:rsidRDefault="00716499" w:rsidP="00D91018">
      <w:pPr>
        <w:rPr>
          <w:rFonts w:cs="Arial"/>
          <w:sz w:val="20"/>
          <w:szCs w:val="20"/>
        </w:rPr>
      </w:pPr>
    </w:p>
    <w:p w14:paraId="003639B1" w14:textId="3E02423B" w:rsidR="00231207" w:rsidRPr="00541DA6" w:rsidRDefault="00231207" w:rsidP="00A44CDD">
      <w:pPr>
        <w:tabs>
          <w:tab w:val="left" w:pos="720"/>
        </w:tabs>
        <w:rPr>
          <w:rFonts w:cs="Arial"/>
          <w:b/>
          <w:bCs/>
          <w:sz w:val="20"/>
          <w:szCs w:val="20"/>
          <w:lang w:eastAsia="cs-CZ"/>
        </w:rPr>
      </w:pPr>
      <w:r w:rsidRPr="00541DA6">
        <w:rPr>
          <w:rFonts w:cs="Arial"/>
          <w:b/>
          <w:bCs/>
          <w:sz w:val="20"/>
          <w:szCs w:val="20"/>
          <w:lang w:eastAsia="cs-CZ"/>
        </w:rPr>
        <w:t>PLNĚNÍ MK:</w:t>
      </w:r>
    </w:p>
    <w:p w14:paraId="2B0C0985" w14:textId="77777777" w:rsidR="00541DA6" w:rsidRPr="00541DA6" w:rsidRDefault="00541DA6" w:rsidP="00541DA6">
      <w:pPr>
        <w:rPr>
          <w:rFonts w:eastAsia="Calibri"/>
          <w:sz w:val="20"/>
          <w:szCs w:val="20"/>
        </w:rPr>
      </w:pPr>
      <w:r w:rsidRPr="00541DA6">
        <w:rPr>
          <w:rFonts w:eastAsia="Calibri"/>
          <w:sz w:val="20"/>
          <w:szCs w:val="20"/>
        </w:rPr>
        <w:t>V souvislosti s novelou zákona č. 231/2001 Sb., o provozování rozhlasového a televizního vysílání a o změně dalších zákonů, ve znění pozdějších předpisů, v roce 2023 probíhaly diskuze se zástupci Asociace organizací neslyšících, nedoslýchavých a jejich přátel, Sjednocené organizace nevidomých a slabozrakých České republiky a také s Vládním výborem pro osoby se zdravotním postižením k tématu zpřístupňování audiovizuálních mediálních služeb pro osoby se sluchovým nebo zrakovým postižením. Dne 11. října 2023 se uskutečnilo pracovní jednání se zástupci Asociace organizací neslyšících, nedoslýchavých a jejich přátel, Sjednocené organizace nevidomých a slabozrakých České republiky, ale i zástupci kanceláře Veřejného ochránce práv, Vládního výboru pro osoby se zdravotním postižením a provozovatelů vysílání. Tématem jednání byly zkušenosti se zpracováním akčních plánů, ale i možné úpravy legislativy. Práce v této oblasti budou dále pokračovat.</w:t>
      </w:r>
    </w:p>
    <w:p w14:paraId="07D5FBC7" w14:textId="77777777" w:rsidR="00541DA6" w:rsidRPr="00541DA6" w:rsidRDefault="00541DA6" w:rsidP="00541DA6">
      <w:pPr>
        <w:rPr>
          <w:rFonts w:eastAsia="Calibri"/>
          <w:sz w:val="20"/>
          <w:szCs w:val="20"/>
        </w:rPr>
      </w:pPr>
      <w:r w:rsidRPr="00541DA6">
        <w:rPr>
          <w:rFonts w:eastAsia="Calibri"/>
          <w:sz w:val="20"/>
          <w:szCs w:val="20"/>
        </w:rPr>
        <w:t>Také příspěvkové organizace Ministerstva kultury při tvorbě strategických materiálů zohledňují i dopady na osoby se zdravotním postižením, a to již při jejich zadávání.</w:t>
      </w:r>
    </w:p>
    <w:p w14:paraId="3728A735" w14:textId="78F7718D" w:rsidR="00541DA6" w:rsidRPr="0049454F" w:rsidRDefault="0049454F" w:rsidP="00541DA6">
      <w:pPr>
        <w:rPr>
          <w:rFonts w:eastAsia="Calibri"/>
          <w:sz w:val="20"/>
          <w:szCs w:val="20"/>
        </w:rPr>
      </w:pPr>
      <w:r w:rsidRPr="0049454F">
        <w:rPr>
          <w:rFonts w:eastAsia="Calibri"/>
          <w:sz w:val="20"/>
          <w:szCs w:val="20"/>
        </w:rPr>
        <w:t xml:space="preserve">Například </w:t>
      </w:r>
      <w:r w:rsidR="00541DA6" w:rsidRPr="0049454F">
        <w:rPr>
          <w:rFonts w:eastAsia="Calibri"/>
          <w:sz w:val="20"/>
          <w:szCs w:val="20"/>
        </w:rPr>
        <w:t>Národní technické muzeum (NTM) v roce 2023 vstoupilo do spolupráce s Knihovnou a tiskárnou pro nevidomé K. E. Macana a vytvořilo materiály pro osoby s poruchami zraku do nové expozice Tatra 77a. Od zázraku k vraku a zpět, která bude otevřena v březnu 2024 v Centru stavitelského dědictví NTM v Plasích. V rámci expozice např. vznikly popisky a letáčky v Braillově písmu.</w:t>
      </w:r>
    </w:p>
    <w:p w14:paraId="72720E56" w14:textId="77777777" w:rsidR="00541DA6" w:rsidRPr="00541DA6" w:rsidRDefault="00541DA6" w:rsidP="00541DA6">
      <w:pPr>
        <w:rPr>
          <w:rFonts w:eastAsia="Calibri"/>
          <w:sz w:val="20"/>
          <w:szCs w:val="20"/>
        </w:rPr>
      </w:pPr>
      <w:r w:rsidRPr="00541DA6">
        <w:rPr>
          <w:rFonts w:eastAsia="Calibri"/>
          <w:sz w:val="20"/>
          <w:szCs w:val="20"/>
        </w:rPr>
        <w:t>Uměleckoprůmyslové museum v Praze (UPM) zohlednilo uvedené požadavky při přípravě pětileté Koncepce DKRVO a plánu činnosti na rok 2024.</w:t>
      </w:r>
    </w:p>
    <w:p w14:paraId="046B5B43" w14:textId="1D77A84B" w:rsidR="00231207" w:rsidRPr="00541DA6" w:rsidRDefault="00231207" w:rsidP="00A44CDD">
      <w:pPr>
        <w:rPr>
          <w:rFonts w:cs="Arial"/>
          <w:sz w:val="20"/>
          <w:szCs w:val="20"/>
        </w:rPr>
      </w:pPr>
      <w:r w:rsidRPr="00541DA6">
        <w:rPr>
          <w:rFonts w:cs="Arial"/>
          <w:b/>
          <w:bCs/>
          <w:sz w:val="20"/>
          <w:szCs w:val="20"/>
          <w:lang w:eastAsia="cs-CZ"/>
        </w:rPr>
        <w:t>STANOVISKO K PLNĚNÍ:</w:t>
      </w:r>
      <w:r w:rsidR="006C1EB9" w:rsidRPr="00541DA6">
        <w:rPr>
          <w:rFonts w:cs="Arial"/>
          <w:b/>
          <w:bCs/>
          <w:sz w:val="20"/>
          <w:szCs w:val="20"/>
          <w:lang w:eastAsia="cs-CZ"/>
        </w:rPr>
        <w:t xml:space="preserve"> Plněno.</w:t>
      </w:r>
    </w:p>
    <w:p w14:paraId="1A300835" w14:textId="77777777" w:rsidR="000048CE" w:rsidRPr="00A44CDD" w:rsidRDefault="000048CE" w:rsidP="00A44CDD">
      <w:pPr>
        <w:tabs>
          <w:tab w:val="left" w:pos="720"/>
        </w:tabs>
        <w:rPr>
          <w:rFonts w:cs="Arial"/>
          <w:b/>
          <w:bCs/>
          <w:sz w:val="20"/>
          <w:szCs w:val="20"/>
          <w:lang w:eastAsia="cs-CZ"/>
        </w:rPr>
      </w:pPr>
    </w:p>
    <w:p w14:paraId="35F27935" w14:textId="5835F7D1" w:rsidR="00AC0C35" w:rsidRPr="008F6553" w:rsidRDefault="00AC0C35" w:rsidP="008F6553">
      <w:pPr>
        <w:tabs>
          <w:tab w:val="left" w:pos="720"/>
        </w:tabs>
        <w:rPr>
          <w:rFonts w:cs="Arial"/>
          <w:b/>
          <w:bCs/>
          <w:sz w:val="20"/>
          <w:szCs w:val="20"/>
          <w:lang w:eastAsia="cs-CZ"/>
        </w:rPr>
      </w:pPr>
      <w:r w:rsidRPr="008F6553">
        <w:rPr>
          <w:rFonts w:cs="Arial"/>
          <w:b/>
          <w:bCs/>
          <w:sz w:val="20"/>
          <w:szCs w:val="20"/>
          <w:lang w:eastAsia="cs-CZ"/>
        </w:rPr>
        <w:t>PLNĚNÍ MMR:</w:t>
      </w:r>
    </w:p>
    <w:p w14:paraId="3E323920" w14:textId="155A8015" w:rsidR="008F6553" w:rsidRPr="008F6553" w:rsidRDefault="008F6553" w:rsidP="008F6553">
      <w:pPr>
        <w:rPr>
          <w:rFonts w:cs="Arial"/>
          <w:bCs/>
          <w:iCs/>
          <w:sz w:val="20"/>
          <w:szCs w:val="20"/>
        </w:rPr>
      </w:pPr>
      <w:r w:rsidRPr="008F6553">
        <w:rPr>
          <w:rFonts w:cs="Arial"/>
          <w:bCs/>
          <w:iCs/>
          <w:sz w:val="20"/>
          <w:szCs w:val="20"/>
        </w:rPr>
        <w:lastRenderedPageBreak/>
        <w:t>V roce 2023 byl v gesci MMR schválen vládou jeden strategický dokument spadající do gesce MMR,</w:t>
      </w:r>
      <w:r w:rsidR="006E65FA">
        <w:rPr>
          <w:rFonts w:cs="Arial"/>
          <w:bCs/>
          <w:iCs/>
          <w:sz w:val="20"/>
          <w:szCs w:val="20"/>
        </w:rPr>
        <w:t xml:space="preserve"> a </w:t>
      </w:r>
      <w:r w:rsidRPr="008F6553">
        <w:rPr>
          <w:rFonts w:cs="Arial"/>
          <w:bCs/>
          <w:iCs/>
          <w:sz w:val="20"/>
          <w:szCs w:val="20"/>
        </w:rPr>
        <w:t>to Zásady urbánní politiky – aktualizace 2023 (usnesení vlády z 11. října 2023 č. 763).</w:t>
      </w:r>
    </w:p>
    <w:p w14:paraId="2970E019" w14:textId="13A90F00" w:rsidR="008F6553" w:rsidRPr="008F6553" w:rsidRDefault="008F6553" w:rsidP="008F6553">
      <w:pPr>
        <w:rPr>
          <w:rFonts w:cs="Arial"/>
          <w:bCs/>
          <w:iCs/>
          <w:sz w:val="20"/>
          <w:szCs w:val="20"/>
        </w:rPr>
      </w:pPr>
      <w:r w:rsidRPr="008F6553">
        <w:rPr>
          <w:rFonts w:cs="Arial"/>
          <w:bCs/>
          <w:iCs/>
          <w:sz w:val="20"/>
          <w:szCs w:val="20"/>
        </w:rPr>
        <w:t>V tomto dokumentu je problematice zdravotně postižených věnována pozornost zejména v prioritní oblasti č. 5, Inkluzivní města, kde je dílčí prioritou mj. Rozvíjení občanské vybavenosti, zvyšování její kvality a bezbariérovosti, a Nabídka veřejných služeb a městské infrastruktury dostupných všem za stejných podmínek bez ohledu na věk, pohlaví, zdravotní stav, etnickou a náboženskou příslušnost nebo sociální status, a v prioritní oblasti č. 8 Efektivní a udržitelná městská mobilita, kde je dílčí prioritou mj. Zajištění bezbariérovosti dopravy a veřejného prostoru pro osoby se sníženou schopností pohybu a orientace.</w:t>
      </w:r>
    </w:p>
    <w:p w14:paraId="7EF07ED3" w14:textId="77777777" w:rsidR="00C520F1" w:rsidRPr="008F6553" w:rsidRDefault="00AC0C35" w:rsidP="008F6553">
      <w:pPr>
        <w:keepNext/>
        <w:tabs>
          <w:tab w:val="left" w:pos="720"/>
        </w:tabs>
        <w:rPr>
          <w:rFonts w:cs="Arial"/>
          <w:b/>
          <w:bCs/>
          <w:sz w:val="20"/>
          <w:szCs w:val="20"/>
          <w:lang w:eastAsia="cs-CZ"/>
        </w:rPr>
      </w:pPr>
      <w:r w:rsidRPr="008F6553">
        <w:rPr>
          <w:rFonts w:cs="Arial"/>
          <w:b/>
          <w:bCs/>
          <w:sz w:val="20"/>
          <w:szCs w:val="20"/>
          <w:lang w:eastAsia="cs-CZ"/>
        </w:rPr>
        <w:t>STANOVISKO K PLNĚNÍ:</w:t>
      </w:r>
      <w:r w:rsidR="00C520F1" w:rsidRPr="008F6553">
        <w:rPr>
          <w:rFonts w:cs="Arial"/>
          <w:b/>
          <w:bCs/>
          <w:sz w:val="20"/>
          <w:szCs w:val="20"/>
          <w:lang w:eastAsia="cs-CZ"/>
        </w:rPr>
        <w:t xml:space="preserve"> Plněno.</w:t>
      </w:r>
    </w:p>
    <w:p w14:paraId="2BD55D25" w14:textId="165507E8" w:rsidR="00AC0C35" w:rsidRPr="000B2A0E" w:rsidRDefault="00AC0C35" w:rsidP="005354D0">
      <w:pPr>
        <w:rPr>
          <w:rFonts w:cs="Arial"/>
          <w:sz w:val="20"/>
          <w:szCs w:val="20"/>
        </w:rPr>
      </w:pPr>
    </w:p>
    <w:p w14:paraId="39685DDE" w14:textId="248C171D" w:rsidR="00A81E4D" w:rsidRPr="00C365B7" w:rsidRDefault="00A81E4D" w:rsidP="00C365B7">
      <w:pPr>
        <w:tabs>
          <w:tab w:val="left" w:pos="720"/>
        </w:tabs>
        <w:rPr>
          <w:rFonts w:cs="Arial"/>
          <w:b/>
          <w:bCs/>
          <w:sz w:val="20"/>
          <w:szCs w:val="20"/>
          <w:lang w:eastAsia="cs-CZ"/>
        </w:rPr>
      </w:pPr>
      <w:r w:rsidRPr="00C365B7">
        <w:rPr>
          <w:rFonts w:cs="Arial"/>
          <w:b/>
          <w:bCs/>
          <w:sz w:val="20"/>
          <w:szCs w:val="20"/>
          <w:lang w:eastAsia="cs-CZ"/>
        </w:rPr>
        <w:t>PLNĚNÍ MO:</w:t>
      </w:r>
    </w:p>
    <w:p w14:paraId="20D3FA26" w14:textId="77777777" w:rsidR="00C365B7" w:rsidRPr="00C365B7" w:rsidRDefault="00C365B7" w:rsidP="00C365B7">
      <w:pPr>
        <w:rPr>
          <w:rFonts w:cs="Arial"/>
          <w:bCs/>
          <w:sz w:val="20"/>
          <w:szCs w:val="20"/>
        </w:rPr>
      </w:pPr>
      <w:r w:rsidRPr="00C365B7">
        <w:rPr>
          <w:rFonts w:cs="Arial"/>
          <w:bCs/>
          <w:sz w:val="20"/>
          <w:szCs w:val="20"/>
        </w:rPr>
        <w:t xml:space="preserve">Pokud se jedná o přípravu strategických materiálů, které se týkají fyzických osob, je sekce státního tajemníka MO připomínkovým místem. V takovém případě je sledováno rovné zacházení a rovný přístup ke všem osobám ze všech důvodů stanovených antidiskriminačním zákonem, tedy i z důvodu zdravotního postižení. </w:t>
      </w:r>
    </w:p>
    <w:p w14:paraId="7F304656" w14:textId="455F8DE0" w:rsidR="00C365B7" w:rsidRPr="00C365B7" w:rsidRDefault="00C365B7" w:rsidP="00C365B7">
      <w:pPr>
        <w:rPr>
          <w:rFonts w:cs="Arial"/>
          <w:bCs/>
          <w:sz w:val="20"/>
          <w:szCs w:val="20"/>
        </w:rPr>
      </w:pPr>
      <w:r w:rsidRPr="00C365B7">
        <w:rPr>
          <w:rFonts w:cs="Arial"/>
          <w:bCs/>
          <w:sz w:val="20"/>
          <w:szCs w:val="20"/>
        </w:rPr>
        <w:t xml:space="preserve">Do soustavy koncepčních dokumentů rezortu MO nebyl v hodnoceném období zařazen žádný nový koncepční dokument, který by se přímo týkal fyzických osob. V přípravě je Koncepce ochrany lidských práv, u které však zatím neproběhlo </w:t>
      </w:r>
      <w:r w:rsidR="005F0D8F">
        <w:rPr>
          <w:rFonts w:cs="Arial"/>
          <w:bCs/>
          <w:sz w:val="20"/>
          <w:szCs w:val="20"/>
        </w:rPr>
        <w:t>rezortní připomínkové řízení.</w:t>
      </w:r>
    </w:p>
    <w:p w14:paraId="7A075CD5" w14:textId="6BA4AB2A" w:rsidR="00C365B7" w:rsidRPr="00C365B7" w:rsidRDefault="00C365B7" w:rsidP="00C365B7">
      <w:pPr>
        <w:rPr>
          <w:rFonts w:cs="Arial"/>
          <w:bCs/>
          <w:sz w:val="20"/>
          <w:szCs w:val="20"/>
        </w:rPr>
      </w:pPr>
      <w:r w:rsidRPr="00C365B7">
        <w:rPr>
          <w:rFonts w:cs="Arial"/>
          <w:bCs/>
          <w:sz w:val="20"/>
          <w:szCs w:val="20"/>
        </w:rPr>
        <w:t>Dopady na osoby se zdravotním postižením jsou zohledňovány při mezirezortních připomínkových ř</w:t>
      </w:r>
      <w:r w:rsidR="00B358EE">
        <w:rPr>
          <w:rFonts w:cs="Arial"/>
          <w:bCs/>
          <w:sz w:val="20"/>
          <w:szCs w:val="20"/>
        </w:rPr>
        <w:t>ízeních (při tvorbě zákona č. 2</w:t>
      </w:r>
      <w:r w:rsidRPr="00C365B7">
        <w:rPr>
          <w:rFonts w:cs="Arial"/>
          <w:bCs/>
          <w:sz w:val="20"/>
          <w:szCs w:val="20"/>
        </w:rPr>
        <w:t>8</w:t>
      </w:r>
      <w:r w:rsidR="00B358EE">
        <w:rPr>
          <w:rFonts w:cs="Arial"/>
          <w:bCs/>
          <w:sz w:val="20"/>
          <w:szCs w:val="20"/>
        </w:rPr>
        <w:t>3</w:t>
      </w:r>
      <w:r w:rsidRPr="00C365B7">
        <w:rPr>
          <w:rFonts w:cs="Arial"/>
          <w:bCs/>
          <w:sz w:val="20"/>
          <w:szCs w:val="20"/>
        </w:rPr>
        <w:t>/2021 Sb., stavební zákon,</w:t>
      </w:r>
      <w:r w:rsidR="00B73602">
        <w:rPr>
          <w:rFonts w:cs="Arial"/>
          <w:bCs/>
          <w:sz w:val="20"/>
          <w:szCs w:val="20"/>
        </w:rPr>
        <w:t xml:space="preserve"> ve znění pozdějších předpisů,</w:t>
      </w:r>
      <w:r w:rsidRPr="00C365B7">
        <w:rPr>
          <w:rFonts w:cs="Arial"/>
          <w:bCs/>
          <w:sz w:val="20"/>
          <w:szCs w:val="20"/>
        </w:rPr>
        <w:t xml:space="preserve"> a zákona č. 250/2021 Sb., o bezpečnosti práce v souvislosti s provozem vyhrazených technických zařízení a o změně souvisejících zákonů) nebo při přípravě vnitřních předpisů Ministerstva obrany.</w:t>
      </w:r>
    </w:p>
    <w:p w14:paraId="7C85396F" w14:textId="77777777" w:rsidR="00DD2E29" w:rsidRPr="00C365B7" w:rsidRDefault="00A81E4D" w:rsidP="00C365B7">
      <w:pPr>
        <w:keepNext/>
        <w:tabs>
          <w:tab w:val="left" w:pos="720"/>
        </w:tabs>
        <w:rPr>
          <w:rFonts w:cs="Arial"/>
          <w:sz w:val="20"/>
          <w:szCs w:val="20"/>
        </w:rPr>
      </w:pPr>
      <w:r w:rsidRPr="00C365B7">
        <w:rPr>
          <w:rFonts w:cs="Arial"/>
          <w:b/>
          <w:bCs/>
          <w:sz w:val="20"/>
          <w:szCs w:val="20"/>
          <w:lang w:eastAsia="cs-CZ"/>
        </w:rPr>
        <w:t>STANOVISKO K PLNĚNÍ:</w:t>
      </w:r>
      <w:r w:rsidR="00DD2E29" w:rsidRPr="00C365B7">
        <w:rPr>
          <w:rFonts w:cs="Arial"/>
          <w:b/>
          <w:bCs/>
          <w:sz w:val="20"/>
          <w:szCs w:val="20"/>
          <w:lang w:eastAsia="cs-CZ"/>
        </w:rPr>
        <w:t xml:space="preserve"> </w:t>
      </w:r>
      <w:r w:rsidR="00DD2E29" w:rsidRPr="00C365B7">
        <w:rPr>
          <w:rFonts w:cs="Arial"/>
          <w:b/>
          <w:sz w:val="20"/>
          <w:szCs w:val="20"/>
        </w:rPr>
        <w:t>Plněno.</w:t>
      </w:r>
    </w:p>
    <w:p w14:paraId="5627F57F" w14:textId="2FEE00BE" w:rsidR="00A81E4D" w:rsidRPr="007A5077" w:rsidRDefault="00A81E4D" w:rsidP="007A5077">
      <w:pPr>
        <w:rPr>
          <w:rFonts w:cs="Arial"/>
          <w:sz w:val="20"/>
          <w:szCs w:val="20"/>
        </w:rPr>
      </w:pPr>
    </w:p>
    <w:p w14:paraId="335E0759" w14:textId="3B08FBC5" w:rsidR="00874909" w:rsidRPr="007A5077" w:rsidRDefault="00874909" w:rsidP="007A5077">
      <w:pPr>
        <w:tabs>
          <w:tab w:val="left" w:pos="720"/>
        </w:tabs>
        <w:rPr>
          <w:rFonts w:cs="Arial"/>
          <w:b/>
          <w:bCs/>
          <w:sz w:val="20"/>
          <w:szCs w:val="20"/>
          <w:lang w:eastAsia="cs-CZ"/>
        </w:rPr>
      </w:pPr>
      <w:r w:rsidRPr="007A5077">
        <w:rPr>
          <w:rFonts w:cs="Arial"/>
          <w:b/>
          <w:bCs/>
          <w:sz w:val="20"/>
          <w:szCs w:val="20"/>
          <w:lang w:eastAsia="cs-CZ"/>
        </w:rPr>
        <w:t>PLNĚNÍ MPO:</w:t>
      </w:r>
    </w:p>
    <w:p w14:paraId="0F0600C4" w14:textId="77777777" w:rsidR="007A5077" w:rsidRPr="007A5077" w:rsidRDefault="007A5077" w:rsidP="007A5077">
      <w:pPr>
        <w:rPr>
          <w:rFonts w:cs="Arial"/>
          <w:color w:val="333333"/>
          <w:sz w:val="20"/>
          <w:szCs w:val="20"/>
          <w:shd w:val="clear" w:color="auto" w:fill="FFFFFF"/>
        </w:rPr>
      </w:pPr>
      <w:r w:rsidRPr="007A5077">
        <w:rPr>
          <w:rFonts w:cs="Arial"/>
          <w:sz w:val="20"/>
          <w:szCs w:val="20"/>
        </w:rPr>
        <w:t>Útvary MPO, kterých se toto opatření týká, vždy zohledňují při tvorbě strategických materiálů dopady na osoby se zdravotním postižením a jejich případné specifické požadavky. Stejně tak v rámci mezirezortních připomínkových řízení jsou při posuzování legislativních a nelegislativních materiálů hodnoceny dopady regulace na všechny podnikatele, tedy i na podnikající zdravotně postižené osoby.</w:t>
      </w:r>
      <w:r w:rsidRPr="007A5077">
        <w:rPr>
          <w:rFonts w:cs="Arial"/>
          <w:color w:val="333333"/>
          <w:sz w:val="20"/>
          <w:szCs w:val="20"/>
          <w:shd w:val="clear" w:color="auto" w:fill="FFFFFF"/>
        </w:rPr>
        <w:t xml:space="preserve"> </w:t>
      </w:r>
    </w:p>
    <w:p w14:paraId="74582A47" w14:textId="48D504F6" w:rsidR="007A5077" w:rsidRPr="007A5077" w:rsidRDefault="007A5077" w:rsidP="007A5077">
      <w:pPr>
        <w:rPr>
          <w:rFonts w:cs="Arial"/>
          <w:sz w:val="20"/>
          <w:szCs w:val="20"/>
        </w:rPr>
      </w:pPr>
      <w:r w:rsidRPr="007A5077">
        <w:rPr>
          <w:rFonts w:cs="Arial"/>
          <w:sz w:val="20"/>
          <w:szCs w:val="20"/>
        </w:rPr>
        <w:t xml:space="preserve">V roce 2023 zahájilo MPO přípravu novely </w:t>
      </w:r>
      <w:r w:rsidRPr="00401274">
        <w:rPr>
          <w:rFonts w:cs="Arial"/>
          <w:sz w:val="20"/>
          <w:szCs w:val="20"/>
        </w:rPr>
        <w:t>nařízení vlády č. 163/2002 Sb., kterým se stanoví technické požadavky na vybrané stavební výrobky. Součástí předkládaného materiálu</w:t>
      </w:r>
      <w:r w:rsidRPr="007A5077">
        <w:rPr>
          <w:rFonts w:cs="Arial"/>
          <w:sz w:val="20"/>
          <w:szCs w:val="20"/>
        </w:rPr>
        <w:t xml:space="preserve"> je hodnocení sociálních dopadů a dopadů na specifické skupiny obyvatel, zejména osoby sociálně slabé, osoby se zdravotním postižením a národnostní menšiny. </w:t>
      </w:r>
    </w:p>
    <w:p w14:paraId="62AF8B68" w14:textId="6276CB8B" w:rsidR="007A5077" w:rsidRPr="007A5077" w:rsidRDefault="007A5077" w:rsidP="007A5077">
      <w:pPr>
        <w:rPr>
          <w:rFonts w:cs="Arial"/>
          <w:sz w:val="20"/>
          <w:szCs w:val="20"/>
        </w:rPr>
      </w:pPr>
      <w:r w:rsidRPr="007A5077">
        <w:rPr>
          <w:rFonts w:cs="Arial"/>
          <w:sz w:val="20"/>
          <w:szCs w:val="20"/>
        </w:rPr>
        <w:t xml:space="preserve">Dále se jedná o spolupráci MPO při tvorbě strategických materiálů v oblasti rozvoje lidských zdrojů, pracovně právní a služebně právní legislativy, především ve spolupráci se sekcí pro státní službu Ministerstva vnitra, a stanoviska k strategickým a legislativním </w:t>
      </w:r>
      <w:r w:rsidR="006E65FA">
        <w:rPr>
          <w:rFonts w:cs="Arial"/>
          <w:sz w:val="20"/>
          <w:szCs w:val="20"/>
        </w:rPr>
        <w:t>materiálům Ministerstva práce a </w:t>
      </w:r>
      <w:r w:rsidRPr="007A5077">
        <w:rPr>
          <w:rFonts w:cs="Arial"/>
          <w:sz w:val="20"/>
          <w:szCs w:val="20"/>
        </w:rPr>
        <w:t>sociálních věcí. I zde jsou vždy posuzovány dopady na osoby se zdravotním postižením.</w:t>
      </w:r>
    </w:p>
    <w:p w14:paraId="5078CFDD" w14:textId="43DE0976" w:rsidR="00874909" w:rsidRPr="007A5077" w:rsidRDefault="00874909" w:rsidP="007A5077">
      <w:pPr>
        <w:rPr>
          <w:rFonts w:cs="Arial"/>
          <w:b/>
          <w:sz w:val="20"/>
          <w:szCs w:val="20"/>
        </w:rPr>
      </w:pPr>
      <w:r w:rsidRPr="007A5077">
        <w:rPr>
          <w:rFonts w:cs="Arial"/>
          <w:b/>
          <w:bCs/>
          <w:sz w:val="20"/>
          <w:szCs w:val="20"/>
          <w:lang w:eastAsia="cs-CZ"/>
        </w:rPr>
        <w:t>STANOVISKO K PLNĚNÍ:</w:t>
      </w:r>
      <w:r w:rsidR="00BF223E" w:rsidRPr="007A5077">
        <w:rPr>
          <w:rFonts w:cs="Arial"/>
          <w:b/>
          <w:bCs/>
          <w:sz w:val="20"/>
          <w:szCs w:val="20"/>
          <w:lang w:eastAsia="cs-CZ"/>
        </w:rPr>
        <w:t xml:space="preserve"> </w:t>
      </w:r>
      <w:r w:rsidR="00BF223E" w:rsidRPr="007A5077">
        <w:rPr>
          <w:rFonts w:cs="Arial"/>
          <w:b/>
          <w:sz w:val="20"/>
          <w:szCs w:val="20"/>
        </w:rPr>
        <w:t>Plněno.</w:t>
      </w:r>
    </w:p>
    <w:p w14:paraId="381DCBD5" w14:textId="77777777" w:rsidR="00BF223E" w:rsidRPr="00EA3148" w:rsidRDefault="00BF223E" w:rsidP="00EA3148">
      <w:pPr>
        <w:rPr>
          <w:rFonts w:cs="Arial"/>
          <w:sz w:val="20"/>
          <w:szCs w:val="20"/>
        </w:rPr>
      </w:pPr>
    </w:p>
    <w:p w14:paraId="6A7952F8" w14:textId="4C46F6AD" w:rsidR="00962279" w:rsidRPr="00B91EBE" w:rsidRDefault="00962279" w:rsidP="00EA3148">
      <w:pPr>
        <w:keepNext/>
        <w:tabs>
          <w:tab w:val="left" w:pos="720"/>
        </w:tabs>
        <w:rPr>
          <w:rFonts w:cs="Arial"/>
          <w:b/>
          <w:bCs/>
          <w:sz w:val="20"/>
          <w:szCs w:val="20"/>
          <w:lang w:eastAsia="cs-CZ"/>
        </w:rPr>
      </w:pPr>
      <w:r w:rsidRPr="00B91EBE">
        <w:rPr>
          <w:rFonts w:cs="Arial"/>
          <w:b/>
          <w:bCs/>
          <w:sz w:val="20"/>
          <w:szCs w:val="20"/>
          <w:lang w:eastAsia="cs-CZ"/>
        </w:rPr>
        <w:t>PLNĚNÍ MPSV:</w:t>
      </w:r>
    </w:p>
    <w:p w14:paraId="247B397E" w14:textId="77777777" w:rsidR="00B91EBE" w:rsidRPr="00B91EBE" w:rsidRDefault="00B91EBE" w:rsidP="00B91EBE">
      <w:pPr>
        <w:rPr>
          <w:rFonts w:cs="Arial"/>
          <w:sz w:val="20"/>
          <w:szCs w:val="20"/>
        </w:rPr>
      </w:pPr>
      <w:r w:rsidRPr="00B91EBE">
        <w:rPr>
          <w:rFonts w:cs="Arial"/>
          <w:sz w:val="20"/>
          <w:szCs w:val="20"/>
        </w:rPr>
        <w:t>Při přijímání legislativních opatření je resortem MPSV postupováno podle Legislativních pravidel vlády a Obecných zásad pro hodnocení dopadů regulace (RIA). Spolupráce se zástupci organizací osob se ZP je v rámci legislativního procesu zajištěná mj. též jejich začleněním do okruhu připomínkových míst, která se vyjadřují k návrhům právních předpisů.</w:t>
      </w:r>
    </w:p>
    <w:p w14:paraId="2659678C" w14:textId="65791367" w:rsidR="00B91EBE" w:rsidRPr="00B91EBE" w:rsidRDefault="00B91EBE" w:rsidP="00B91EBE">
      <w:pPr>
        <w:rPr>
          <w:rFonts w:cs="Arial"/>
          <w:sz w:val="20"/>
          <w:szCs w:val="20"/>
        </w:rPr>
      </w:pPr>
      <w:r w:rsidRPr="00B91EBE">
        <w:rPr>
          <w:rFonts w:cs="Arial"/>
          <w:sz w:val="20"/>
          <w:szCs w:val="20"/>
        </w:rPr>
        <w:t xml:space="preserve">V rámci přípravy změn právní úpravy v předpisech upravujících problematiku důchodového a nemocenského pojištění MPSV se vždy uplatňuje princip rovného zacházení se všemi pojištěnci; žádná skupina pojištěnců, tedy ani osoby se ZP, není diskriminována. Důraz je kladen i na zohlednění péče o zdravotně postižené osoby, jak pokud jde o nároky pečujících </w:t>
      </w:r>
      <w:r w:rsidR="006E65FA">
        <w:rPr>
          <w:rFonts w:cs="Arial"/>
          <w:sz w:val="20"/>
          <w:szCs w:val="20"/>
        </w:rPr>
        <w:t>osob v důchodové oblasti, tak v </w:t>
      </w:r>
      <w:r w:rsidRPr="00B91EBE">
        <w:rPr>
          <w:rFonts w:cs="Arial"/>
          <w:sz w:val="20"/>
          <w:szCs w:val="20"/>
        </w:rPr>
        <w:t>oblasti nemocenského pojištění.</w:t>
      </w:r>
    </w:p>
    <w:p w14:paraId="59721B52" w14:textId="4E383C2A" w:rsidR="00B91EBE" w:rsidRPr="00B91EBE" w:rsidRDefault="00B91EBE" w:rsidP="00B91EBE">
      <w:pPr>
        <w:rPr>
          <w:rFonts w:cs="Arial"/>
          <w:sz w:val="20"/>
          <w:szCs w:val="20"/>
        </w:rPr>
      </w:pPr>
      <w:r w:rsidRPr="00B91EBE">
        <w:rPr>
          <w:rFonts w:cs="Arial"/>
          <w:sz w:val="20"/>
          <w:szCs w:val="20"/>
        </w:rPr>
        <w:lastRenderedPageBreak/>
        <w:t>Při tvorbě strategických materiálů zohledňuje ČSSZ dopady na osoby se ZP, resp. vytváří takové cíle, ze kterých mají přínos jak osoby bez zdravotního postižení, tak osoby se ZP.</w:t>
      </w:r>
    </w:p>
    <w:p w14:paraId="42C12E2D" w14:textId="39DFC59C" w:rsidR="00962279" w:rsidRPr="00B91EBE" w:rsidRDefault="00962279" w:rsidP="00EA3148">
      <w:pPr>
        <w:keepNext/>
        <w:tabs>
          <w:tab w:val="left" w:pos="720"/>
        </w:tabs>
        <w:rPr>
          <w:rFonts w:cs="Arial"/>
          <w:b/>
          <w:bCs/>
          <w:sz w:val="20"/>
          <w:szCs w:val="20"/>
          <w:lang w:eastAsia="cs-CZ"/>
        </w:rPr>
      </w:pPr>
      <w:r w:rsidRPr="00B91EBE">
        <w:rPr>
          <w:rFonts w:cs="Arial"/>
          <w:b/>
          <w:bCs/>
          <w:sz w:val="20"/>
          <w:szCs w:val="20"/>
          <w:lang w:eastAsia="cs-CZ"/>
        </w:rPr>
        <w:t>STANOVISKO K PLNĚNÍ:</w:t>
      </w:r>
      <w:r w:rsidR="00C32980" w:rsidRPr="00B91EBE">
        <w:rPr>
          <w:rFonts w:cs="Arial"/>
          <w:b/>
          <w:bCs/>
          <w:sz w:val="20"/>
          <w:szCs w:val="20"/>
          <w:lang w:eastAsia="cs-CZ"/>
        </w:rPr>
        <w:t xml:space="preserve"> </w:t>
      </w:r>
      <w:r w:rsidR="00C32980" w:rsidRPr="00B91EBE">
        <w:rPr>
          <w:rFonts w:cs="Arial"/>
          <w:b/>
          <w:sz w:val="20"/>
          <w:szCs w:val="20"/>
        </w:rPr>
        <w:t>Plněno.</w:t>
      </w:r>
    </w:p>
    <w:p w14:paraId="04186318" w14:textId="0A6E70CE" w:rsidR="003D4238" w:rsidRPr="00EA3148" w:rsidRDefault="003D4238" w:rsidP="00EA3148">
      <w:pPr>
        <w:rPr>
          <w:rFonts w:cs="Arial"/>
          <w:sz w:val="20"/>
          <w:szCs w:val="20"/>
        </w:rPr>
      </w:pPr>
    </w:p>
    <w:p w14:paraId="6987C1A5" w14:textId="69520A5F" w:rsidR="00B42E0E" w:rsidRPr="00CB45BA" w:rsidRDefault="00B42E0E" w:rsidP="00CB45BA">
      <w:pPr>
        <w:tabs>
          <w:tab w:val="left" w:pos="720"/>
        </w:tabs>
        <w:rPr>
          <w:rFonts w:cs="Arial"/>
          <w:b/>
          <w:bCs/>
          <w:sz w:val="20"/>
          <w:szCs w:val="20"/>
          <w:lang w:eastAsia="cs-CZ"/>
        </w:rPr>
      </w:pPr>
      <w:r w:rsidRPr="00CB45BA">
        <w:rPr>
          <w:rFonts w:cs="Arial"/>
          <w:b/>
          <w:bCs/>
          <w:sz w:val="20"/>
          <w:szCs w:val="20"/>
          <w:lang w:eastAsia="cs-CZ"/>
        </w:rPr>
        <w:t xml:space="preserve">PLNĚNÍ </w:t>
      </w:r>
      <w:r w:rsidR="00DB596D" w:rsidRPr="00CB45BA">
        <w:rPr>
          <w:rFonts w:cs="Arial"/>
          <w:b/>
          <w:bCs/>
          <w:sz w:val="20"/>
          <w:szCs w:val="20"/>
          <w:lang w:eastAsia="cs-CZ"/>
        </w:rPr>
        <w:t>MSp</w:t>
      </w:r>
      <w:r w:rsidRPr="00CB45BA">
        <w:rPr>
          <w:rFonts w:cs="Arial"/>
          <w:b/>
          <w:bCs/>
          <w:sz w:val="20"/>
          <w:szCs w:val="20"/>
          <w:lang w:eastAsia="cs-CZ"/>
        </w:rPr>
        <w:t>:</w:t>
      </w:r>
    </w:p>
    <w:p w14:paraId="1DC04963" w14:textId="178E5445" w:rsidR="00CB45BA" w:rsidRPr="00CB45BA" w:rsidRDefault="00CB45BA" w:rsidP="00CB45BA">
      <w:pPr>
        <w:rPr>
          <w:rFonts w:cs="Arial"/>
          <w:sz w:val="20"/>
          <w:szCs w:val="20"/>
        </w:rPr>
      </w:pPr>
      <w:r w:rsidRPr="00CB45BA">
        <w:rPr>
          <w:rFonts w:cs="Arial"/>
          <w:bCs/>
          <w:sz w:val="20"/>
          <w:szCs w:val="20"/>
        </w:rPr>
        <w:t xml:space="preserve">MSp v rámci procesu tvorby nových a změn stávajících vnitřních předpisů zodpovědně dbá na jejich </w:t>
      </w:r>
      <w:r w:rsidRPr="00CB45BA">
        <w:rPr>
          <w:rFonts w:cs="Arial"/>
          <w:sz w:val="20"/>
          <w:szCs w:val="20"/>
        </w:rPr>
        <w:t>posouzení z hlediska dopadů na osoby se zdravotním postižením. Totéž činí při zpracovávání stanovisek k připravovaným právním předpisům nebo v rámci připomínkových řízení k materiálům do vlády. Všechny získané poznatky jsou následně vyhodnocovány a je jim věnována patřičná pozornost. Problematika rovného zacházení s osobami se zdravotním postižením je soustavně rozšiřována také směrem k nově přijatým zaměstnancům.</w:t>
      </w:r>
    </w:p>
    <w:p w14:paraId="0B64CFBB" w14:textId="2AF2F999" w:rsidR="00CB45BA" w:rsidRPr="00CB45BA" w:rsidRDefault="00CB45BA" w:rsidP="00CB45BA">
      <w:pPr>
        <w:rPr>
          <w:rFonts w:cs="Arial"/>
          <w:sz w:val="20"/>
          <w:szCs w:val="20"/>
        </w:rPr>
      </w:pPr>
      <w:r w:rsidRPr="00CB45BA">
        <w:rPr>
          <w:rFonts w:cs="Arial"/>
          <w:sz w:val="20"/>
          <w:szCs w:val="20"/>
        </w:rPr>
        <w:t>Konkrétně lze uvést, že v rámci aktualizace „Střednědobé koncepce rozvoje a obnovy materiálně technické základny složek justice resortu Ministerstva spravedlnosti v působno</w:t>
      </w:r>
      <w:r w:rsidR="00AB077D">
        <w:rPr>
          <w:rFonts w:cs="Arial"/>
          <w:sz w:val="20"/>
          <w:szCs w:val="20"/>
        </w:rPr>
        <w:t>sti Odboru investic a </w:t>
      </w:r>
      <w:r w:rsidRPr="00CB45BA">
        <w:rPr>
          <w:rFonts w:cs="Arial"/>
          <w:sz w:val="20"/>
          <w:szCs w:val="20"/>
        </w:rPr>
        <w:t>majetku MSp“ pro období 2022–2030, bylo v části č. 7, s názvem „Střednědobý plán rozvoje MTZ justice – programy reprodukce majetku Ministerstva spravedlnosti a regionálních sl</w:t>
      </w:r>
      <w:r w:rsidR="00AB077D">
        <w:rPr>
          <w:rFonts w:cs="Arial"/>
          <w:sz w:val="20"/>
          <w:szCs w:val="20"/>
        </w:rPr>
        <w:t>ožek justice“ v </w:t>
      </w:r>
      <w:r w:rsidR="00605CC2">
        <w:rPr>
          <w:rFonts w:cs="Arial"/>
          <w:sz w:val="20"/>
          <w:szCs w:val="20"/>
        </w:rPr>
        <w:t xml:space="preserve">rámci hlavních </w:t>
      </w:r>
      <w:r w:rsidRPr="00CB45BA">
        <w:rPr>
          <w:rFonts w:cs="Arial"/>
          <w:sz w:val="20"/>
          <w:szCs w:val="20"/>
        </w:rPr>
        <w:t>cílů programů reprodukce majetku justiční části Ministerstva spravedlnosti uvedeno „zajištění bezbariérových přístupů do budov soudů a SZ“.</w:t>
      </w:r>
    </w:p>
    <w:p w14:paraId="5C3F03AB" w14:textId="77777777" w:rsidR="00603804" w:rsidRPr="00CB45BA" w:rsidRDefault="00B42E0E" w:rsidP="00CB45BA">
      <w:pPr>
        <w:keepNext/>
        <w:tabs>
          <w:tab w:val="left" w:pos="720"/>
        </w:tabs>
        <w:rPr>
          <w:rFonts w:cs="Arial"/>
          <w:b/>
          <w:bCs/>
          <w:sz w:val="20"/>
          <w:szCs w:val="20"/>
          <w:lang w:eastAsia="cs-CZ"/>
        </w:rPr>
      </w:pPr>
      <w:r w:rsidRPr="00CB45BA">
        <w:rPr>
          <w:rFonts w:cs="Arial"/>
          <w:b/>
          <w:bCs/>
          <w:sz w:val="20"/>
          <w:szCs w:val="20"/>
          <w:lang w:eastAsia="cs-CZ"/>
        </w:rPr>
        <w:t>STANOVISKO K PLNĚNÍ:</w:t>
      </w:r>
      <w:r w:rsidR="00603804" w:rsidRPr="00CB45BA">
        <w:rPr>
          <w:rFonts w:cs="Arial"/>
          <w:b/>
          <w:bCs/>
          <w:sz w:val="20"/>
          <w:szCs w:val="20"/>
          <w:lang w:eastAsia="cs-CZ"/>
        </w:rPr>
        <w:t xml:space="preserve"> </w:t>
      </w:r>
      <w:r w:rsidR="00603804" w:rsidRPr="00CB45BA">
        <w:rPr>
          <w:rFonts w:cs="Arial"/>
          <w:b/>
          <w:sz w:val="20"/>
          <w:szCs w:val="20"/>
        </w:rPr>
        <w:t>Plněno.</w:t>
      </w:r>
    </w:p>
    <w:p w14:paraId="49EA338D" w14:textId="427D7FCF" w:rsidR="00B42E0E" w:rsidRPr="00965F71" w:rsidRDefault="00B42E0E" w:rsidP="00CB45BA">
      <w:pPr>
        <w:rPr>
          <w:rFonts w:cs="Arial"/>
          <w:sz w:val="20"/>
          <w:szCs w:val="20"/>
        </w:rPr>
      </w:pPr>
    </w:p>
    <w:p w14:paraId="0DC70BF2" w14:textId="04A5D1C9" w:rsidR="00B72782" w:rsidRPr="00965F71" w:rsidRDefault="00B72782" w:rsidP="0016544B">
      <w:pPr>
        <w:tabs>
          <w:tab w:val="left" w:pos="720"/>
        </w:tabs>
        <w:rPr>
          <w:rFonts w:cs="Arial"/>
          <w:b/>
          <w:bCs/>
          <w:sz w:val="20"/>
          <w:szCs w:val="20"/>
          <w:lang w:eastAsia="cs-CZ"/>
        </w:rPr>
      </w:pPr>
      <w:r w:rsidRPr="00965F71">
        <w:rPr>
          <w:rFonts w:cs="Arial"/>
          <w:b/>
          <w:bCs/>
          <w:sz w:val="20"/>
          <w:szCs w:val="20"/>
          <w:lang w:eastAsia="cs-CZ"/>
        </w:rPr>
        <w:t>PLNĚNÍ MŠMT:</w:t>
      </w:r>
    </w:p>
    <w:p w14:paraId="00023CE9" w14:textId="3108944C" w:rsidR="00965F71" w:rsidRPr="00965F71" w:rsidRDefault="00965F71" w:rsidP="00965F71">
      <w:pPr>
        <w:rPr>
          <w:color w:val="000000"/>
          <w:sz w:val="20"/>
          <w:szCs w:val="20"/>
        </w:rPr>
      </w:pPr>
      <w:r w:rsidRPr="00965F71">
        <w:rPr>
          <w:rFonts w:cs="Arial"/>
          <w:sz w:val="20"/>
          <w:szCs w:val="20"/>
        </w:rPr>
        <w:t xml:space="preserve">Ministerstvo školství mládeže a tělovýchovy při tvorbě svých strategických a koncepčních materiálů zohledňuje dopady na osoby se zdravotním postižením a jejich specifické potřeby. V roce 2023 Sekce vzdělávání a mládeže otevřeným způsobem připravila a vláda ČR dne 20. 12. 2023 schválila Dlouhodobý záměr vzdělávání a rozvoje vzdělávací soustavy ČR 2023-2027, jehož průřezové opatření je věnováno </w:t>
      </w:r>
      <w:r w:rsidRPr="00965F71">
        <w:rPr>
          <w:color w:val="000000"/>
          <w:sz w:val="20"/>
          <w:szCs w:val="20"/>
        </w:rPr>
        <w:t>tématu rovnosti příležitostí ve vzdělávání. Zde je přímo Národní plán podpory rovných příležitostí pro osoby se zdravotním postižením na období 2021–2025 (dále jen „NPPRP“) zmíněn: „Jedním z hlavních cílů NPPRP je poskytovat osobám se zdravotním postižením podporu při vzdělávání, a to na všech stupních vzdělávání. MŠMT již v rámci naplňování opatření Strategie 2030+ zavádí změny podporující individualizaci ve vzdělávání prostřednictvím revize rámcových vzdělávacích programů, které umožní diferenciovat výuku dle potřeb žáků, a zajištěním vzdělávání a mentoringu učitelů. Cílem je vytvořit příležitosti zažít úspěch ve vzdělávání pro všechny žáky bez ohledu na jejich socioekonomické a rodinné zázemí, zdravotní nebo jakék</w:t>
      </w:r>
      <w:r w:rsidR="00AB077D">
        <w:rPr>
          <w:color w:val="000000"/>
          <w:sz w:val="20"/>
          <w:szCs w:val="20"/>
        </w:rPr>
        <w:t>oliv jiné znevýhodnění.“ A </w:t>
      </w:r>
      <w:r w:rsidRPr="00965F71">
        <w:rPr>
          <w:color w:val="000000"/>
          <w:sz w:val="20"/>
          <w:szCs w:val="20"/>
        </w:rPr>
        <w:t>dále jsou opatření propsána do dalších částí koncepčního dokumentu, vč. doporučení pro samotný resort, kraje a krajské úřady i samotné školy.</w:t>
      </w:r>
    </w:p>
    <w:p w14:paraId="05165F1D" w14:textId="03C9A0B8" w:rsidR="00965F71" w:rsidRPr="00965F71" w:rsidRDefault="00965F71" w:rsidP="00965F71">
      <w:pPr>
        <w:rPr>
          <w:rFonts w:cs="Arial"/>
          <w:sz w:val="20"/>
          <w:szCs w:val="20"/>
        </w:rPr>
      </w:pPr>
      <w:r w:rsidRPr="00965F71">
        <w:rPr>
          <w:rFonts w:cs="Arial"/>
          <w:sz w:val="20"/>
          <w:szCs w:val="20"/>
        </w:rPr>
        <w:t xml:space="preserve">Při vytváření opatření a strategickém plánování v oblasti vysokých škol je brán ohled na všechny skupiny obyvatel, přičemž cílem je naopak zvyšovat dostupnost vzdělání všem bez rozdílu. Tento princip se projevuje i ve Strategickém záměru MŠMT pro oblast vysokých škol, který byl navíc skrze </w:t>
      </w:r>
      <w:hyperlink r:id="rId18" w:history="1">
        <w:r w:rsidRPr="00965F71">
          <w:rPr>
            <w:rStyle w:val="Hypertextovodkaz"/>
            <w:rFonts w:cs="Arial"/>
            <w:sz w:val="20"/>
            <w:szCs w:val="20"/>
          </w:rPr>
          <w:t>Plán realizace Strategického záměru pro rok 2024</w:t>
        </w:r>
      </w:hyperlink>
      <w:r w:rsidRPr="00965F71">
        <w:rPr>
          <w:rFonts w:cs="Arial"/>
          <w:sz w:val="20"/>
          <w:szCs w:val="20"/>
        </w:rPr>
        <w:t xml:space="preserve"> doplněn o téma rozvoje wellbeingu, které dále napomáhá rozvoji rovného přístupu ke vzdělávání a zlepšování podmínek pro studující i zaměstnance a zaměstnankyně vysokých škol. Současně se téma promítá do různých dílčích opatření uvedených v těchto dokumentech, čímž je možné na jejich realizace čerpat i finanční podporu např. z Programu na podporu strategického řízení vysokých škol, případně dalších programů.</w:t>
      </w:r>
    </w:p>
    <w:p w14:paraId="3D3D863D" w14:textId="34C35D16" w:rsidR="00B72782" w:rsidRPr="00965F71" w:rsidRDefault="00B72782" w:rsidP="0016544B">
      <w:pPr>
        <w:keepNext/>
        <w:tabs>
          <w:tab w:val="left" w:pos="720"/>
        </w:tabs>
        <w:rPr>
          <w:rFonts w:cs="Arial"/>
          <w:b/>
          <w:bCs/>
          <w:sz w:val="20"/>
          <w:szCs w:val="20"/>
          <w:lang w:eastAsia="cs-CZ"/>
        </w:rPr>
      </w:pPr>
      <w:r w:rsidRPr="00965F71">
        <w:rPr>
          <w:rFonts w:cs="Arial"/>
          <w:b/>
          <w:bCs/>
          <w:sz w:val="20"/>
          <w:szCs w:val="20"/>
          <w:lang w:eastAsia="cs-CZ"/>
        </w:rPr>
        <w:t>STANOVISKO K PLNĚNÍ:</w:t>
      </w:r>
      <w:r w:rsidR="00E6292D" w:rsidRPr="00965F71">
        <w:rPr>
          <w:rFonts w:cs="Arial"/>
          <w:b/>
          <w:bCs/>
          <w:sz w:val="20"/>
          <w:szCs w:val="20"/>
          <w:lang w:eastAsia="cs-CZ"/>
        </w:rPr>
        <w:t xml:space="preserve"> </w:t>
      </w:r>
      <w:r w:rsidR="00E6292D" w:rsidRPr="00965F71">
        <w:rPr>
          <w:rFonts w:cs="Arial"/>
          <w:b/>
          <w:sz w:val="20"/>
          <w:szCs w:val="20"/>
        </w:rPr>
        <w:t>Plněno.</w:t>
      </w:r>
    </w:p>
    <w:p w14:paraId="06AA7E80" w14:textId="6AB0A7A5" w:rsidR="00B72782" w:rsidRPr="00400B58" w:rsidRDefault="00B72782" w:rsidP="0016544B">
      <w:pPr>
        <w:rPr>
          <w:rFonts w:cs="Arial"/>
          <w:sz w:val="20"/>
          <w:szCs w:val="20"/>
        </w:rPr>
      </w:pPr>
    </w:p>
    <w:p w14:paraId="27D018D7" w14:textId="28C59684" w:rsidR="000A4F19" w:rsidRPr="005F260C" w:rsidRDefault="000A4F19" w:rsidP="005F260C">
      <w:pPr>
        <w:tabs>
          <w:tab w:val="left" w:pos="720"/>
        </w:tabs>
        <w:rPr>
          <w:rFonts w:cs="Arial"/>
          <w:b/>
          <w:bCs/>
          <w:sz w:val="20"/>
          <w:szCs w:val="20"/>
          <w:lang w:eastAsia="cs-CZ"/>
        </w:rPr>
      </w:pPr>
      <w:r w:rsidRPr="005F260C">
        <w:rPr>
          <w:rFonts w:cs="Arial"/>
          <w:b/>
          <w:bCs/>
          <w:sz w:val="20"/>
          <w:szCs w:val="20"/>
          <w:lang w:eastAsia="cs-CZ"/>
        </w:rPr>
        <w:t>PLNĚNÍ MV:</w:t>
      </w:r>
    </w:p>
    <w:p w14:paraId="4B77EB42" w14:textId="77777777" w:rsidR="005F260C" w:rsidRPr="005F260C" w:rsidRDefault="005F260C" w:rsidP="005F260C">
      <w:pPr>
        <w:rPr>
          <w:rFonts w:cs="Arial"/>
          <w:sz w:val="20"/>
          <w:szCs w:val="20"/>
        </w:rPr>
      </w:pPr>
      <w:r w:rsidRPr="005F260C">
        <w:rPr>
          <w:rFonts w:cs="Arial"/>
          <w:sz w:val="20"/>
          <w:szCs w:val="20"/>
        </w:rPr>
        <w:t xml:space="preserve">Ministerstvo vnitra opatření opakovaně plní, jako příklad z praxe lze uvést výstupy v oboru prevence kriminality, kdy je zohledňována potřeba obětí ve strategických materiálech, kterými jsou například Strategie prevence kriminality v České republice na léta 2022 až 2027, schválené usnesením vlády České republiky č. 276 ze dne 6. dubna 2022, a navazující implementační plán a Národní strategie boje proti obchodování s lidmi na léta 2020 až 2023, jejíž platnost bude prodloužena. Obětí mohou být i OZP. V obou strategických materiálech jsou oběti trestných činů samostatnou kapitolou, na které je </w:t>
      </w:r>
      <w:r w:rsidRPr="005F260C">
        <w:rPr>
          <w:rFonts w:cs="Arial"/>
          <w:sz w:val="20"/>
          <w:szCs w:val="20"/>
        </w:rPr>
        <w:lastRenderedPageBreak/>
        <w:t xml:space="preserve">pamatováno v rámci plánovaných aktivit. Ve strategii prevence kriminality jsou opatření v rámci specifických cílů zaměřené </w:t>
      </w:r>
      <w:proofErr w:type="gramStart"/>
      <w:r w:rsidRPr="005F260C">
        <w:rPr>
          <w:rFonts w:cs="Arial"/>
          <w:sz w:val="20"/>
          <w:szCs w:val="20"/>
        </w:rPr>
        <w:t>na</w:t>
      </w:r>
      <w:proofErr w:type="gramEnd"/>
      <w:r w:rsidRPr="005F260C">
        <w:rPr>
          <w:rFonts w:cs="Arial"/>
          <w:sz w:val="20"/>
          <w:szCs w:val="20"/>
        </w:rPr>
        <w:t xml:space="preserve">: </w:t>
      </w:r>
    </w:p>
    <w:p w14:paraId="52893192" w14:textId="77777777" w:rsidR="005F260C" w:rsidRPr="005F260C" w:rsidRDefault="005F260C" w:rsidP="005F260C">
      <w:pPr>
        <w:pStyle w:val="Odstavecseseznamem"/>
        <w:numPr>
          <w:ilvl w:val="0"/>
          <w:numId w:val="22"/>
        </w:numPr>
        <w:rPr>
          <w:rFonts w:cs="Arial"/>
          <w:sz w:val="20"/>
          <w:szCs w:val="20"/>
        </w:rPr>
      </w:pPr>
      <w:r w:rsidRPr="005F260C">
        <w:rPr>
          <w:rFonts w:cs="Arial"/>
          <w:sz w:val="20"/>
          <w:szCs w:val="20"/>
        </w:rPr>
        <w:t>podporu a zapojení se do projektů zaměřených na průběžné zvyšování právního povědomí seniorů („Obezřetný senior“, „Senior akademie“)</w:t>
      </w:r>
    </w:p>
    <w:p w14:paraId="743F8BC6" w14:textId="77777777" w:rsidR="005F260C" w:rsidRPr="005F260C" w:rsidRDefault="005F260C" w:rsidP="005F260C">
      <w:pPr>
        <w:pStyle w:val="Odstavecseseznamem"/>
        <w:numPr>
          <w:ilvl w:val="0"/>
          <w:numId w:val="22"/>
        </w:numPr>
        <w:rPr>
          <w:rFonts w:cs="Arial"/>
          <w:sz w:val="20"/>
          <w:szCs w:val="20"/>
        </w:rPr>
      </w:pPr>
      <w:r w:rsidRPr="005F260C">
        <w:rPr>
          <w:rFonts w:cs="Arial"/>
          <w:sz w:val="20"/>
          <w:szCs w:val="20"/>
        </w:rPr>
        <w:t xml:space="preserve">zapojení specialistů Policie ČR do šíření dobré praxe a manuálu pomoci obětem domácího násilí do interní firemní kultury a péče o zaměstnance </w:t>
      </w:r>
    </w:p>
    <w:p w14:paraId="44E20DAF" w14:textId="77777777" w:rsidR="005F260C" w:rsidRPr="005F260C" w:rsidRDefault="005F260C" w:rsidP="005F260C">
      <w:pPr>
        <w:pStyle w:val="Odstavecseseznamem"/>
        <w:numPr>
          <w:ilvl w:val="0"/>
          <w:numId w:val="22"/>
        </w:numPr>
        <w:rPr>
          <w:rFonts w:cs="Arial"/>
          <w:sz w:val="20"/>
          <w:szCs w:val="20"/>
        </w:rPr>
      </w:pPr>
      <w:r w:rsidRPr="005F260C">
        <w:rPr>
          <w:rFonts w:cs="Arial"/>
          <w:sz w:val="20"/>
          <w:szCs w:val="20"/>
        </w:rPr>
        <w:t xml:space="preserve">zvyšování důvěry Policie ČR při práci s obětí - využívání nové metodiky pro identifikaci obětí (oběť – zvlášť zranitelná oběť), v maximální možné míře využívání speciálních výslechových místností (dále jen „SVM“) při práci se zvlášť zranitelnou obětí, informovat veřejnost o práci policie s obětí </w:t>
      </w:r>
    </w:p>
    <w:p w14:paraId="2F33DC00" w14:textId="77777777" w:rsidR="005F260C" w:rsidRPr="005F260C" w:rsidRDefault="005F260C" w:rsidP="005F260C">
      <w:pPr>
        <w:pStyle w:val="Odstavecseseznamem"/>
        <w:numPr>
          <w:ilvl w:val="0"/>
          <w:numId w:val="22"/>
        </w:numPr>
        <w:rPr>
          <w:rFonts w:cs="Arial"/>
          <w:sz w:val="20"/>
          <w:szCs w:val="20"/>
        </w:rPr>
      </w:pPr>
      <w:r w:rsidRPr="005F260C">
        <w:rPr>
          <w:rFonts w:cs="Arial"/>
          <w:sz w:val="20"/>
          <w:szCs w:val="20"/>
        </w:rPr>
        <w:t xml:space="preserve">pokračování v modernizaci vybudované sítě SVM </w:t>
      </w:r>
    </w:p>
    <w:p w14:paraId="738BB547" w14:textId="77777777" w:rsidR="005F260C" w:rsidRPr="005F260C" w:rsidRDefault="005F260C" w:rsidP="005F260C">
      <w:pPr>
        <w:pStyle w:val="Odstavecseseznamem"/>
        <w:numPr>
          <w:ilvl w:val="0"/>
          <w:numId w:val="22"/>
        </w:numPr>
        <w:rPr>
          <w:rFonts w:cs="Arial"/>
          <w:sz w:val="20"/>
          <w:szCs w:val="20"/>
        </w:rPr>
      </w:pPr>
      <w:r w:rsidRPr="005F260C">
        <w:rPr>
          <w:rFonts w:cs="Arial"/>
          <w:sz w:val="20"/>
          <w:szCs w:val="20"/>
        </w:rPr>
        <w:t xml:space="preserve">zvýšení podpory a ochrany osob poškozených v přestupkovém řízení </w:t>
      </w:r>
    </w:p>
    <w:p w14:paraId="51B6575C" w14:textId="77777777" w:rsidR="005F260C" w:rsidRPr="005F260C" w:rsidRDefault="005F260C" w:rsidP="005F260C">
      <w:pPr>
        <w:pStyle w:val="Odstavecseseznamem"/>
        <w:numPr>
          <w:ilvl w:val="0"/>
          <w:numId w:val="22"/>
        </w:numPr>
        <w:rPr>
          <w:rFonts w:cs="Arial"/>
          <w:sz w:val="20"/>
          <w:szCs w:val="20"/>
        </w:rPr>
      </w:pPr>
      <w:r w:rsidRPr="005F260C">
        <w:rPr>
          <w:rFonts w:cs="Arial"/>
          <w:sz w:val="20"/>
          <w:szCs w:val="20"/>
        </w:rPr>
        <w:t xml:space="preserve">vytvoření a zpřístupnění videa s poučením oběti podle zákona o obětech trestných činů informovanost obětí včetně tlumočení do znakové řeči a titulků. </w:t>
      </w:r>
    </w:p>
    <w:p w14:paraId="35D6D192" w14:textId="66897196" w:rsidR="005F260C" w:rsidRPr="005F260C" w:rsidRDefault="005F260C" w:rsidP="005F260C">
      <w:pPr>
        <w:rPr>
          <w:rFonts w:cs="Arial"/>
          <w:sz w:val="20"/>
          <w:szCs w:val="20"/>
        </w:rPr>
      </w:pPr>
      <w:r w:rsidRPr="005F260C">
        <w:rPr>
          <w:rFonts w:cs="Arial"/>
          <w:sz w:val="20"/>
          <w:szCs w:val="20"/>
        </w:rPr>
        <w:t>Podle strategie boje proti obchodování s lidmi je Program podpor</w:t>
      </w:r>
      <w:r w:rsidR="00C94F95">
        <w:rPr>
          <w:rFonts w:cs="Arial"/>
          <w:sz w:val="20"/>
          <w:szCs w:val="20"/>
        </w:rPr>
        <w:t>y a ochrany obětí obchodování s </w:t>
      </w:r>
      <w:r w:rsidRPr="005F260C">
        <w:rPr>
          <w:rFonts w:cs="Arial"/>
          <w:sz w:val="20"/>
          <w:szCs w:val="20"/>
        </w:rPr>
        <w:t>lidmi otevřený i pro potencionální oběti se zdravotním postižením.</w:t>
      </w:r>
    </w:p>
    <w:p w14:paraId="75E3A996" w14:textId="508ABE9A" w:rsidR="000A4F19" w:rsidRPr="005F260C" w:rsidRDefault="000A4F19" w:rsidP="005F260C">
      <w:pPr>
        <w:keepNext/>
        <w:tabs>
          <w:tab w:val="left" w:pos="720"/>
        </w:tabs>
        <w:rPr>
          <w:rFonts w:cs="Arial"/>
          <w:b/>
          <w:bCs/>
          <w:sz w:val="20"/>
          <w:szCs w:val="20"/>
          <w:lang w:eastAsia="cs-CZ"/>
        </w:rPr>
      </w:pPr>
      <w:r w:rsidRPr="005F260C">
        <w:rPr>
          <w:rFonts w:cs="Arial"/>
          <w:b/>
          <w:bCs/>
          <w:sz w:val="20"/>
          <w:szCs w:val="20"/>
          <w:lang w:eastAsia="cs-CZ"/>
        </w:rPr>
        <w:t>STANOVISKO K PLNĚNÍ:</w:t>
      </w:r>
      <w:r w:rsidR="000B2BC3" w:rsidRPr="005F260C">
        <w:rPr>
          <w:rFonts w:cs="Arial"/>
          <w:b/>
          <w:bCs/>
          <w:sz w:val="20"/>
          <w:szCs w:val="20"/>
          <w:lang w:eastAsia="cs-CZ"/>
        </w:rPr>
        <w:t xml:space="preserve"> Plněno.</w:t>
      </w:r>
    </w:p>
    <w:p w14:paraId="161C642C" w14:textId="3CB0318E" w:rsidR="000A4F19" w:rsidRPr="007F3C43" w:rsidRDefault="000A4F19" w:rsidP="007F3C43">
      <w:pPr>
        <w:rPr>
          <w:rFonts w:cs="Arial"/>
          <w:sz w:val="20"/>
          <w:szCs w:val="20"/>
        </w:rPr>
      </w:pPr>
    </w:p>
    <w:p w14:paraId="3DF1942B" w14:textId="231ECE21" w:rsidR="004A7581" w:rsidRPr="004E225A" w:rsidRDefault="004A7581" w:rsidP="004E225A">
      <w:pPr>
        <w:tabs>
          <w:tab w:val="left" w:pos="720"/>
        </w:tabs>
        <w:rPr>
          <w:rFonts w:cs="Arial"/>
          <w:b/>
          <w:bCs/>
          <w:sz w:val="20"/>
          <w:szCs w:val="20"/>
          <w:lang w:eastAsia="cs-CZ"/>
        </w:rPr>
      </w:pPr>
      <w:r w:rsidRPr="004E225A">
        <w:rPr>
          <w:rFonts w:cs="Arial"/>
          <w:b/>
          <w:bCs/>
          <w:sz w:val="20"/>
          <w:szCs w:val="20"/>
          <w:lang w:eastAsia="cs-CZ"/>
        </w:rPr>
        <w:t>PLNĚNÍ MZ:</w:t>
      </w:r>
    </w:p>
    <w:p w14:paraId="10F3CDD7" w14:textId="23F72E93" w:rsidR="004E225A" w:rsidRPr="004E225A" w:rsidRDefault="004E225A" w:rsidP="004E225A">
      <w:pPr>
        <w:rPr>
          <w:rFonts w:cs="Arial"/>
          <w:bCs/>
          <w:color w:val="000000" w:themeColor="text1"/>
          <w:sz w:val="20"/>
          <w:szCs w:val="20"/>
        </w:rPr>
      </w:pPr>
      <w:r w:rsidRPr="004E225A">
        <w:rPr>
          <w:rFonts w:cs="Arial"/>
          <w:bCs/>
          <w:color w:val="000000" w:themeColor="text1"/>
          <w:sz w:val="20"/>
          <w:szCs w:val="20"/>
        </w:rPr>
        <w:t>Strategické dokumenty týkající se poskytování zdravotních služeb jsou připomínkovány přímo osobami se zdravotním postižením, a to prostřednictvím Pacientské rady ministra zdravotnictví (dále jen „Pacientská rada“). Pacientská rada je poradní orgán ministra, jehož členové jsou zapojení do vnitřních připomínkových řízení k legislativním a nelegislativním materiálům připravovaným MZ, včetně koncepčních materiálů, jsou členy pracovních skupin a komisí MZ i meziresortních pracovních skupin. Gesčním útvarem Pacientské rady je Oddělení podpory práv pacientů (OPP), jehož agendou je mimo jiné zapojování zástupců pacientů, vč. osob se zdravotní</w:t>
      </w:r>
      <w:r w:rsidR="009D57A8">
        <w:rPr>
          <w:rFonts w:cs="Arial"/>
          <w:bCs/>
          <w:color w:val="000000" w:themeColor="text1"/>
          <w:sz w:val="20"/>
          <w:szCs w:val="20"/>
        </w:rPr>
        <w:t>m postižením do rozhodovacích a </w:t>
      </w:r>
      <w:r w:rsidRPr="004E225A">
        <w:rPr>
          <w:rFonts w:cs="Arial"/>
          <w:bCs/>
          <w:color w:val="000000" w:themeColor="text1"/>
          <w:sz w:val="20"/>
          <w:szCs w:val="20"/>
        </w:rPr>
        <w:t xml:space="preserve">připomínkových procesů na MZ. OPP připravuje Koncepce zapojení pacientů do procesů na MZ, jejíž součástí bude také Metodika konkrétních postupů, jak v rámci vnitřního chodu MZ zapojovat zástupce pacientů do procesů tvorby a implementace zdravotní politiky. Postupujeme dle principu participace, tj. že dopady na osoby se zdravotním postižením nejlépe zhodnotí právě zástupce této konkrétní skupiny osob. Proto tito zástupci mají přístup k připomínkování a dalším procesům. </w:t>
      </w:r>
    </w:p>
    <w:p w14:paraId="655242DA" w14:textId="373CC43B" w:rsidR="004E225A" w:rsidRPr="004E225A" w:rsidRDefault="004E225A" w:rsidP="004E225A">
      <w:pPr>
        <w:rPr>
          <w:rFonts w:cs="Arial"/>
          <w:color w:val="000000" w:themeColor="text1"/>
          <w:sz w:val="20"/>
          <w:szCs w:val="20"/>
        </w:rPr>
      </w:pPr>
      <w:r w:rsidRPr="004E225A">
        <w:rPr>
          <w:rFonts w:cs="Arial"/>
          <w:color w:val="000000" w:themeColor="text1"/>
          <w:sz w:val="20"/>
          <w:szCs w:val="20"/>
        </w:rPr>
        <w:t>SZÚ se podílel na tvorbě Implementačního plánu Národního akčního</w:t>
      </w:r>
      <w:r w:rsidR="009D57A8">
        <w:rPr>
          <w:rFonts w:cs="Arial"/>
          <w:color w:val="000000" w:themeColor="text1"/>
          <w:sz w:val="20"/>
          <w:szCs w:val="20"/>
        </w:rPr>
        <w:t xml:space="preserve"> plánu pro Alzheimerovu nemoc a </w:t>
      </w:r>
      <w:r w:rsidRPr="004E225A">
        <w:rPr>
          <w:rFonts w:cs="Arial"/>
          <w:color w:val="000000" w:themeColor="text1"/>
          <w:sz w:val="20"/>
          <w:szCs w:val="20"/>
        </w:rPr>
        <w:t xml:space="preserve">obdobná onemocnění (NAPAN) pro rok 2020 – 2030, ve kterém byly zohledněny i dopady pro osoby se zdravotním postižením. </w:t>
      </w:r>
    </w:p>
    <w:p w14:paraId="4590AC51" w14:textId="1106439C" w:rsidR="004E225A" w:rsidRPr="004E225A" w:rsidRDefault="004E225A" w:rsidP="004E225A">
      <w:pPr>
        <w:rPr>
          <w:rFonts w:cs="Arial"/>
          <w:color w:val="000000" w:themeColor="text1"/>
          <w:sz w:val="20"/>
          <w:szCs w:val="20"/>
        </w:rPr>
      </w:pPr>
      <w:r w:rsidRPr="004E225A">
        <w:rPr>
          <w:rFonts w:cs="Arial"/>
          <w:color w:val="000000" w:themeColor="text1"/>
          <w:sz w:val="20"/>
          <w:szCs w:val="20"/>
        </w:rPr>
        <w:t xml:space="preserve">V roce 2023 byla zahájena realizace projektu „Podpora plánování </w:t>
      </w:r>
      <w:r w:rsidR="009D57A8">
        <w:rPr>
          <w:rFonts w:cs="Arial"/>
          <w:color w:val="000000" w:themeColor="text1"/>
          <w:sz w:val="20"/>
          <w:szCs w:val="20"/>
        </w:rPr>
        <w:t>rozvoje integrované zdravotní a </w:t>
      </w:r>
      <w:r w:rsidRPr="004E225A">
        <w:rPr>
          <w:rFonts w:cs="Arial"/>
          <w:color w:val="000000" w:themeColor="text1"/>
          <w:sz w:val="20"/>
          <w:szCs w:val="20"/>
        </w:rPr>
        <w:t xml:space="preserve">sociální péče“ (CZ.03.02.02/00/22_046/0003791) v rámci Operačního programu Zaměstnanost plus, spolufinancovaného Evropskou unií z Evropského sociálního fondu. Nefinančním partnerem projektu je Ministerstvo práce a sociálních věcí. Cílem projektu je vytvořit doporučený postup pro tvorbu krajských zdravotně sociálních plánů, který bude pilotován ve čtyřech vybraných krajích a následně doporučen k implementaci ve všech krajích České republiky. Koncepční skupina projektu je složena mimo další i ze zástupců NRZP, Rady seniorů a Pacientské rady. Předpokládaná doba realizace je </w:t>
      </w:r>
      <w:proofErr w:type="gramStart"/>
      <w:r w:rsidR="001103D7">
        <w:rPr>
          <w:rFonts w:cs="Arial"/>
          <w:color w:val="000000" w:themeColor="text1"/>
          <w:sz w:val="20"/>
          <w:szCs w:val="20"/>
        </w:rPr>
        <w:t>0</w:t>
      </w:r>
      <w:r w:rsidRPr="004E225A">
        <w:rPr>
          <w:rFonts w:cs="Arial"/>
          <w:color w:val="000000" w:themeColor="text1"/>
          <w:sz w:val="20"/>
          <w:szCs w:val="20"/>
        </w:rPr>
        <w:t>1.</w:t>
      </w:r>
      <w:r w:rsidR="001103D7">
        <w:rPr>
          <w:rFonts w:cs="Arial"/>
          <w:color w:val="000000" w:themeColor="text1"/>
          <w:sz w:val="20"/>
          <w:szCs w:val="20"/>
        </w:rPr>
        <w:t>0</w:t>
      </w:r>
      <w:r w:rsidRPr="004E225A">
        <w:rPr>
          <w:rFonts w:cs="Arial"/>
          <w:color w:val="000000" w:themeColor="text1"/>
          <w:sz w:val="20"/>
          <w:szCs w:val="20"/>
        </w:rPr>
        <w:t>8.2023</w:t>
      </w:r>
      <w:proofErr w:type="gramEnd"/>
      <w:r w:rsidRPr="004E225A">
        <w:rPr>
          <w:rFonts w:cs="Arial"/>
          <w:color w:val="000000" w:themeColor="text1"/>
          <w:sz w:val="20"/>
          <w:szCs w:val="20"/>
        </w:rPr>
        <w:t xml:space="preserve"> – 31.</w:t>
      </w:r>
      <w:r w:rsidR="001103D7">
        <w:rPr>
          <w:rFonts w:cs="Arial"/>
          <w:color w:val="000000" w:themeColor="text1"/>
          <w:sz w:val="20"/>
          <w:szCs w:val="20"/>
        </w:rPr>
        <w:t>0</w:t>
      </w:r>
      <w:r w:rsidRPr="004E225A">
        <w:rPr>
          <w:rFonts w:cs="Arial"/>
          <w:color w:val="000000" w:themeColor="text1"/>
          <w:sz w:val="20"/>
          <w:szCs w:val="20"/>
        </w:rPr>
        <w:t>7.2026.</w:t>
      </w:r>
    </w:p>
    <w:p w14:paraId="6AA2337E" w14:textId="1D3C2A5A" w:rsidR="004E225A" w:rsidRPr="004E225A" w:rsidRDefault="004E225A" w:rsidP="004E225A">
      <w:pPr>
        <w:pStyle w:val="Normlnweb"/>
        <w:shd w:val="clear" w:color="auto" w:fill="FFFFFF"/>
        <w:spacing w:after="120"/>
        <w:rPr>
          <w:rFonts w:ascii="Arial" w:hAnsi="Arial" w:cs="Arial"/>
          <w:color w:val="000000" w:themeColor="text1"/>
          <w:sz w:val="20"/>
          <w:szCs w:val="20"/>
        </w:rPr>
      </w:pPr>
      <w:r w:rsidRPr="004E225A">
        <w:rPr>
          <w:rFonts w:ascii="Arial" w:hAnsi="Arial" w:cs="Arial"/>
          <w:color w:val="000000" w:themeColor="text1"/>
          <w:sz w:val="20"/>
          <w:szCs w:val="20"/>
        </w:rPr>
        <w:t>V roce 2023 byla započata realizace projektu „Návrh systému komplexní sdílené zdravotně-sociální péče o pacienty se vzácnými onemocněními“ – SYPOVO (CZ.03.02.02/00/22_046/0002450) v rámci Operačního programu Zaměstnanost plus, spolufinancovaného Evropskou unií z Evropského sociálního fondu. Projekt je zaměřen na tvorbu obecných standardů pro systém péče o pacienty se vzácnými onemocněními. Ta zahrnuje vysoce specializovanou</w:t>
      </w:r>
      <w:r w:rsidR="009D57A8">
        <w:rPr>
          <w:rFonts w:ascii="Arial" w:hAnsi="Arial" w:cs="Arial"/>
          <w:color w:val="000000" w:themeColor="text1"/>
          <w:sz w:val="20"/>
          <w:szCs w:val="20"/>
        </w:rPr>
        <w:t>, specializovanou, všeobecnou a </w:t>
      </w:r>
      <w:r w:rsidRPr="004E225A">
        <w:rPr>
          <w:rFonts w:ascii="Arial" w:hAnsi="Arial" w:cs="Arial"/>
          <w:color w:val="000000" w:themeColor="text1"/>
          <w:sz w:val="20"/>
          <w:szCs w:val="20"/>
        </w:rPr>
        <w:t xml:space="preserve">primární zdravotní péči, péči paliativní a sociální. V pracovní skupině projektu je i 5 zástupců pacientských organizací věnujících se vzácným onemocněním. </w:t>
      </w:r>
      <w:r w:rsidRPr="004E225A">
        <w:rPr>
          <w:rFonts w:ascii="Arial" w:hAnsi="Arial" w:cs="Arial"/>
          <w:color w:val="000000" w:themeColor="text1"/>
          <w:sz w:val="20"/>
          <w:szCs w:val="20"/>
          <w:shd w:val="clear" w:color="auto" w:fill="FFFFFF"/>
        </w:rPr>
        <w:t>Plánovaná realizace projektu je od 1. července 2023 do 30. června 2026.</w:t>
      </w:r>
    </w:p>
    <w:p w14:paraId="6B9E5FFB" w14:textId="6E78F433" w:rsidR="004E225A" w:rsidRPr="004E225A" w:rsidRDefault="004E225A" w:rsidP="005E5F84">
      <w:pPr>
        <w:pStyle w:val="paragraph"/>
        <w:spacing w:before="0" w:beforeAutospacing="0" w:after="0" w:afterAutospacing="0"/>
        <w:jc w:val="both"/>
        <w:textAlignment w:val="baseline"/>
        <w:rPr>
          <w:rFonts w:ascii="Arial" w:hAnsi="Arial" w:cs="Arial"/>
          <w:color w:val="000000" w:themeColor="text1"/>
          <w:sz w:val="20"/>
          <w:szCs w:val="20"/>
        </w:rPr>
      </w:pPr>
      <w:r w:rsidRPr="004E225A">
        <w:rPr>
          <w:rFonts w:ascii="Arial" w:hAnsi="Arial" w:cs="Arial"/>
          <w:color w:val="000000" w:themeColor="text1"/>
          <w:sz w:val="20"/>
          <w:szCs w:val="20"/>
        </w:rPr>
        <w:t>Ministerstvo zdravotnictví podpořilo NNO podporující osoby se zdravotním postižen</w:t>
      </w:r>
      <w:r w:rsidR="005E5F84">
        <w:rPr>
          <w:rFonts w:ascii="Arial" w:hAnsi="Arial" w:cs="Arial"/>
          <w:color w:val="000000" w:themeColor="text1"/>
          <w:sz w:val="20"/>
          <w:szCs w:val="20"/>
        </w:rPr>
        <w:t xml:space="preserve">ím </w:t>
      </w:r>
      <w:r w:rsidRPr="004E225A">
        <w:rPr>
          <w:rFonts w:ascii="Arial" w:hAnsi="Arial" w:cs="Arial"/>
          <w:color w:val="000000" w:themeColor="text1"/>
          <w:sz w:val="20"/>
          <w:szCs w:val="20"/>
        </w:rPr>
        <w:t>ze svého dotačního programu Podpora zdraví, zvyšování efekt</w:t>
      </w:r>
      <w:r w:rsidR="005E5F84">
        <w:rPr>
          <w:rFonts w:ascii="Arial" w:hAnsi="Arial" w:cs="Arial"/>
          <w:color w:val="000000" w:themeColor="text1"/>
          <w:sz w:val="20"/>
          <w:szCs w:val="20"/>
        </w:rPr>
        <w:t xml:space="preserve">ivity a kvality zdravotní péče </w:t>
      </w:r>
      <w:r w:rsidR="009D57A8">
        <w:rPr>
          <w:rFonts w:ascii="Arial" w:hAnsi="Arial" w:cs="Arial"/>
          <w:color w:val="000000" w:themeColor="text1"/>
          <w:sz w:val="20"/>
          <w:szCs w:val="20"/>
        </w:rPr>
        <w:t>dvě nové priority, a </w:t>
      </w:r>
      <w:r w:rsidRPr="004E225A">
        <w:rPr>
          <w:rFonts w:ascii="Arial" w:hAnsi="Arial" w:cs="Arial"/>
          <w:color w:val="000000" w:themeColor="text1"/>
          <w:sz w:val="20"/>
          <w:szCs w:val="20"/>
        </w:rPr>
        <w:t>to v rámci priorit:</w:t>
      </w:r>
    </w:p>
    <w:p w14:paraId="35D52003" w14:textId="77777777" w:rsidR="004E225A" w:rsidRPr="004E225A" w:rsidRDefault="004E225A" w:rsidP="005E5F84">
      <w:pPr>
        <w:pStyle w:val="paragraph"/>
        <w:numPr>
          <w:ilvl w:val="0"/>
          <w:numId w:val="26"/>
        </w:numPr>
        <w:spacing w:before="0" w:beforeAutospacing="0" w:after="0" w:afterAutospacing="0"/>
        <w:jc w:val="both"/>
        <w:textAlignment w:val="baseline"/>
        <w:rPr>
          <w:rStyle w:val="eop"/>
          <w:rFonts w:ascii="Arial" w:eastAsiaTheme="majorEastAsia" w:hAnsi="Arial" w:cs="Arial"/>
          <w:color w:val="000000" w:themeColor="text1"/>
          <w:sz w:val="20"/>
          <w:szCs w:val="20"/>
        </w:rPr>
      </w:pPr>
      <w:r w:rsidRPr="004E225A">
        <w:rPr>
          <w:rStyle w:val="eop"/>
          <w:rFonts w:ascii="Arial" w:eastAsiaTheme="majorEastAsia" w:hAnsi="Arial" w:cs="Arial"/>
          <w:color w:val="000000" w:themeColor="text1"/>
          <w:sz w:val="20"/>
          <w:szCs w:val="20"/>
        </w:rPr>
        <w:lastRenderedPageBreak/>
        <w:t>edukace v oblasti prevence domácího a genderově podmíněného násilí pro děti, osoby se zdravotním postižením a seniory,</w:t>
      </w:r>
    </w:p>
    <w:p w14:paraId="4C39E86F" w14:textId="714239DA" w:rsidR="004E225A" w:rsidRPr="004E225A" w:rsidRDefault="004E225A" w:rsidP="005E5F84">
      <w:pPr>
        <w:pStyle w:val="paragraph"/>
        <w:numPr>
          <w:ilvl w:val="0"/>
          <w:numId w:val="26"/>
        </w:numPr>
        <w:spacing w:before="0" w:beforeAutospacing="0" w:after="0" w:afterAutospacing="0"/>
        <w:jc w:val="both"/>
        <w:textAlignment w:val="baseline"/>
        <w:rPr>
          <w:rStyle w:val="eop"/>
          <w:rFonts w:ascii="Arial" w:eastAsiaTheme="majorEastAsia" w:hAnsi="Arial" w:cs="Arial"/>
          <w:color w:val="000000" w:themeColor="text1"/>
          <w:sz w:val="20"/>
          <w:szCs w:val="20"/>
        </w:rPr>
      </w:pPr>
      <w:r w:rsidRPr="004E225A">
        <w:rPr>
          <w:rStyle w:val="eop"/>
          <w:rFonts w:ascii="Arial" w:eastAsiaTheme="majorEastAsia" w:hAnsi="Arial" w:cs="Arial"/>
          <w:color w:val="000000" w:themeColor="text1"/>
          <w:sz w:val="20"/>
          <w:szCs w:val="20"/>
        </w:rPr>
        <w:t>koordinace péče pro osoby s chronickým onemocněním, vzácným onemocněním nebo zdravotním postižením v oblasti zajištění služeb dlouhodobé péče ve smyslu komplexní podpory v oblasti zdravotní a sociální péče prostřednictvím případového vedení, podpory činnosti zdravotně-sociálních pracovníků</w:t>
      </w:r>
      <w:r w:rsidR="007E5E08">
        <w:rPr>
          <w:rStyle w:val="eop"/>
          <w:rFonts w:ascii="Arial" w:eastAsiaTheme="majorEastAsia" w:hAnsi="Arial" w:cs="Arial"/>
          <w:color w:val="000000" w:themeColor="text1"/>
          <w:sz w:val="20"/>
          <w:szCs w:val="20"/>
        </w:rPr>
        <w:t xml:space="preserve"> a podpory informovanosti osob </w:t>
      </w:r>
      <w:r w:rsidRPr="004E225A">
        <w:rPr>
          <w:rStyle w:val="eop"/>
          <w:rFonts w:ascii="Arial" w:eastAsiaTheme="majorEastAsia" w:hAnsi="Arial" w:cs="Arial"/>
          <w:color w:val="000000" w:themeColor="text1"/>
          <w:sz w:val="20"/>
          <w:szCs w:val="20"/>
        </w:rPr>
        <w:t>s chronickým onemocněním, vzácným onemocněním, osob se zdravotním postižených a jejich laických pečujících</w:t>
      </w:r>
    </w:p>
    <w:p w14:paraId="6496BFE4" w14:textId="77777777" w:rsidR="004E225A" w:rsidRPr="004E225A" w:rsidRDefault="004E225A" w:rsidP="005E5F84">
      <w:pPr>
        <w:pStyle w:val="paragraph"/>
        <w:numPr>
          <w:ilvl w:val="0"/>
          <w:numId w:val="26"/>
        </w:numPr>
        <w:spacing w:before="0" w:beforeAutospacing="0" w:after="0" w:afterAutospacing="0"/>
        <w:jc w:val="both"/>
        <w:textAlignment w:val="baseline"/>
        <w:rPr>
          <w:rStyle w:val="eop"/>
          <w:rFonts w:ascii="Arial" w:eastAsiaTheme="majorEastAsia" w:hAnsi="Arial" w:cs="Arial"/>
          <w:color w:val="000000" w:themeColor="text1"/>
          <w:sz w:val="20"/>
          <w:szCs w:val="20"/>
        </w:rPr>
      </w:pPr>
      <w:r w:rsidRPr="004E225A">
        <w:rPr>
          <w:rStyle w:val="eop"/>
          <w:rFonts w:ascii="Arial" w:eastAsiaTheme="majorEastAsia" w:hAnsi="Arial" w:cs="Arial"/>
          <w:color w:val="000000" w:themeColor="text1"/>
          <w:sz w:val="20"/>
          <w:szCs w:val="20"/>
        </w:rPr>
        <w:t>zlepšení kvality života lidí s neurodegenerativním onemocněním,</w:t>
      </w:r>
    </w:p>
    <w:p w14:paraId="3EB00015" w14:textId="739DF909" w:rsidR="004E225A" w:rsidRPr="004E225A" w:rsidRDefault="004E225A" w:rsidP="005E5F84">
      <w:pPr>
        <w:pStyle w:val="paragraph"/>
        <w:numPr>
          <w:ilvl w:val="0"/>
          <w:numId w:val="26"/>
        </w:numPr>
        <w:spacing w:before="0" w:beforeAutospacing="0" w:after="120" w:afterAutospacing="0"/>
        <w:jc w:val="both"/>
        <w:textAlignment w:val="baseline"/>
        <w:rPr>
          <w:rFonts w:ascii="Arial" w:eastAsiaTheme="majorEastAsia" w:hAnsi="Arial" w:cs="Arial"/>
          <w:color w:val="000000" w:themeColor="text1"/>
          <w:sz w:val="20"/>
          <w:szCs w:val="20"/>
        </w:rPr>
      </w:pPr>
      <w:r w:rsidRPr="004E225A">
        <w:rPr>
          <w:rStyle w:val="eop"/>
          <w:rFonts w:ascii="Arial" w:eastAsiaTheme="majorEastAsia" w:hAnsi="Arial" w:cs="Arial"/>
          <w:color w:val="000000" w:themeColor="text1"/>
          <w:sz w:val="20"/>
          <w:szCs w:val="20"/>
        </w:rPr>
        <w:t>podporu advokační činnosti pro osoby se zdravotním postižením a chronickým či jiným vážným onemocněním.</w:t>
      </w:r>
    </w:p>
    <w:p w14:paraId="354BFFEA" w14:textId="2D5513E2" w:rsidR="004E225A" w:rsidRPr="004E225A" w:rsidRDefault="004E225A" w:rsidP="005E5F84">
      <w:pPr>
        <w:shd w:val="clear" w:color="auto" w:fill="FFFFFF"/>
        <w:rPr>
          <w:rFonts w:cs="Arial"/>
          <w:color w:val="000000" w:themeColor="text1"/>
          <w:sz w:val="20"/>
          <w:szCs w:val="20"/>
          <w:shd w:val="clear" w:color="auto" w:fill="FFFFFF"/>
        </w:rPr>
      </w:pPr>
      <w:r w:rsidRPr="004E225A">
        <w:rPr>
          <w:rFonts w:cs="Arial"/>
          <w:color w:val="000000" w:themeColor="text1"/>
          <w:sz w:val="20"/>
          <w:szCs w:val="20"/>
        </w:rPr>
        <w:t xml:space="preserve">Při </w:t>
      </w:r>
      <w:r w:rsidRPr="004E225A">
        <w:rPr>
          <w:rFonts w:cs="Arial"/>
          <w:color w:val="000000" w:themeColor="text1"/>
          <w:sz w:val="20"/>
          <w:szCs w:val="20"/>
          <w:shd w:val="clear" w:color="auto" w:fill="FFFFFF"/>
        </w:rPr>
        <w:t>Národním centru ošetřovatelství a nelékařských zdravotnických oborů vznikla nová pracovní skupina se zaměřením na oblast podpory neformálních pečujících, k</w:t>
      </w:r>
      <w:r w:rsidR="007E5E08">
        <w:rPr>
          <w:rFonts w:cs="Arial"/>
          <w:color w:val="000000" w:themeColor="text1"/>
          <w:sz w:val="20"/>
          <w:szCs w:val="20"/>
          <w:shd w:val="clear" w:color="auto" w:fill="FFFFFF"/>
        </w:rPr>
        <w:t>de mají své zástupce nejen MZ a </w:t>
      </w:r>
      <w:r w:rsidRPr="004E225A">
        <w:rPr>
          <w:rFonts w:cs="Arial"/>
          <w:color w:val="000000" w:themeColor="text1"/>
          <w:sz w:val="20"/>
          <w:szCs w:val="20"/>
          <w:shd w:val="clear" w:color="auto" w:fill="FFFFFF"/>
        </w:rPr>
        <w:t>MPSV, ale i některé pověřené pacientské organizace. Pracovní skupina pracuje v současné době na podpo</w:t>
      </w:r>
      <w:r w:rsidR="003266C5">
        <w:rPr>
          <w:rFonts w:cs="Arial"/>
          <w:color w:val="000000" w:themeColor="text1"/>
          <w:sz w:val="20"/>
          <w:szCs w:val="20"/>
          <w:shd w:val="clear" w:color="auto" w:fill="FFFFFF"/>
        </w:rPr>
        <w:t>ře</w:t>
      </w:r>
      <w:r w:rsidRPr="004E225A">
        <w:rPr>
          <w:rFonts w:cs="Arial"/>
          <w:color w:val="000000" w:themeColor="text1"/>
          <w:sz w:val="20"/>
          <w:szCs w:val="20"/>
          <w:shd w:val="clear" w:color="auto" w:fill="FFFFFF"/>
        </w:rPr>
        <w:t xml:space="preserve"> vyšší jistoty pečujících v oblasti informovanosti o možnostech sociálně zdravotní podpory při péči o pacienta v jeho vlastním sociálním prostředí, před ukončením hospitalizace apod., a to prostřednictvím vzniku metodiky, která bude obsahovat základní rozlišení dostupných služeb a jejich cílových skupin, základní okruhy informací pro neformální pečující a způsoby práce s neformálními pečujícími.</w:t>
      </w:r>
    </w:p>
    <w:p w14:paraId="3833C808" w14:textId="37503715" w:rsidR="004A7581" w:rsidRPr="004E225A" w:rsidRDefault="004A7581" w:rsidP="004E225A">
      <w:pPr>
        <w:keepNext/>
        <w:tabs>
          <w:tab w:val="left" w:pos="720"/>
        </w:tabs>
        <w:rPr>
          <w:rFonts w:cs="Arial"/>
          <w:b/>
          <w:bCs/>
          <w:sz w:val="20"/>
          <w:szCs w:val="20"/>
          <w:lang w:eastAsia="cs-CZ"/>
        </w:rPr>
      </w:pPr>
      <w:r w:rsidRPr="004E225A">
        <w:rPr>
          <w:rFonts w:cs="Arial"/>
          <w:b/>
          <w:bCs/>
          <w:sz w:val="20"/>
          <w:szCs w:val="20"/>
          <w:lang w:eastAsia="cs-CZ"/>
        </w:rPr>
        <w:t>STANOVISKO K PLNĚNÍ:</w:t>
      </w:r>
      <w:r w:rsidR="001B734B" w:rsidRPr="004E225A">
        <w:rPr>
          <w:rFonts w:cs="Arial"/>
          <w:b/>
          <w:sz w:val="20"/>
          <w:szCs w:val="20"/>
        </w:rPr>
        <w:t xml:space="preserve"> Plněno.</w:t>
      </w:r>
    </w:p>
    <w:p w14:paraId="4E69E2CF" w14:textId="1C7C3C9F" w:rsidR="004A7581" w:rsidRPr="004E225A" w:rsidRDefault="004A7581" w:rsidP="004E225A">
      <w:pPr>
        <w:rPr>
          <w:rFonts w:cs="Arial"/>
          <w:sz w:val="20"/>
          <w:szCs w:val="20"/>
        </w:rPr>
      </w:pPr>
    </w:p>
    <w:p w14:paraId="315ED62D" w14:textId="0ADDCD88" w:rsidR="00BD69FB" w:rsidRPr="00FB1BBB" w:rsidRDefault="007F6AD0" w:rsidP="00FB1BBB">
      <w:pPr>
        <w:tabs>
          <w:tab w:val="left" w:pos="720"/>
        </w:tabs>
        <w:rPr>
          <w:rFonts w:cs="Arial"/>
          <w:b/>
          <w:bCs/>
          <w:sz w:val="20"/>
          <w:szCs w:val="20"/>
          <w:lang w:eastAsia="cs-CZ"/>
        </w:rPr>
      </w:pPr>
      <w:r w:rsidRPr="00FB1BBB">
        <w:rPr>
          <w:rFonts w:cs="Arial"/>
          <w:b/>
          <w:bCs/>
          <w:sz w:val="20"/>
          <w:szCs w:val="20"/>
          <w:lang w:eastAsia="cs-CZ"/>
        </w:rPr>
        <w:t>PLNĚNÍ MZe</w:t>
      </w:r>
      <w:r w:rsidR="00BD69FB" w:rsidRPr="00FB1BBB">
        <w:rPr>
          <w:rFonts w:cs="Arial"/>
          <w:b/>
          <w:bCs/>
          <w:sz w:val="20"/>
          <w:szCs w:val="20"/>
          <w:lang w:eastAsia="cs-CZ"/>
        </w:rPr>
        <w:t>:</w:t>
      </w:r>
    </w:p>
    <w:p w14:paraId="290580DC" w14:textId="77777777" w:rsidR="00FB1BBB" w:rsidRPr="00FB1BBB" w:rsidRDefault="00FB1BBB" w:rsidP="00FB1BBB">
      <w:pPr>
        <w:rPr>
          <w:sz w:val="20"/>
          <w:szCs w:val="20"/>
        </w:rPr>
      </w:pPr>
      <w:r w:rsidRPr="00FB1BBB">
        <w:rPr>
          <w:sz w:val="20"/>
          <w:szCs w:val="20"/>
        </w:rPr>
        <w:t>Při přijímání organizačních a faktických opatření, která mají dopad do života občanů, je resortem Ministerstva zemědělství uplatňován princip komplexního plánování, a to včetně činností, které jsou zajišťovány v regionech. V rámci legislativních materiálů je tento aspekt zohledněn při tvorbě důvodových zpráv k jednotlivým právním předpisům.</w:t>
      </w:r>
    </w:p>
    <w:p w14:paraId="7DA38E5C" w14:textId="0302CD0B" w:rsidR="00FB1BBB" w:rsidRPr="00FB1BBB" w:rsidRDefault="00FB1BBB" w:rsidP="00FB1BBB">
      <w:pPr>
        <w:rPr>
          <w:sz w:val="20"/>
          <w:szCs w:val="20"/>
        </w:rPr>
      </w:pPr>
      <w:r w:rsidRPr="00FB1BBB">
        <w:rPr>
          <w:sz w:val="20"/>
          <w:szCs w:val="20"/>
        </w:rPr>
        <w:t>Sociální aspekt a zohlednění potřeb osob se zdravotním postižením se promítá rovněž do tvorby nejen všech resortních materiálů, ale je uplatňován i ve spolupráci s ostatními resorty. I v roce 2023 se Ministerstvo zemědělství aktivně podílelo na přípravě zákona o registrovaném sociá</w:t>
      </w:r>
      <w:r w:rsidR="008F046E">
        <w:rPr>
          <w:sz w:val="20"/>
          <w:szCs w:val="20"/>
        </w:rPr>
        <w:t>lním podniku.</w:t>
      </w:r>
    </w:p>
    <w:p w14:paraId="4725AFED" w14:textId="086FE97D" w:rsidR="00BD69FB" w:rsidRPr="00FB1BBB" w:rsidRDefault="00BD69FB" w:rsidP="00FB1BBB">
      <w:pPr>
        <w:keepNext/>
        <w:tabs>
          <w:tab w:val="left" w:pos="720"/>
        </w:tabs>
        <w:rPr>
          <w:rFonts w:cs="Arial"/>
          <w:b/>
          <w:bCs/>
          <w:sz w:val="20"/>
          <w:szCs w:val="20"/>
          <w:lang w:eastAsia="cs-CZ"/>
        </w:rPr>
      </w:pPr>
      <w:r w:rsidRPr="00FB1BBB">
        <w:rPr>
          <w:rFonts w:cs="Arial"/>
          <w:b/>
          <w:bCs/>
          <w:sz w:val="20"/>
          <w:szCs w:val="20"/>
          <w:lang w:eastAsia="cs-CZ"/>
        </w:rPr>
        <w:t>STANOVISKO K PLNĚNÍ:</w:t>
      </w:r>
      <w:r w:rsidR="00DB7AD5" w:rsidRPr="00FB1BBB">
        <w:rPr>
          <w:rFonts w:cs="Arial"/>
          <w:b/>
          <w:sz w:val="20"/>
          <w:szCs w:val="20"/>
        </w:rPr>
        <w:t xml:space="preserve"> Plněno.</w:t>
      </w:r>
    </w:p>
    <w:p w14:paraId="652E722E" w14:textId="5EB3FD7A" w:rsidR="00BD69FB" w:rsidRPr="00D5477A" w:rsidRDefault="00BD69FB" w:rsidP="00D5477A">
      <w:pPr>
        <w:rPr>
          <w:rFonts w:cs="Arial"/>
          <w:sz w:val="20"/>
          <w:szCs w:val="20"/>
        </w:rPr>
      </w:pPr>
    </w:p>
    <w:p w14:paraId="33618AA8" w14:textId="70BEBEC2" w:rsidR="000F5FC3" w:rsidRPr="00936D7D" w:rsidRDefault="000F5FC3" w:rsidP="00936D7D">
      <w:pPr>
        <w:tabs>
          <w:tab w:val="left" w:pos="720"/>
        </w:tabs>
        <w:rPr>
          <w:rFonts w:cs="Arial"/>
          <w:b/>
          <w:bCs/>
          <w:sz w:val="20"/>
          <w:szCs w:val="20"/>
          <w:lang w:eastAsia="cs-CZ"/>
        </w:rPr>
      </w:pPr>
      <w:r w:rsidRPr="00936D7D">
        <w:rPr>
          <w:rFonts w:cs="Arial"/>
          <w:b/>
          <w:bCs/>
          <w:sz w:val="20"/>
          <w:szCs w:val="20"/>
          <w:lang w:eastAsia="cs-CZ"/>
        </w:rPr>
        <w:t>PLNĚNÍ MZV:</w:t>
      </w:r>
    </w:p>
    <w:p w14:paraId="2F256C6C" w14:textId="77777777" w:rsidR="00936D7D" w:rsidRPr="00936D7D" w:rsidRDefault="00936D7D" w:rsidP="00936D7D">
      <w:pPr>
        <w:rPr>
          <w:rFonts w:cs="Arial"/>
          <w:bCs/>
          <w:sz w:val="20"/>
          <w:szCs w:val="20"/>
        </w:rPr>
      </w:pPr>
      <w:r w:rsidRPr="00936D7D">
        <w:rPr>
          <w:rFonts w:cs="Arial"/>
          <w:bCs/>
          <w:sz w:val="20"/>
          <w:szCs w:val="20"/>
        </w:rPr>
        <w:t xml:space="preserve">V roce 2023 gesčně příslušný Odbor zahraničně politických analýz a plánování MZV nezpracovával žádný strategický materiál, a ani k němu nepřipravoval podklady, ve kterém by bylo relevantní zohlednit dopady na osoby se zdravotním postižením a jejich případné specifické požadavky. </w:t>
      </w:r>
    </w:p>
    <w:p w14:paraId="53C1068F" w14:textId="6EF81082" w:rsidR="00936D7D" w:rsidRPr="00936D7D" w:rsidRDefault="00936D7D" w:rsidP="00936D7D">
      <w:pPr>
        <w:rPr>
          <w:rFonts w:cs="Arial"/>
          <w:bCs/>
          <w:sz w:val="20"/>
          <w:szCs w:val="20"/>
        </w:rPr>
      </w:pPr>
      <w:r w:rsidRPr="00936D7D">
        <w:rPr>
          <w:rFonts w:cs="Arial"/>
          <w:bCs/>
          <w:sz w:val="20"/>
          <w:szCs w:val="20"/>
        </w:rPr>
        <w:t>MZV je při přípravě strategických dokumentů připraveno zohledňovat dopady na osoby se zdravotním postižením, pokud by to s ohledem na povahu dokumentu bylo aplikovatelné. Strategické materiály MZV však ve své naprosté většině nemají dopad na práva osob, vč. osob se zdravotním postižením.</w:t>
      </w:r>
    </w:p>
    <w:p w14:paraId="6E201BC2" w14:textId="4380579C" w:rsidR="000F5FC3" w:rsidRPr="00936D7D" w:rsidRDefault="000F5FC3" w:rsidP="00936D7D">
      <w:pPr>
        <w:keepNext/>
        <w:tabs>
          <w:tab w:val="left" w:pos="720"/>
        </w:tabs>
        <w:rPr>
          <w:rFonts w:cs="Arial"/>
          <w:b/>
          <w:bCs/>
          <w:sz w:val="20"/>
          <w:szCs w:val="20"/>
          <w:lang w:eastAsia="cs-CZ"/>
        </w:rPr>
      </w:pPr>
      <w:r w:rsidRPr="00936D7D">
        <w:rPr>
          <w:rFonts w:cs="Arial"/>
          <w:b/>
          <w:bCs/>
          <w:sz w:val="20"/>
          <w:szCs w:val="20"/>
          <w:lang w:eastAsia="cs-CZ"/>
        </w:rPr>
        <w:t>STANOVISKO K PLNĚNÍ:</w:t>
      </w:r>
      <w:r w:rsidR="00DE458E" w:rsidRPr="00936D7D">
        <w:rPr>
          <w:rFonts w:cs="Arial"/>
          <w:b/>
          <w:sz w:val="20"/>
          <w:szCs w:val="20"/>
        </w:rPr>
        <w:t xml:space="preserve"> Plněno.</w:t>
      </w:r>
    </w:p>
    <w:p w14:paraId="3A100A90" w14:textId="54C5A045" w:rsidR="000F5FC3" w:rsidRPr="000D4CD9" w:rsidRDefault="000F5FC3" w:rsidP="000445E5">
      <w:pPr>
        <w:rPr>
          <w:rFonts w:cs="Arial"/>
          <w:sz w:val="20"/>
          <w:szCs w:val="20"/>
        </w:rPr>
      </w:pPr>
    </w:p>
    <w:p w14:paraId="1DD2B973" w14:textId="1A913F28" w:rsidR="00113AEC" w:rsidRPr="00EC4EFE" w:rsidRDefault="00113AEC" w:rsidP="00EC4EFE">
      <w:pPr>
        <w:tabs>
          <w:tab w:val="left" w:pos="720"/>
        </w:tabs>
        <w:rPr>
          <w:rFonts w:cs="Arial"/>
          <w:b/>
          <w:bCs/>
          <w:sz w:val="20"/>
          <w:szCs w:val="20"/>
          <w:lang w:eastAsia="cs-CZ"/>
        </w:rPr>
      </w:pPr>
      <w:r w:rsidRPr="00EC4EFE">
        <w:rPr>
          <w:rFonts w:cs="Arial"/>
          <w:b/>
          <w:bCs/>
          <w:sz w:val="20"/>
          <w:szCs w:val="20"/>
          <w:lang w:eastAsia="cs-CZ"/>
        </w:rPr>
        <w:t>PLNĚNÍ MŽP:</w:t>
      </w:r>
    </w:p>
    <w:p w14:paraId="0EA5E8EE" w14:textId="31C362DD" w:rsidR="00EC4EFE" w:rsidRPr="00EC4EFE" w:rsidRDefault="00EC4EFE" w:rsidP="00EC4EFE">
      <w:pPr>
        <w:rPr>
          <w:rFonts w:cs="Arial"/>
          <w:sz w:val="20"/>
          <w:szCs w:val="20"/>
        </w:rPr>
      </w:pPr>
      <w:r w:rsidRPr="00EC4EFE">
        <w:rPr>
          <w:rFonts w:cs="Arial"/>
          <w:sz w:val="20"/>
          <w:szCs w:val="20"/>
        </w:rPr>
        <w:t>Při tvorbě strategických materiálů jsou zohledňovány také dopady na osoby se zdravotním postižením. Lze doložit například 2. implementačním plánem Strategického rámce Česká republika 2030 (pro roky 2022–2025), který zohledňuje dopady na osoby se zdravotním postižením, konkrétně ve specifickém cíli 2.2 a 3.4, kde jsou požadavky zohledňovány zejména v kontextu trhu práce, zaměstnanosti a diskriminace a dále na programovém dokumentu Operační program Spravedlivá transformace.</w:t>
      </w:r>
    </w:p>
    <w:p w14:paraId="6BBA94CC" w14:textId="37347111" w:rsidR="00113AEC" w:rsidRPr="00EC4EFE" w:rsidRDefault="00113AEC" w:rsidP="00EC4EFE">
      <w:pPr>
        <w:keepNext/>
        <w:tabs>
          <w:tab w:val="left" w:pos="720"/>
        </w:tabs>
        <w:rPr>
          <w:rFonts w:cs="Arial"/>
          <w:b/>
          <w:bCs/>
          <w:sz w:val="20"/>
          <w:szCs w:val="20"/>
          <w:lang w:eastAsia="cs-CZ"/>
        </w:rPr>
      </w:pPr>
      <w:r w:rsidRPr="00EC4EFE">
        <w:rPr>
          <w:rFonts w:cs="Arial"/>
          <w:b/>
          <w:bCs/>
          <w:sz w:val="20"/>
          <w:szCs w:val="20"/>
          <w:lang w:eastAsia="cs-CZ"/>
        </w:rPr>
        <w:t>STANOVISKO K PLNĚNÍ:</w:t>
      </w:r>
      <w:r w:rsidR="000E1070" w:rsidRPr="00EC4EFE">
        <w:rPr>
          <w:rFonts w:cs="Arial"/>
          <w:b/>
          <w:sz w:val="20"/>
          <w:szCs w:val="20"/>
        </w:rPr>
        <w:t xml:space="preserve"> Plněno.</w:t>
      </w:r>
    </w:p>
    <w:p w14:paraId="3CA25D92" w14:textId="79853F7E" w:rsidR="00113AEC" w:rsidRPr="000D4CD9" w:rsidRDefault="00113AEC" w:rsidP="000445E5">
      <w:pPr>
        <w:rPr>
          <w:rFonts w:cs="Arial"/>
          <w:sz w:val="20"/>
          <w:szCs w:val="20"/>
        </w:rPr>
      </w:pPr>
    </w:p>
    <w:p w14:paraId="6D51F931" w14:textId="111F8D6C" w:rsidR="00207E0F" w:rsidRPr="00F55C74" w:rsidRDefault="00207E0F" w:rsidP="000445E5">
      <w:pPr>
        <w:tabs>
          <w:tab w:val="left" w:pos="720"/>
        </w:tabs>
        <w:rPr>
          <w:rFonts w:cs="Arial"/>
          <w:b/>
          <w:bCs/>
          <w:sz w:val="20"/>
          <w:szCs w:val="20"/>
          <w:lang w:eastAsia="cs-CZ"/>
        </w:rPr>
      </w:pPr>
      <w:r w:rsidRPr="00F55C74">
        <w:rPr>
          <w:rFonts w:cs="Arial"/>
          <w:b/>
          <w:bCs/>
          <w:sz w:val="20"/>
          <w:szCs w:val="20"/>
          <w:lang w:eastAsia="cs-CZ"/>
        </w:rPr>
        <w:t>PLNĚNÍ ÚV:</w:t>
      </w:r>
    </w:p>
    <w:p w14:paraId="028116B2" w14:textId="6046F09E" w:rsidR="0017742C" w:rsidRPr="00F55C74" w:rsidRDefault="0017742C" w:rsidP="0017742C">
      <w:pPr>
        <w:rPr>
          <w:rFonts w:cs="Arial"/>
          <w:bCs/>
          <w:sz w:val="20"/>
          <w:szCs w:val="20"/>
        </w:rPr>
      </w:pPr>
      <w:r w:rsidRPr="00F55C74">
        <w:rPr>
          <w:sz w:val="20"/>
          <w:szCs w:val="20"/>
        </w:rPr>
        <w:lastRenderedPageBreak/>
        <w:t>Při tvorbě veškerých strategických materiálů ÚV dbá na otevřený</w:t>
      </w:r>
      <w:r w:rsidR="00672DFD">
        <w:rPr>
          <w:sz w:val="20"/>
          <w:szCs w:val="20"/>
        </w:rPr>
        <w:t xml:space="preserve"> přístup ke všem zaměstnancům a </w:t>
      </w:r>
      <w:r w:rsidRPr="00F55C74">
        <w:rPr>
          <w:sz w:val="20"/>
          <w:szCs w:val="20"/>
        </w:rPr>
        <w:t>současně zohledňuje specifické potřeby jednotlivců. V souvislosti</w:t>
      </w:r>
      <w:r w:rsidRPr="00F55C74">
        <w:rPr>
          <w:rFonts w:cs="Arial"/>
          <w:sz w:val="20"/>
          <w:szCs w:val="20"/>
        </w:rPr>
        <w:t xml:space="preserve"> s plánovanými rekonstrukcemi zohledňuje ÚV případné dopady na osoby se zdravotním postižením.</w:t>
      </w:r>
    </w:p>
    <w:p w14:paraId="7BB2C7BE" w14:textId="2CA30955" w:rsidR="00864F38" w:rsidRPr="00864F38" w:rsidRDefault="00864F38" w:rsidP="00864F38">
      <w:pPr>
        <w:rPr>
          <w:rFonts w:cs="Arial"/>
          <w:bCs/>
          <w:sz w:val="20"/>
          <w:szCs w:val="20"/>
        </w:rPr>
      </w:pPr>
      <w:r w:rsidRPr="00F55C74">
        <w:rPr>
          <w:sz w:val="20"/>
          <w:szCs w:val="20"/>
        </w:rPr>
        <w:t xml:space="preserve">V rámci ÚV je realizován projekt „Zavádění řízení kvality </w:t>
      </w:r>
      <w:r w:rsidR="0017742C" w:rsidRPr="00F55C74">
        <w:rPr>
          <w:sz w:val="20"/>
          <w:szCs w:val="20"/>
        </w:rPr>
        <w:t>v Úřadu vlády ČR“. B</w:t>
      </w:r>
      <w:r w:rsidRPr="00F55C74">
        <w:rPr>
          <w:sz w:val="20"/>
          <w:szCs w:val="20"/>
        </w:rPr>
        <w:t>yl schválen strategický materiál s názvem „Strategické cíle Úřadu vlády ČR pro období 2021 – 2025“, který se zabývá otázkou kontinuálního profesního růstu a mapuje podporu rozvoje lidských zdrojů ve vztahu ke všem zamě</w:t>
      </w:r>
      <w:r w:rsidR="0017742C" w:rsidRPr="00F55C74">
        <w:rPr>
          <w:sz w:val="20"/>
          <w:szCs w:val="20"/>
        </w:rPr>
        <w:t xml:space="preserve">stnancům v ÚV. </w:t>
      </w:r>
      <w:r w:rsidRPr="00F55C74">
        <w:rPr>
          <w:sz w:val="20"/>
          <w:szCs w:val="20"/>
        </w:rPr>
        <w:t>Cíle byly formulovány tak, aby jejich realizace neměla žádný negativní dopad na podporu rovných příležitostí pro osoby se zdravotním postižením.</w:t>
      </w:r>
      <w:r w:rsidRPr="00864F38">
        <w:rPr>
          <w:sz w:val="20"/>
          <w:szCs w:val="20"/>
        </w:rPr>
        <w:t xml:space="preserve"> </w:t>
      </w:r>
    </w:p>
    <w:p w14:paraId="63634FD3" w14:textId="250A1FC6" w:rsidR="00207E0F" w:rsidRPr="00864F38" w:rsidRDefault="00207E0F" w:rsidP="000445E5">
      <w:pPr>
        <w:rPr>
          <w:rFonts w:cs="Arial"/>
          <w:b/>
          <w:bCs/>
          <w:sz w:val="20"/>
          <w:szCs w:val="20"/>
          <w:lang w:eastAsia="cs-CZ"/>
        </w:rPr>
      </w:pPr>
      <w:r w:rsidRPr="00864F38">
        <w:rPr>
          <w:rFonts w:cs="Arial"/>
          <w:b/>
          <w:bCs/>
          <w:sz w:val="20"/>
          <w:szCs w:val="20"/>
          <w:lang w:eastAsia="cs-CZ"/>
        </w:rPr>
        <w:t xml:space="preserve">STANOVISKO K PLNĚNÍ: </w:t>
      </w:r>
      <w:r w:rsidR="00DE458E" w:rsidRPr="00864F38">
        <w:rPr>
          <w:rFonts w:cs="Arial"/>
          <w:b/>
          <w:bCs/>
          <w:sz w:val="20"/>
          <w:szCs w:val="20"/>
          <w:lang w:eastAsia="cs-CZ"/>
        </w:rPr>
        <w:t>Plněno.</w:t>
      </w:r>
    </w:p>
    <w:p w14:paraId="07E1C44E" w14:textId="77777777" w:rsidR="00207E0F" w:rsidRPr="00864F38" w:rsidRDefault="00207E0F" w:rsidP="000445E5">
      <w:pPr>
        <w:rPr>
          <w:rFonts w:cs="Arial"/>
          <w:sz w:val="20"/>
          <w:szCs w:val="20"/>
        </w:rPr>
      </w:pPr>
    </w:p>
    <w:p w14:paraId="3541A7B5" w14:textId="77777777" w:rsidR="00F17E74" w:rsidRPr="0057756D" w:rsidRDefault="00F17E74" w:rsidP="000445E5">
      <w:pPr>
        <w:rPr>
          <w:rFonts w:cs="Arial"/>
          <w:b/>
          <w:szCs w:val="20"/>
        </w:rPr>
      </w:pPr>
      <w:r>
        <w:rPr>
          <w:rFonts w:cs="Arial"/>
          <w:b/>
          <w:szCs w:val="20"/>
        </w:rPr>
        <w:t xml:space="preserve">1.2 </w:t>
      </w:r>
      <w:r w:rsidRPr="0057756D">
        <w:rPr>
          <w:rFonts w:cs="Arial"/>
          <w:b/>
          <w:szCs w:val="20"/>
        </w:rPr>
        <w:t xml:space="preserve">Cíl: </w:t>
      </w:r>
      <w:r w:rsidRPr="00514E6F">
        <w:rPr>
          <w:rFonts w:cs="Arial"/>
          <w:b/>
          <w:szCs w:val="20"/>
        </w:rPr>
        <w:t>Podpora krajské samosprávy</w:t>
      </w:r>
      <w:r w:rsidRPr="00514E6F">
        <w:rPr>
          <w:rFonts w:cs="Arial"/>
          <w:b/>
          <w:bCs/>
          <w:szCs w:val="20"/>
        </w:rPr>
        <w:t xml:space="preserve"> v oblasti dodržování principu</w:t>
      </w:r>
      <w:r w:rsidRPr="0057756D">
        <w:rPr>
          <w:rFonts w:cs="Arial"/>
          <w:b/>
          <w:bCs/>
          <w:szCs w:val="20"/>
        </w:rPr>
        <w:t xml:space="preserve"> rovnosti a</w:t>
      </w:r>
      <w:r w:rsidR="00251C70">
        <w:rPr>
          <w:rFonts w:cs="Arial"/>
          <w:b/>
          <w:bCs/>
          <w:szCs w:val="20"/>
        </w:rPr>
        <w:t> </w:t>
      </w:r>
      <w:r w:rsidRPr="0057756D">
        <w:rPr>
          <w:rFonts w:cs="Arial"/>
          <w:b/>
          <w:bCs/>
          <w:szCs w:val="20"/>
        </w:rPr>
        <w:t xml:space="preserve">nediskriminace </w:t>
      </w:r>
      <w:r>
        <w:rPr>
          <w:rFonts w:cs="Arial"/>
          <w:b/>
          <w:bCs/>
          <w:szCs w:val="20"/>
        </w:rPr>
        <w:t>osob</w:t>
      </w:r>
      <w:r w:rsidRPr="0057756D">
        <w:rPr>
          <w:rFonts w:cs="Arial"/>
          <w:b/>
          <w:bCs/>
          <w:szCs w:val="20"/>
        </w:rPr>
        <w:t xml:space="preserve"> se zdravotním postižením.</w:t>
      </w:r>
    </w:p>
    <w:p w14:paraId="47038915" w14:textId="3BB1278C" w:rsidR="00F17E74" w:rsidRPr="0057756D" w:rsidRDefault="00F17E74" w:rsidP="00F17E74">
      <w:pPr>
        <w:rPr>
          <w:rFonts w:cs="Arial"/>
          <w:szCs w:val="20"/>
        </w:rPr>
      </w:pPr>
      <w:r w:rsidRPr="0035060D">
        <w:rPr>
          <w:rFonts w:cs="Arial"/>
          <w:bCs/>
          <w:szCs w:val="20"/>
        </w:rPr>
        <w:t xml:space="preserve">Opatření </w:t>
      </w:r>
      <w:r>
        <w:rPr>
          <w:rFonts w:cs="Arial"/>
          <w:szCs w:val="20"/>
        </w:rPr>
        <w:t>1.2</w:t>
      </w:r>
      <w:r w:rsidRPr="0035060D">
        <w:rPr>
          <w:rFonts w:cs="Arial"/>
          <w:szCs w:val="20"/>
        </w:rPr>
        <w:t>.</w:t>
      </w:r>
      <w:r>
        <w:rPr>
          <w:rFonts w:cs="Arial"/>
          <w:szCs w:val="20"/>
        </w:rPr>
        <w:t>1</w:t>
      </w:r>
      <w:r w:rsidRPr="0035060D">
        <w:rPr>
          <w:rFonts w:cs="Arial"/>
          <w:szCs w:val="20"/>
        </w:rPr>
        <w:t xml:space="preserve"> </w:t>
      </w:r>
      <w:r w:rsidR="00421659">
        <w:rPr>
          <w:rFonts w:cs="Arial"/>
          <w:szCs w:val="20"/>
        </w:rPr>
        <w:t>M</w:t>
      </w:r>
      <w:r>
        <w:rPr>
          <w:rFonts w:cs="Arial"/>
          <w:szCs w:val="20"/>
        </w:rPr>
        <w:t>etodicky p</w:t>
      </w:r>
      <w:r w:rsidRPr="0057756D">
        <w:rPr>
          <w:rFonts w:cs="Arial"/>
          <w:szCs w:val="20"/>
        </w:rPr>
        <w:t>odporovat přípravu, realizaci a průběžné monitorování krajských plánů vyrovnávání příležitostí pro osoby se zdravotním postižením.</w:t>
      </w:r>
    </w:p>
    <w:p w14:paraId="6DAED40D" w14:textId="0D8C5079" w:rsidR="00F17E74" w:rsidRPr="0057756D" w:rsidRDefault="00965BB4" w:rsidP="00F17E74">
      <w:pPr>
        <w:rPr>
          <w:rFonts w:cs="Arial"/>
          <w:szCs w:val="20"/>
        </w:rPr>
      </w:pPr>
      <w:r>
        <w:rPr>
          <w:rFonts w:cs="Arial"/>
          <w:szCs w:val="20"/>
        </w:rPr>
        <w:t>Termín: průběžně</w:t>
      </w:r>
    </w:p>
    <w:p w14:paraId="6709E65D" w14:textId="77777777" w:rsidR="00F17E74" w:rsidRPr="0057756D" w:rsidRDefault="00F17E74" w:rsidP="00F17E74">
      <w:pPr>
        <w:rPr>
          <w:rFonts w:cs="Arial"/>
          <w:szCs w:val="20"/>
        </w:rPr>
      </w:pPr>
      <w:r w:rsidRPr="0057756D">
        <w:rPr>
          <w:rFonts w:cs="Arial"/>
          <w:szCs w:val="20"/>
        </w:rPr>
        <w:t>Gestor: VVOZP</w:t>
      </w:r>
    </w:p>
    <w:p w14:paraId="01D77081" w14:textId="77777777" w:rsidR="00F17E74" w:rsidRDefault="00F17E74" w:rsidP="00F17E74">
      <w:pPr>
        <w:spacing w:before="120"/>
        <w:rPr>
          <w:rFonts w:cs="Arial"/>
          <w:szCs w:val="20"/>
        </w:rPr>
      </w:pPr>
      <w:r w:rsidRPr="001824EA">
        <w:rPr>
          <w:rFonts w:cs="Arial"/>
          <w:szCs w:val="20"/>
        </w:rPr>
        <w:t xml:space="preserve">Spolupráce: NRZP ČR </w:t>
      </w:r>
    </w:p>
    <w:p w14:paraId="4103BBDC" w14:textId="5FEF2257" w:rsidR="00F17E74" w:rsidRDefault="00F17E74" w:rsidP="00EB596B">
      <w:pPr>
        <w:rPr>
          <w:rFonts w:cs="Arial"/>
          <w:szCs w:val="20"/>
        </w:rPr>
      </w:pPr>
      <w:r>
        <w:rPr>
          <w:rFonts w:cs="Arial"/>
          <w:szCs w:val="20"/>
        </w:rPr>
        <w:t>Indikátor: Kraje jsou v uvedené oblasti metodicky podporovány.</w:t>
      </w:r>
    </w:p>
    <w:p w14:paraId="1CDC5E48" w14:textId="77777777" w:rsidR="00221B01" w:rsidRPr="0053282F" w:rsidRDefault="00221B01" w:rsidP="0053282F">
      <w:pPr>
        <w:rPr>
          <w:rFonts w:cs="Arial"/>
          <w:sz w:val="20"/>
          <w:szCs w:val="20"/>
        </w:rPr>
      </w:pPr>
    </w:p>
    <w:p w14:paraId="64029AFA" w14:textId="50BF78E3" w:rsidR="00221B01" w:rsidRPr="00D44B78" w:rsidRDefault="00221B01" w:rsidP="0053282F">
      <w:pPr>
        <w:rPr>
          <w:rFonts w:cs="Arial"/>
          <w:b/>
          <w:bCs/>
          <w:sz w:val="20"/>
          <w:szCs w:val="20"/>
          <w:lang w:eastAsia="cs-CZ"/>
        </w:rPr>
      </w:pPr>
      <w:r w:rsidRPr="00D44B78">
        <w:rPr>
          <w:rFonts w:cs="Arial"/>
          <w:b/>
          <w:bCs/>
          <w:sz w:val="20"/>
          <w:szCs w:val="20"/>
          <w:lang w:eastAsia="cs-CZ"/>
        </w:rPr>
        <w:t>PLNĚNÍ VVOZP:</w:t>
      </w:r>
    </w:p>
    <w:p w14:paraId="5328E250" w14:textId="21E55FDD" w:rsidR="00D44B78" w:rsidRPr="00D44B78" w:rsidRDefault="0053282F" w:rsidP="00D44B78">
      <w:pPr>
        <w:rPr>
          <w:rFonts w:cs="Arial"/>
          <w:sz w:val="20"/>
          <w:szCs w:val="20"/>
        </w:rPr>
      </w:pPr>
      <w:r w:rsidRPr="00D44B78">
        <w:rPr>
          <w:rFonts w:cs="Arial"/>
          <w:iCs/>
          <w:sz w:val="20"/>
          <w:szCs w:val="20"/>
        </w:rPr>
        <w:t>Sekretariát VVOZP působí jako metodické a poradenské místo, na které se mohou krajské úřady obracet v záležitostech týkajících se přípravy a realizace krajských plánů vyrovnávání příležitostí pro osoby se zdravotním postižením. Pro koordinaci a výměnu zkušeností v této oblasti pracuje při VVOZP Odborná skupina pro regionální rozvoj, jejímiž členy jsou zástupci jednotlivých krajů, do jejichž působnosti příprava a realizace krajských plánů náleží. Jednání odborné skupiny bylo v roce 202</w:t>
      </w:r>
      <w:r w:rsidR="00D44B78" w:rsidRPr="00D44B78">
        <w:rPr>
          <w:rFonts w:cs="Arial"/>
          <w:iCs/>
          <w:sz w:val="20"/>
          <w:szCs w:val="20"/>
        </w:rPr>
        <w:t>3</w:t>
      </w:r>
      <w:r w:rsidRPr="00D44B78">
        <w:rPr>
          <w:rFonts w:cs="Arial"/>
          <w:iCs/>
          <w:sz w:val="20"/>
          <w:szCs w:val="20"/>
        </w:rPr>
        <w:t xml:space="preserve"> zaměřeno zejména na </w:t>
      </w:r>
      <w:r w:rsidRPr="00D44B78">
        <w:rPr>
          <w:rFonts w:cs="Arial"/>
          <w:sz w:val="20"/>
          <w:szCs w:val="20"/>
        </w:rPr>
        <w:t xml:space="preserve">krajské plány vyrovnávání příležitostí pro osoby se zdravotním postižením, </w:t>
      </w:r>
      <w:r w:rsidR="00D44B78" w:rsidRPr="00D44B78">
        <w:rPr>
          <w:rFonts w:cs="Arial"/>
          <w:sz w:val="20"/>
          <w:szCs w:val="20"/>
        </w:rPr>
        <w:t>poskytování pobytových, terénní a ambulantní sociálních služeb, dotační řízení na podporu sociálních služeb a přípravu novely zákona o sociálních službách.</w:t>
      </w:r>
    </w:p>
    <w:p w14:paraId="44249848" w14:textId="4FA74217" w:rsidR="00221B01" w:rsidRPr="00D44B78" w:rsidRDefault="00296114" w:rsidP="00D44B78">
      <w:pPr>
        <w:keepNext/>
        <w:tabs>
          <w:tab w:val="left" w:pos="720"/>
        </w:tabs>
        <w:rPr>
          <w:rFonts w:cs="Arial"/>
          <w:b/>
          <w:bCs/>
          <w:sz w:val="20"/>
          <w:szCs w:val="20"/>
          <w:lang w:eastAsia="cs-CZ"/>
        </w:rPr>
      </w:pPr>
      <w:r w:rsidRPr="00D44B78">
        <w:rPr>
          <w:rFonts w:cs="Arial"/>
          <w:b/>
          <w:bCs/>
          <w:sz w:val="20"/>
          <w:szCs w:val="20"/>
          <w:lang w:eastAsia="cs-CZ"/>
        </w:rPr>
        <w:t>STANOVISKO K PLNĚNÍ:</w:t>
      </w:r>
      <w:r w:rsidR="00A13E51" w:rsidRPr="00D44B78">
        <w:rPr>
          <w:rFonts w:cs="Arial"/>
          <w:b/>
          <w:bCs/>
          <w:sz w:val="20"/>
          <w:szCs w:val="20"/>
          <w:lang w:eastAsia="cs-CZ"/>
        </w:rPr>
        <w:t xml:space="preserve"> </w:t>
      </w:r>
      <w:r w:rsidR="00F8560F" w:rsidRPr="00D44B78">
        <w:rPr>
          <w:rFonts w:cs="Arial"/>
          <w:b/>
          <w:bCs/>
          <w:sz w:val="20"/>
          <w:szCs w:val="20"/>
          <w:lang w:eastAsia="cs-CZ"/>
        </w:rPr>
        <w:t>Plněno.</w:t>
      </w:r>
    </w:p>
    <w:p w14:paraId="3C9B90F8" w14:textId="77777777" w:rsidR="00221B01" w:rsidRPr="00A24D8A" w:rsidRDefault="00221B01" w:rsidP="00A24D8A">
      <w:pPr>
        <w:rPr>
          <w:rFonts w:cs="Arial"/>
          <w:sz w:val="20"/>
          <w:szCs w:val="20"/>
        </w:rPr>
      </w:pPr>
    </w:p>
    <w:p w14:paraId="3E92D83A" w14:textId="06076A05" w:rsidR="00221B01" w:rsidRPr="00A24D8A" w:rsidRDefault="00221B01" w:rsidP="00A24D8A">
      <w:pPr>
        <w:tabs>
          <w:tab w:val="left" w:pos="720"/>
        </w:tabs>
        <w:rPr>
          <w:rFonts w:cs="Arial"/>
          <w:b/>
          <w:bCs/>
          <w:sz w:val="20"/>
          <w:szCs w:val="20"/>
          <w:lang w:eastAsia="cs-CZ"/>
        </w:rPr>
      </w:pPr>
      <w:r w:rsidRPr="00A24D8A">
        <w:rPr>
          <w:rFonts w:cs="Arial"/>
          <w:b/>
          <w:bCs/>
          <w:sz w:val="20"/>
          <w:szCs w:val="20"/>
          <w:lang w:eastAsia="cs-CZ"/>
        </w:rPr>
        <w:t>PLNĚNÍ NRZP ČR:</w:t>
      </w:r>
    </w:p>
    <w:p w14:paraId="2A1D7DB9" w14:textId="5299A3D8" w:rsidR="00A24D8A" w:rsidRPr="00A24D8A" w:rsidRDefault="00A24D8A" w:rsidP="00A24D8A">
      <w:pPr>
        <w:rPr>
          <w:rFonts w:cs="Arial"/>
          <w:sz w:val="20"/>
          <w:szCs w:val="20"/>
        </w:rPr>
      </w:pPr>
      <w:r w:rsidRPr="00A24D8A">
        <w:rPr>
          <w:rFonts w:cs="Arial"/>
          <w:sz w:val="20"/>
          <w:szCs w:val="20"/>
        </w:rPr>
        <w:t>NRZP ČR pravidelně jednou ročně jedná s hejtmany jednotlivých krajů za účasti předsedů a</w:t>
      </w:r>
      <w:r w:rsidR="004875E6">
        <w:rPr>
          <w:rFonts w:cs="Arial"/>
          <w:sz w:val="20"/>
          <w:szCs w:val="20"/>
        </w:rPr>
        <w:t> </w:t>
      </w:r>
      <w:r w:rsidRPr="00A24D8A">
        <w:rPr>
          <w:rFonts w:cs="Arial"/>
          <w:sz w:val="20"/>
          <w:szCs w:val="20"/>
        </w:rPr>
        <w:t>koordinátorů, kde je hlavním bodem jednání příprava, realizace a monitorování Krajských plánů vyrovnávání příležitostí.</w:t>
      </w:r>
    </w:p>
    <w:p w14:paraId="39D7E29D" w14:textId="67390BDE" w:rsidR="00A24D8A" w:rsidRPr="00A24D8A" w:rsidRDefault="00A24D8A" w:rsidP="00A24D8A">
      <w:pPr>
        <w:rPr>
          <w:rFonts w:cs="Arial"/>
          <w:sz w:val="20"/>
          <w:szCs w:val="20"/>
        </w:rPr>
      </w:pPr>
      <w:r w:rsidRPr="00A24D8A">
        <w:rPr>
          <w:rFonts w:cs="Arial"/>
          <w:sz w:val="20"/>
          <w:szCs w:val="20"/>
        </w:rPr>
        <w:t>Krajské plány vyrovnávání příležitostí jsou efektivním nástrojem k prosazování klíčových témat podstatných pro každodenní život OZP ve všech 14 krajích ČR. NRZP ČR se účastní tvorby, realizace, monitoringu a aktualizace těchto plánů a v případě potřeby iniciuje opatření k nápravě zjištěných nedostatků. Plnění těchto krajských plánů průběžně monitorujeme a vyhodnocujeme. Krajské plány se zabývají zejména tématy jako: dostupnost bezbariérové veřejné dopravy, dostupnost vzdělání, podpora zaměstnávání a zaměstnavatelů zaměstnávajících OZP, dostupnost a rozvoj zdravotních, sociálních a návazných služeb.</w:t>
      </w:r>
    </w:p>
    <w:p w14:paraId="26D8D154" w14:textId="1BDF6104" w:rsidR="00221B01" w:rsidRPr="00A24D8A" w:rsidRDefault="001D797C" w:rsidP="00A24D8A">
      <w:pPr>
        <w:keepNext/>
        <w:tabs>
          <w:tab w:val="left" w:pos="720"/>
        </w:tabs>
        <w:rPr>
          <w:rFonts w:cs="Arial"/>
          <w:b/>
          <w:bCs/>
          <w:sz w:val="20"/>
          <w:szCs w:val="20"/>
          <w:lang w:eastAsia="cs-CZ"/>
        </w:rPr>
      </w:pPr>
      <w:r w:rsidRPr="00A24D8A">
        <w:rPr>
          <w:rFonts w:cs="Arial"/>
          <w:b/>
          <w:bCs/>
          <w:sz w:val="20"/>
          <w:szCs w:val="20"/>
          <w:lang w:eastAsia="cs-CZ"/>
        </w:rPr>
        <w:t>STANOVISKO K PLNĚNÍ: Plněno.</w:t>
      </w:r>
    </w:p>
    <w:p w14:paraId="134E7039" w14:textId="77777777" w:rsidR="00221B01" w:rsidRPr="001824EA" w:rsidRDefault="00221B01" w:rsidP="00256603">
      <w:pPr>
        <w:rPr>
          <w:rFonts w:cs="Arial"/>
          <w:szCs w:val="20"/>
        </w:rPr>
      </w:pPr>
    </w:p>
    <w:p w14:paraId="474ACD34" w14:textId="5B1650B8" w:rsidR="00F17E74" w:rsidRPr="0057756D" w:rsidRDefault="00F17E74" w:rsidP="00256603">
      <w:pPr>
        <w:rPr>
          <w:rFonts w:eastAsia="Calibri" w:cs="Arial"/>
          <w:szCs w:val="20"/>
        </w:rPr>
      </w:pPr>
      <w:r w:rsidRPr="0035060D">
        <w:rPr>
          <w:rFonts w:cs="Arial"/>
          <w:bCs/>
          <w:szCs w:val="20"/>
        </w:rPr>
        <w:t xml:space="preserve">Opatření </w:t>
      </w:r>
      <w:r>
        <w:rPr>
          <w:rFonts w:cs="Arial"/>
          <w:szCs w:val="20"/>
        </w:rPr>
        <w:t>1.2</w:t>
      </w:r>
      <w:r w:rsidRPr="0035060D">
        <w:rPr>
          <w:rFonts w:cs="Arial"/>
          <w:szCs w:val="20"/>
        </w:rPr>
        <w:t>.</w:t>
      </w:r>
      <w:r>
        <w:rPr>
          <w:rFonts w:cs="Arial"/>
          <w:szCs w:val="20"/>
        </w:rPr>
        <w:t>2</w:t>
      </w:r>
      <w:r w:rsidRPr="0035060D">
        <w:rPr>
          <w:rFonts w:cs="Arial"/>
          <w:szCs w:val="20"/>
        </w:rPr>
        <w:t xml:space="preserve"> </w:t>
      </w:r>
      <w:r w:rsidRPr="0057756D">
        <w:rPr>
          <w:rFonts w:eastAsia="Calibri" w:cs="Arial"/>
          <w:szCs w:val="20"/>
        </w:rPr>
        <w:t>Poskytovat metodick</w:t>
      </w:r>
      <w:r>
        <w:rPr>
          <w:rFonts w:eastAsia="Calibri" w:cs="Arial"/>
          <w:szCs w:val="20"/>
        </w:rPr>
        <w:t>ou podpor</w:t>
      </w:r>
      <w:r w:rsidR="00587FA0">
        <w:rPr>
          <w:rFonts w:eastAsia="Calibri" w:cs="Arial"/>
          <w:szCs w:val="20"/>
        </w:rPr>
        <w:t>u územním samosprávným celkům v </w:t>
      </w:r>
      <w:r>
        <w:rPr>
          <w:rFonts w:eastAsia="Calibri" w:cs="Arial"/>
          <w:szCs w:val="20"/>
        </w:rPr>
        <w:t>oblasti</w:t>
      </w:r>
      <w:r w:rsidRPr="0057756D">
        <w:rPr>
          <w:rFonts w:eastAsia="Calibri" w:cs="Arial"/>
          <w:szCs w:val="20"/>
        </w:rPr>
        <w:t xml:space="preserve"> problematiky </w:t>
      </w:r>
      <w:r>
        <w:rPr>
          <w:rFonts w:eastAsia="Calibri" w:cs="Arial"/>
          <w:szCs w:val="20"/>
        </w:rPr>
        <w:t>osob</w:t>
      </w:r>
      <w:r w:rsidRPr="0057756D">
        <w:rPr>
          <w:rFonts w:eastAsia="Calibri" w:cs="Arial"/>
          <w:szCs w:val="20"/>
        </w:rPr>
        <w:t xml:space="preserve"> se</w:t>
      </w:r>
      <w:r>
        <w:rPr>
          <w:rFonts w:eastAsia="Calibri" w:cs="Arial"/>
          <w:szCs w:val="20"/>
        </w:rPr>
        <w:t> </w:t>
      </w:r>
      <w:r w:rsidRPr="0057756D">
        <w:rPr>
          <w:rFonts w:eastAsia="Calibri" w:cs="Arial"/>
          <w:szCs w:val="20"/>
        </w:rPr>
        <w:t xml:space="preserve">zdravotním postižením v působnosti daného gestora. </w:t>
      </w:r>
    </w:p>
    <w:p w14:paraId="1BAF0C0D" w14:textId="77777777" w:rsidR="00F17E74" w:rsidRPr="0057756D" w:rsidRDefault="00F17E74" w:rsidP="00F17E74">
      <w:pPr>
        <w:rPr>
          <w:rFonts w:cs="Arial"/>
          <w:szCs w:val="20"/>
        </w:rPr>
      </w:pPr>
      <w:r w:rsidRPr="0057756D">
        <w:rPr>
          <w:rFonts w:cs="Arial"/>
          <w:szCs w:val="20"/>
        </w:rPr>
        <w:t>Termín: průběžně</w:t>
      </w:r>
    </w:p>
    <w:p w14:paraId="256DFF21" w14:textId="77777777" w:rsidR="00F17E74" w:rsidRPr="00954646" w:rsidRDefault="00F17E74" w:rsidP="00F17E74">
      <w:pPr>
        <w:rPr>
          <w:rFonts w:cs="Arial"/>
        </w:rPr>
      </w:pPr>
      <w:r w:rsidRPr="00954646">
        <w:rPr>
          <w:rFonts w:cs="Arial"/>
        </w:rPr>
        <w:t xml:space="preserve">Gestor: MPO, MPSV, MŠMT, MV, MZ, MZe </w:t>
      </w:r>
    </w:p>
    <w:p w14:paraId="07E15581" w14:textId="2C546F1A" w:rsidR="00F17E74" w:rsidRPr="00954646" w:rsidRDefault="00F17E74" w:rsidP="00743628">
      <w:pPr>
        <w:rPr>
          <w:rFonts w:cs="Arial"/>
        </w:rPr>
      </w:pPr>
      <w:r w:rsidRPr="00954646">
        <w:rPr>
          <w:rFonts w:cs="Arial"/>
        </w:rPr>
        <w:lastRenderedPageBreak/>
        <w:t>Indikátor: Je poskytována metodická podpora jednotlivými resorty v uvedené oblasti.</w:t>
      </w:r>
    </w:p>
    <w:p w14:paraId="202DE536" w14:textId="77777777" w:rsidR="000639FC" w:rsidRPr="00137EEE" w:rsidRDefault="000639FC" w:rsidP="00137EEE">
      <w:pPr>
        <w:tabs>
          <w:tab w:val="left" w:pos="720"/>
        </w:tabs>
        <w:rPr>
          <w:rFonts w:cs="Arial"/>
          <w:b/>
          <w:bCs/>
          <w:sz w:val="20"/>
          <w:szCs w:val="20"/>
          <w:lang w:eastAsia="cs-CZ"/>
        </w:rPr>
      </w:pPr>
    </w:p>
    <w:p w14:paraId="39ED95E0" w14:textId="50BC82D5" w:rsidR="002E6DCD" w:rsidRPr="00501AAF" w:rsidRDefault="002E6DCD" w:rsidP="00501AAF">
      <w:pPr>
        <w:tabs>
          <w:tab w:val="left" w:pos="720"/>
        </w:tabs>
        <w:rPr>
          <w:rFonts w:cs="Arial"/>
          <w:b/>
          <w:bCs/>
          <w:sz w:val="20"/>
          <w:szCs w:val="20"/>
          <w:lang w:eastAsia="cs-CZ"/>
        </w:rPr>
      </w:pPr>
      <w:r w:rsidRPr="00501AAF">
        <w:rPr>
          <w:rFonts w:cs="Arial"/>
          <w:b/>
          <w:bCs/>
          <w:sz w:val="20"/>
          <w:szCs w:val="20"/>
          <w:lang w:eastAsia="cs-CZ"/>
        </w:rPr>
        <w:t>PLNĚNÍ MPO:</w:t>
      </w:r>
    </w:p>
    <w:p w14:paraId="6AF40835" w14:textId="5DDE0B6D" w:rsidR="00501AAF" w:rsidRPr="00501AAF" w:rsidRDefault="00501AAF" w:rsidP="00501AAF">
      <w:pPr>
        <w:rPr>
          <w:sz w:val="20"/>
          <w:szCs w:val="20"/>
        </w:rPr>
      </w:pPr>
      <w:r w:rsidRPr="00501AAF">
        <w:rPr>
          <w:sz w:val="20"/>
          <w:szCs w:val="20"/>
        </w:rPr>
        <w:t>Jako příklad spolupráce s územními samosprávnými celky lze uvést např. účast zástupce personálního odboru (Ing. Františka Doležala) v Řídícím výboru pro lidské zdroje při realizaci Strategického plánu rozvoje veřejné správy.</w:t>
      </w:r>
    </w:p>
    <w:p w14:paraId="6998EB98" w14:textId="4193DEE0" w:rsidR="002E6DCD" w:rsidRPr="00501AAF" w:rsidRDefault="002E6DCD" w:rsidP="00501AAF">
      <w:pPr>
        <w:rPr>
          <w:rFonts w:cs="Arial"/>
          <w:b/>
          <w:sz w:val="20"/>
          <w:szCs w:val="20"/>
        </w:rPr>
      </w:pPr>
      <w:r w:rsidRPr="00501AAF">
        <w:rPr>
          <w:rFonts w:cs="Arial"/>
          <w:b/>
          <w:bCs/>
          <w:sz w:val="20"/>
          <w:szCs w:val="20"/>
          <w:lang w:eastAsia="cs-CZ"/>
        </w:rPr>
        <w:t>STANOVISKO K PLNĚNÍ:</w:t>
      </w:r>
      <w:r w:rsidR="000639FC" w:rsidRPr="00501AAF">
        <w:rPr>
          <w:rFonts w:cs="Arial"/>
          <w:b/>
          <w:bCs/>
          <w:sz w:val="20"/>
          <w:szCs w:val="20"/>
          <w:lang w:eastAsia="cs-CZ"/>
        </w:rPr>
        <w:t xml:space="preserve"> </w:t>
      </w:r>
      <w:r w:rsidR="000639FC" w:rsidRPr="00501AAF">
        <w:rPr>
          <w:rFonts w:cs="Arial"/>
          <w:b/>
          <w:sz w:val="20"/>
          <w:szCs w:val="20"/>
        </w:rPr>
        <w:t>Plněno.</w:t>
      </w:r>
    </w:p>
    <w:p w14:paraId="60DA187B" w14:textId="77777777" w:rsidR="000639FC" w:rsidRPr="00EE4BAE" w:rsidRDefault="000639FC" w:rsidP="00EE4BAE">
      <w:pPr>
        <w:rPr>
          <w:rFonts w:cs="Arial"/>
          <w:b/>
          <w:bCs/>
          <w:sz w:val="20"/>
          <w:szCs w:val="20"/>
          <w:lang w:eastAsia="cs-CZ"/>
        </w:rPr>
      </w:pPr>
    </w:p>
    <w:p w14:paraId="205DB8D0" w14:textId="3E8D1E34" w:rsidR="004D1788" w:rsidRPr="00534002" w:rsidRDefault="004D1788" w:rsidP="00EE4BAE">
      <w:pPr>
        <w:keepNext/>
        <w:tabs>
          <w:tab w:val="left" w:pos="720"/>
        </w:tabs>
        <w:rPr>
          <w:rFonts w:cs="Arial"/>
          <w:b/>
          <w:bCs/>
          <w:sz w:val="20"/>
          <w:szCs w:val="20"/>
          <w:lang w:eastAsia="cs-CZ"/>
        </w:rPr>
      </w:pPr>
      <w:r w:rsidRPr="00534002">
        <w:rPr>
          <w:rFonts w:cs="Arial"/>
          <w:b/>
          <w:bCs/>
          <w:sz w:val="20"/>
          <w:szCs w:val="20"/>
          <w:lang w:eastAsia="cs-CZ"/>
        </w:rPr>
        <w:t>PLNĚNÍ MPSV:</w:t>
      </w:r>
    </w:p>
    <w:p w14:paraId="46CC7CB8" w14:textId="43A44250" w:rsidR="00534002" w:rsidRPr="00534002" w:rsidRDefault="00534002" w:rsidP="00534002">
      <w:pPr>
        <w:rPr>
          <w:rFonts w:cs="Arial"/>
          <w:bCs/>
          <w:sz w:val="20"/>
          <w:szCs w:val="20"/>
        </w:rPr>
      </w:pPr>
      <w:r w:rsidRPr="00534002">
        <w:rPr>
          <w:rFonts w:cs="Arial"/>
          <w:bCs/>
          <w:sz w:val="20"/>
          <w:szCs w:val="20"/>
        </w:rPr>
        <w:t>V dubnu 2023 zahájilo MPSV realizaci projektu Koordinace sociální ochrany v praxi, Podpora implementace koordinovaného přístupu v systému poskytování soc</w:t>
      </w:r>
      <w:r w:rsidR="00672DFD">
        <w:rPr>
          <w:rFonts w:cs="Arial"/>
          <w:bCs/>
          <w:sz w:val="20"/>
          <w:szCs w:val="20"/>
        </w:rPr>
        <w:t>iální ochrany v ČR (mpsv.cz), v </w:t>
      </w:r>
      <w:r w:rsidRPr="00534002">
        <w:rPr>
          <w:rFonts w:cs="Arial"/>
          <w:bCs/>
          <w:sz w:val="20"/>
          <w:szCs w:val="20"/>
        </w:rPr>
        <w:t>rámci kterého je poskytována i metodická podpora obcím, které realizují sociální práci v samostatné působnosti na podkladě výzvy z OPZ+ 008, Výzva 008 OPZ+ -www.esfcr.cz.</w:t>
      </w:r>
    </w:p>
    <w:p w14:paraId="630F4391" w14:textId="12A8D827" w:rsidR="004D1788" w:rsidRPr="00534002" w:rsidRDefault="004D1788" w:rsidP="00EE4BAE">
      <w:pPr>
        <w:keepNext/>
        <w:tabs>
          <w:tab w:val="left" w:pos="720"/>
        </w:tabs>
        <w:rPr>
          <w:rFonts w:cs="Arial"/>
          <w:b/>
          <w:bCs/>
          <w:sz w:val="20"/>
          <w:szCs w:val="20"/>
          <w:lang w:eastAsia="cs-CZ"/>
        </w:rPr>
      </w:pPr>
      <w:r w:rsidRPr="00534002">
        <w:rPr>
          <w:rFonts w:cs="Arial"/>
          <w:b/>
          <w:bCs/>
          <w:sz w:val="20"/>
          <w:szCs w:val="20"/>
          <w:lang w:eastAsia="cs-CZ"/>
        </w:rPr>
        <w:t>STANOVISKO K PLNĚNÍ:</w:t>
      </w:r>
      <w:r w:rsidR="001D797C" w:rsidRPr="00534002">
        <w:rPr>
          <w:rFonts w:cs="Arial"/>
          <w:b/>
          <w:bCs/>
          <w:sz w:val="20"/>
          <w:szCs w:val="20"/>
          <w:lang w:eastAsia="cs-CZ"/>
        </w:rPr>
        <w:t xml:space="preserve"> </w:t>
      </w:r>
      <w:r w:rsidR="006C7FB2" w:rsidRPr="00534002">
        <w:rPr>
          <w:rFonts w:cs="Arial"/>
          <w:b/>
          <w:sz w:val="20"/>
          <w:szCs w:val="20"/>
        </w:rPr>
        <w:t>Plněno.</w:t>
      </w:r>
    </w:p>
    <w:p w14:paraId="77DBAF10" w14:textId="734F15BE" w:rsidR="004D1788" w:rsidRPr="00070C71" w:rsidRDefault="004D1788" w:rsidP="00070C71">
      <w:pPr>
        <w:rPr>
          <w:rFonts w:cs="Arial"/>
          <w:sz w:val="20"/>
          <w:szCs w:val="20"/>
        </w:rPr>
      </w:pPr>
    </w:p>
    <w:p w14:paraId="17BEDA44" w14:textId="67FF4128" w:rsidR="006162AA" w:rsidRPr="00421F66" w:rsidRDefault="006162AA" w:rsidP="00070C71">
      <w:pPr>
        <w:tabs>
          <w:tab w:val="left" w:pos="720"/>
        </w:tabs>
        <w:rPr>
          <w:rFonts w:cs="Arial"/>
          <w:b/>
          <w:bCs/>
          <w:sz w:val="20"/>
          <w:szCs w:val="20"/>
          <w:lang w:eastAsia="cs-CZ"/>
        </w:rPr>
      </w:pPr>
      <w:r w:rsidRPr="00421F66">
        <w:rPr>
          <w:rFonts w:cs="Arial"/>
          <w:b/>
          <w:bCs/>
          <w:sz w:val="20"/>
          <w:szCs w:val="20"/>
          <w:lang w:eastAsia="cs-CZ"/>
        </w:rPr>
        <w:t>PLNĚNÍ MŠMT:</w:t>
      </w:r>
    </w:p>
    <w:p w14:paraId="1BF989CA" w14:textId="1AB8C445" w:rsidR="00421F66" w:rsidRPr="00421F66" w:rsidRDefault="00421F66" w:rsidP="00421F66">
      <w:pPr>
        <w:rPr>
          <w:rFonts w:cs="Arial"/>
          <w:sz w:val="20"/>
          <w:szCs w:val="20"/>
        </w:rPr>
      </w:pPr>
      <w:r w:rsidRPr="00421F66">
        <w:rPr>
          <w:rFonts w:cs="Arial"/>
          <w:sz w:val="20"/>
          <w:szCs w:val="20"/>
        </w:rPr>
        <w:t>Probíhají jednání MŠMT se zástupci krajů. MŠMT poskytuje metodick</w:t>
      </w:r>
      <w:r w:rsidR="00672DFD">
        <w:rPr>
          <w:rFonts w:cs="Arial"/>
          <w:sz w:val="20"/>
          <w:szCs w:val="20"/>
        </w:rPr>
        <w:t>ou podporu zřizovatelům (tedy i </w:t>
      </w:r>
      <w:r w:rsidRPr="00421F66">
        <w:rPr>
          <w:rFonts w:cs="Arial"/>
          <w:sz w:val="20"/>
          <w:szCs w:val="20"/>
        </w:rPr>
        <w:t>územně samosprávným celkům) v oblasti jejich zřizovatelské role vůči školám a školským zařízením, která zřizují. Problematika osob se zdravotním postižením je zahrnuta v oblasti metodické odpory inkluzivního vzdělávání. V roce 2023 byl zahájen projekt Střední článek podpory, jehož cílem je nastavit systémovou podporu ředitelům a ředitelkám škol a jejich zřizovatelům. Střední článek podpory je doplněním vzdělávacího systému, který má vést ke zvýšení profesionalizace vedení škol i výkonu role zřizovatelů, efektivnímu nastavení vzdělávací soustavy a vytváření rovných podmínek pro vzdělávání.</w:t>
      </w:r>
    </w:p>
    <w:p w14:paraId="4F27C427" w14:textId="77777777" w:rsidR="00421F66" w:rsidRPr="00421F66" w:rsidRDefault="00421F66" w:rsidP="00421F66">
      <w:pPr>
        <w:rPr>
          <w:rFonts w:cs="Arial"/>
          <w:sz w:val="20"/>
          <w:szCs w:val="20"/>
        </w:rPr>
      </w:pPr>
      <w:r w:rsidRPr="00421F66">
        <w:rPr>
          <w:rFonts w:cs="Arial"/>
          <w:sz w:val="20"/>
          <w:szCs w:val="20"/>
        </w:rPr>
        <w:t xml:space="preserve">V rámci činnosti Národního pedagogického institutu ČR (dále jen „NPI ČR“) funguje síť krajských koordinátorů pro oblast logopedické péče, poruch autistického spektra a nadání, kteří poskytují metodickou podporu v území. </w:t>
      </w:r>
    </w:p>
    <w:p w14:paraId="439CE7BB" w14:textId="77777777" w:rsidR="00421F66" w:rsidRPr="00421F66" w:rsidRDefault="00421F66" w:rsidP="00421F66">
      <w:pPr>
        <w:rPr>
          <w:rFonts w:cs="Arial"/>
          <w:sz w:val="20"/>
          <w:szCs w:val="20"/>
        </w:rPr>
      </w:pPr>
      <w:r w:rsidRPr="00421F66">
        <w:rPr>
          <w:rFonts w:cs="Arial"/>
          <w:sz w:val="20"/>
          <w:szCs w:val="20"/>
        </w:rPr>
        <w:t xml:space="preserve">Dlouhodobý záměr vzdělávání a rozvoje vzdělávací soustavy ČR 2023-2027 umožňuje zápis </w:t>
      </w:r>
      <w:r w:rsidRPr="00421F66">
        <w:rPr>
          <w:sz w:val="20"/>
          <w:szCs w:val="20"/>
        </w:rPr>
        <w:t>základních škol zřizovaných podle § 16 odst. 9 zákona č. 561/2004 Sb., o předškolním, základním, středním, vyšším odborném a jiném vzdělávání, ve znění pozdějších předpisů (dále jen „školský zákon“) při reálné potřebě navyšování kapacit těchto škol v kraji.</w:t>
      </w:r>
    </w:p>
    <w:p w14:paraId="7572C96C" w14:textId="77777777" w:rsidR="00421F66" w:rsidRPr="00421F66" w:rsidRDefault="00421F66" w:rsidP="00421F66">
      <w:pPr>
        <w:rPr>
          <w:rFonts w:cs="Arial"/>
          <w:sz w:val="20"/>
          <w:szCs w:val="20"/>
        </w:rPr>
      </w:pPr>
      <w:r w:rsidRPr="00421F66">
        <w:rPr>
          <w:rFonts w:cs="Arial"/>
          <w:sz w:val="20"/>
          <w:szCs w:val="20"/>
        </w:rPr>
        <w:t>V roce 2023 byly v Operačním programu Jan Amos Komenský vyhlášeny dvě výzvy zaměřené na akční plánování v území – tvorbu a implementaci místních akčních plánů vzdělávání a implementaci dlouhodobých záměrů krajů, jejichž cílem je podpora společného plánování a sdílení aktivit v území vedoucí ke zlepšení kvality vzdělávání ve školách tím, že bude podpořena spolupráce zřizovatelů, škol a ostatních aktérů ve vzdělávání včetně organizací neformálního vzdělávání v místě zaměřená zejména na společné informování, vzdělávání a plánování partnerských aktivit pro následné společné řešení místně specifických problémů a potřeb a vyhodnocování přínosů spolupráce.</w:t>
      </w:r>
    </w:p>
    <w:p w14:paraId="52B8F0C5" w14:textId="492AC6FA" w:rsidR="00421F66" w:rsidRPr="00421F66" w:rsidRDefault="00421F66" w:rsidP="00421F66">
      <w:pPr>
        <w:rPr>
          <w:rFonts w:cs="Arial"/>
          <w:sz w:val="20"/>
          <w:szCs w:val="20"/>
        </w:rPr>
      </w:pPr>
      <w:r w:rsidRPr="00421F66">
        <w:rPr>
          <w:rFonts w:cs="Arial"/>
          <w:sz w:val="20"/>
          <w:szCs w:val="20"/>
        </w:rPr>
        <w:t>V dubnu 2024 budou vyhlášeny dvě výzvy Integrovaného regionálního operačního programu podporující rovný přístup k inkluzivnímu vzdělávání a kvalitním poradenským službám v ob</w:t>
      </w:r>
      <w:r w:rsidR="002F0FEF">
        <w:rPr>
          <w:rFonts w:cs="Arial"/>
          <w:sz w:val="20"/>
          <w:szCs w:val="20"/>
        </w:rPr>
        <w:t>lasti vzdělávání.</w:t>
      </w:r>
    </w:p>
    <w:p w14:paraId="09865A35" w14:textId="69657BF9" w:rsidR="006162AA" w:rsidRPr="00421F66" w:rsidRDefault="006162AA" w:rsidP="00070C71">
      <w:pPr>
        <w:keepNext/>
        <w:tabs>
          <w:tab w:val="left" w:pos="720"/>
        </w:tabs>
        <w:rPr>
          <w:rFonts w:cs="Arial"/>
          <w:b/>
          <w:bCs/>
          <w:sz w:val="20"/>
          <w:szCs w:val="20"/>
          <w:lang w:eastAsia="cs-CZ"/>
        </w:rPr>
      </w:pPr>
      <w:r w:rsidRPr="00421F66">
        <w:rPr>
          <w:rFonts w:cs="Arial"/>
          <w:b/>
          <w:bCs/>
          <w:sz w:val="20"/>
          <w:szCs w:val="20"/>
          <w:lang w:eastAsia="cs-CZ"/>
        </w:rPr>
        <w:t>STANOVISKO K PLNĚNÍ:</w:t>
      </w:r>
      <w:r w:rsidR="007C1B72" w:rsidRPr="00421F66">
        <w:rPr>
          <w:rFonts w:cs="Arial"/>
          <w:b/>
          <w:bCs/>
          <w:sz w:val="20"/>
          <w:szCs w:val="20"/>
          <w:lang w:eastAsia="cs-CZ"/>
        </w:rPr>
        <w:t xml:space="preserve"> </w:t>
      </w:r>
      <w:r w:rsidR="007C1B72" w:rsidRPr="00421F66">
        <w:rPr>
          <w:rFonts w:cs="Arial"/>
          <w:b/>
          <w:sz w:val="20"/>
          <w:szCs w:val="20"/>
        </w:rPr>
        <w:t>Plněno.</w:t>
      </w:r>
    </w:p>
    <w:p w14:paraId="3C021C2D" w14:textId="77777777" w:rsidR="006162AA" w:rsidRPr="00421F66" w:rsidRDefault="006162AA" w:rsidP="00070C71">
      <w:pPr>
        <w:rPr>
          <w:rFonts w:cs="Arial"/>
          <w:sz w:val="20"/>
          <w:szCs w:val="20"/>
        </w:rPr>
      </w:pPr>
    </w:p>
    <w:p w14:paraId="5F94342C" w14:textId="5C2B20BE" w:rsidR="009168E9" w:rsidRPr="00AE54CD" w:rsidRDefault="009168E9" w:rsidP="00AE54CD">
      <w:pPr>
        <w:tabs>
          <w:tab w:val="left" w:pos="720"/>
        </w:tabs>
        <w:rPr>
          <w:rFonts w:cs="Arial"/>
          <w:b/>
          <w:bCs/>
          <w:sz w:val="20"/>
          <w:szCs w:val="20"/>
          <w:lang w:eastAsia="cs-CZ"/>
        </w:rPr>
      </w:pPr>
      <w:r w:rsidRPr="00AE54CD">
        <w:rPr>
          <w:rFonts w:cs="Arial"/>
          <w:b/>
          <w:bCs/>
          <w:sz w:val="20"/>
          <w:szCs w:val="20"/>
          <w:lang w:eastAsia="cs-CZ"/>
        </w:rPr>
        <w:t>PLNĚNÍ MV:</w:t>
      </w:r>
    </w:p>
    <w:p w14:paraId="3F1C048F" w14:textId="763FC86E" w:rsidR="00AE54CD" w:rsidRPr="00AE54CD" w:rsidRDefault="00AE54CD" w:rsidP="00AE54CD">
      <w:pPr>
        <w:rPr>
          <w:rFonts w:cs="Arial"/>
          <w:sz w:val="20"/>
          <w:szCs w:val="20"/>
        </w:rPr>
      </w:pPr>
      <w:r w:rsidRPr="00AE54CD">
        <w:rPr>
          <w:rFonts w:cs="Arial"/>
          <w:sz w:val="20"/>
          <w:szCs w:val="20"/>
        </w:rPr>
        <w:t>Jako příklad plnění opatření lze za Ministerstvo vnitra uvést kontrolu při zprostředkovávání informací směrovaných k územním samosprávným celkům a dlouhodobou spolupráci zejména s Kanceláří veřejného ochránce práv, Ministerstvem práce a sociálních věcí a Ministerstvem zdravotnictví.</w:t>
      </w:r>
    </w:p>
    <w:p w14:paraId="30E7C3E2" w14:textId="77777777" w:rsidR="00AE54CD" w:rsidRPr="00E76CBE" w:rsidRDefault="00AE54CD" w:rsidP="00AE54CD">
      <w:pPr>
        <w:contextualSpacing/>
        <w:rPr>
          <w:rFonts w:cs="Arial"/>
          <w:sz w:val="20"/>
          <w:szCs w:val="20"/>
        </w:rPr>
      </w:pPr>
      <w:r w:rsidRPr="00E76CBE">
        <w:rPr>
          <w:rFonts w:cs="Arial"/>
          <w:sz w:val="20"/>
          <w:szCs w:val="20"/>
        </w:rPr>
        <w:t>Konkrétní výstupy průběžného plnění:</w:t>
      </w:r>
    </w:p>
    <w:p w14:paraId="64293A2E" w14:textId="054052E7" w:rsidR="00AE54CD" w:rsidRPr="00AE54CD" w:rsidRDefault="00AE54CD" w:rsidP="00AE54CD">
      <w:pPr>
        <w:tabs>
          <w:tab w:val="left" w:pos="720"/>
        </w:tabs>
        <w:rPr>
          <w:rFonts w:cs="Arial"/>
          <w:b/>
          <w:bCs/>
          <w:sz w:val="20"/>
          <w:szCs w:val="20"/>
          <w:lang w:eastAsia="cs-CZ"/>
        </w:rPr>
      </w:pPr>
      <w:r w:rsidRPr="00AE54CD">
        <w:rPr>
          <w:rFonts w:cs="Arial"/>
          <w:sz w:val="20"/>
          <w:szCs w:val="20"/>
        </w:rPr>
        <w:lastRenderedPageBreak/>
        <w:t>Zprostředkování informací o zaměstnávání osob se zdravotní</w:t>
      </w:r>
      <w:r w:rsidR="0066344A">
        <w:rPr>
          <w:rFonts w:cs="Arial"/>
          <w:sz w:val="20"/>
          <w:szCs w:val="20"/>
        </w:rPr>
        <w:t>m postižením ve státní správě a </w:t>
      </w:r>
      <w:r w:rsidRPr="00AE54CD">
        <w:rPr>
          <w:rFonts w:cs="Arial"/>
          <w:sz w:val="20"/>
          <w:szCs w:val="20"/>
        </w:rPr>
        <w:t>samosprávě, včetně popisu dobré praxe, formou nabídek neziskových organizací na poradě s řediteli krajských úřadů a ředitelem Magistrátu hlavního města Prahy dne 20. září 2023 a na poradách Ministerstva vnitra s tajemníky obecních úřadů obcí s rozší</w:t>
      </w:r>
      <w:r w:rsidR="0066344A">
        <w:rPr>
          <w:rFonts w:cs="Arial"/>
          <w:sz w:val="20"/>
          <w:szCs w:val="20"/>
        </w:rPr>
        <w:t>řenou působností ve dnech 19. a </w:t>
      </w:r>
      <w:r w:rsidRPr="00AE54CD">
        <w:rPr>
          <w:rFonts w:cs="Arial"/>
          <w:sz w:val="20"/>
          <w:szCs w:val="20"/>
        </w:rPr>
        <w:t>21. září 2023.</w:t>
      </w:r>
    </w:p>
    <w:p w14:paraId="1A04C050" w14:textId="5F052CFB" w:rsidR="009168E9" w:rsidRPr="00AE54CD" w:rsidRDefault="009168E9" w:rsidP="00AE54CD">
      <w:pPr>
        <w:keepNext/>
        <w:tabs>
          <w:tab w:val="left" w:pos="720"/>
        </w:tabs>
        <w:rPr>
          <w:rFonts w:cs="Arial"/>
          <w:b/>
          <w:bCs/>
          <w:sz w:val="20"/>
          <w:szCs w:val="20"/>
          <w:lang w:eastAsia="cs-CZ"/>
        </w:rPr>
      </w:pPr>
      <w:r w:rsidRPr="00AE54CD">
        <w:rPr>
          <w:rFonts w:cs="Arial"/>
          <w:b/>
          <w:bCs/>
          <w:sz w:val="20"/>
          <w:szCs w:val="20"/>
          <w:lang w:eastAsia="cs-CZ"/>
        </w:rPr>
        <w:t>STANOVISKO K PLNĚNÍ:</w:t>
      </w:r>
      <w:r w:rsidR="00BD5BDB" w:rsidRPr="00AE54CD">
        <w:rPr>
          <w:rFonts w:cs="Arial"/>
          <w:b/>
          <w:bCs/>
          <w:sz w:val="20"/>
          <w:szCs w:val="20"/>
          <w:lang w:eastAsia="cs-CZ"/>
        </w:rPr>
        <w:t xml:space="preserve"> Plněno.</w:t>
      </w:r>
    </w:p>
    <w:p w14:paraId="3E36FF07" w14:textId="2B8AE3F0" w:rsidR="002E6DCD" w:rsidRPr="00A44463" w:rsidRDefault="002E6DCD" w:rsidP="00A44463">
      <w:pPr>
        <w:rPr>
          <w:rFonts w:cs="Arial"/>
          <w:sz w:val="20"/>
          <w:szCs w:val="20"/>
        </w:rPr>
      </w:pPr>
    </w:p>
    <w:p w14:paraId="42E36F0E" w14:textId="7CD8E75F" w:rsidR="00B166B9" w:rsidRPr="00581E9F" w:rsidRDefault="00B166B9" w:rsidP="00581E9F">
      <w:pPr>
        <w:tabs>
          <w:tab w:val="left" w:pos="720"/>
        </w:tabs>
        <w:rPr>
          <w:rFonts w:cs="Arial"/>
          <w:b/>
          <w:bCs/>
          <w:sz w:val="20"/>
          <w:szCs w:val="20"/>
          <w:lang w:eastAsia="cs-CZ"/>
        </w:rPr>
      </w:pPr>
      <w:r w:rsidRPr="00581E9F">
        <w:rPr>
          <w:rFonts w:cs="Arial"/>
          <w:b/>
          <w:bCs/>
          <w:sz w:val="20"/>
          <w:szCs w:val="20"/>
          <w:lang w:eastAsia="cs-CZ"/>
        </w:rPr>
        <w:t>PLNĚNÍ MZ:</w:t>
      </w:r>
    </w:p>
    <w:p w14:paraId="3D3392DA" w14:textId="7329C49A" w:rsidR="00581E9F" w:rsidRPr="00581E9F" w:rsidRDefault="00581E9F" w:rsidP="00581E9F">
      <w:pPr>
        <w:rPr>
          <w:rFonts w:cs="Arial"/>
          <w:color w:val="000000" w:themeColor="text1"/>
          <w:sz w:val="20"/>
          <w:szCs w:val="20"/>
        </w:rPr>
      </w:pPr>
      <w:r w:rsidRPr="00581E9F">
        <w:rPr>
          <w:rFonts w:cs="Arial"/>
          <w:color w:val="000000" w:themeColor="text1"/>
          <w:sz w:val="20"/>
          <w:szCs w:val="20"/>
        </w:rPr>
        <w:t xml:space="preserve">V roce 2023 byla zahájena realizace projektu „Podpora plánování </w:t>
      </w:r>
      <w:r w:rsidR="00DE7788">
        <w:rPr>
          <w:rFonts w:cs="Arial"/>
          <w:color w:val="000000" w:themeColor="text1"/>
          <w:sz w:val="20"/>
          <w:szCs w:val="20"/>
        </w:rPr>
        <w:t>rozvoje integrované zdravotní a </w:t>
      </w:r>
      <w:r w:rsidRPr="00581E9F">
        <w:rPr>
          <w:rFonts w:cs="Arial"/>
          <w:color w:val="000000" w:themeColor="text1"/>
          <w:sz w:val="20"/>
          <w:szCs w:val="20"/>
        </w:rPr>
        <w:t>sociální péče“ (CZ.03.02.02/00/22_046/0003791) v rámci Operačního programu Zaměstnanost plus, spolufinancovaného Evropskou unií z Evropského sociálního fondu. Nefinančním partnerem projektu je Ministerstvo práce a sociálních věcí. Cílem projektu je vytvořit doporučený postup pro tvorbu krajských zdravotně sociálních plánů, který bude pilotován ve čtyřech vybraných krajích a následně doporučen k implementaci ve všech krajích České republiky. Koncepční skupina projektu je složena mimo další i ze zástupců NRZP, Rady seniorů a Pacientské rady. V rámci pracovní skupiny projektu dostaly všechny kraje možnost nominovat svého odborné</w:t>
      </w:r>
      <w:r w:rsidR="00BD7926">
        <w:rPr>
          <w:rFonts w:cs="Arial"/>
          <w:color w:val="000000" w:themeColor="text1"/>
          <w:sz w:val="20"/>
          <w:szCs w:val="20"/>
        </w:rPr>
        <w:t>ho</w:t>
      </w:r>
      <w:r w:rsidRPr="00581E9F">
        <w:rPr>
          <w:rFonts w:cs="Arial"/>
          <w:color w:val="000000" w:themeColor="text1"/>
          <w:sz w:val="20"/>
          <w:szCs w:val="20"/>
        </w:rPr>
        <w:t xml:space="preserve"> konzultanta, který bude projekt s agendami svého kraje propojovat a zajišťovat součinnost. Předpokládaná doba realizace je </w:t>
      </w:r>
      <w:proofErr w:type="gramStart"/>
      <w:r w:rsidR="00B93F62">
        <w:rPr>
          <w:rFonts w:cs="Arial"/>
          <w:color w:val="000000" w:themeColor="text1"/>
          <w:sz w:val="20"/>
          <w:szCs w:val="20"/>
        </w:rPr>
        <w:t>0</w:t>
      </w:r>
      <w:r w:rsidRPr="00581E9F">
        <w:rPr>
          <w:rFonts w:cs="Arial"/>
          <w:color w:val="000000" w:themeColor="text1"/>
          <w:sz w:val="20"/>
          <w:szCs w:val="20"/>
        </w:rPr>
        <w:t>1.</w:t>
      </w:r>
      <w:r w:rsidR="00B93F62">
        <w:rPr>
          <w:rFonts w:cs="Arial"/>
          <w:color w:val="000000" w:themeColor="text1"/>
          <w:sz w:val="20"/>
          <w:szCs w:val="20"/>
        </w:rPr>
        <w:t>0</w:t>
      </w:r>
      <w:r w:rsidRPr="00581E9F">
        <w:rPr>
          <w:rFonts w:cs="Arial"/>
          <w:color w:val="000000" w:themeColor="text1"/>
          <w:sz w:val="20"/>
          <w:szCs w:val="20"/>
        </w:rPr>
        <w:t>8.2023</w:t>
      </w:r>
      <w:proofErr w:type="gramEnd"/>
      <w:r w:rsidRPr="00581E9F">
        <w:rPr>
          <w:rFonts w:cs="Arial"/>
          <w:color w:val="000000" w:themeColor="text1"/>
          <w:sz w:val="20"/>
          <w:szCs w:val="20"/>
        </w:rPr>
        <w:t xml:space="preserve"> – 31.</w:t>
      </w:r>
      <w:r w:rsidR="00B93F62">
        <w:rPr>
          <w:rFonts w:cs="Arial"/>
          <w:color w:val="000000" w:themeColor="text1"/>
          <w:sz w:val="20"/>
          <w:szCs w:val="20"/>
        </w:rPr>
        <w:t>0</w:t>
      </w:r>
      <w:r w:rsidRPr="00581E9F">
        <w:rPr>
          <w:rFonts w:cs="Arial"/>
          <w:color w:val="000000" w:themeColor="text1"/>
          <w:sz w:val="20"/>
          <w:szCs w:val="20"/>
        </w:rPr>
        <w:t>7.2026.</w:t>
      </w:r>
    </w:p>
    <w:p w14:paraId="7E95976C" w14:textId="77777777" w:rsidR="00581E9F" w:rsidRPr="00581E9F" w:rsidRDefault="00581E9F" w:rsidP="00581E9F">
      <w:pPr>
        <w:rPr>
          <w:rFonts w:cs="Arial"/>
          <w:bCs/>
          <w:color w:val="000000" w:themeColor="text1"/>
          <w:sz w:val="20"/>
          <w:szCs w:val="20"/>
        </w:rPr>
      </w:pPr>
      <w:r w:rsidRPr="00581E9F">
        <w:rPr>
          <w:rFonts w:cs="Arial"/>
          <w:bCs/>
          <w:color w:val="000000" w:themeColor="text1"/>
          <w:sz w:val="20"/>
          <w:szCs w:val="20"/>
        </w:rPr>
        <w:t>Oddělení podpory práv pacientů prezentovalo svou agendu včetně svých výstupů a aktuálně řešených problematik na Konzultačním dni pro kraje konaném na Ministerstvu zdravotnictví dne 6. června 2023.</w:t>
      </w:r>
    </w:p>
    <w:p w14:paraId="4BDF0F75" w14:textId="77777777" w:rsidR="00581E9F" w:rsidRPr="00581E9F" w:rsidRDefault="00581E9F" w:rsidP="00581E9F">
      <w:pPr>
        <w:rPr>
          <w:rFonts w:cs="Arial"/>
          <w:color w:val="000000" w:themeColor="text1"/>
          <w:sz w:val="20"/>
          <w:szCs w:val="20"/>
        </w:rPr>
      </w:pPr>
      <w:r w:rsidRPr="00581E9F">
        <w:rPr>
          <w:rFonts w:cs="Arial"/>
          <w:color w:val="000000" w:themeColor="text1"/>
          <w:sz w:val="20"/>
          <w:szCs w:val="20"/>
        </w:rPr>
        <w:t xml:space="preserve">Aktivity SZÚ při realizaci např. Dnů zdraví, Pochodech proti Alzheimeru, pohybových aktivitách (Aktivní Česko, Parky v pohybu aj.) po celé ČR jsou otevřeny také osobám se zdravotním postižením. Primárně není činnost SZÚ zaměřena na handicapované osoby, ale Centrum podpory veřejného zdraví SZÚ přizpůsobuje realizaci interaktivních programů bariérám handicapovaných osob, např. tlumočení do znakové řeči, využívání instruktážních modelů a názorných pomůcek aj.  Programy jsou realizovány v rámci projektu Podpora zdraví v rodinách, reg. </w:t>
      </w:r>
      <w:proofErr w:type="gramStart"/>
      <w:r w:rsidRPr="00581E9F">
        <w:rPr>
          <w:rFonts w:cs="Arial"/>
          <w:color w:val="000000" w:themeColor="text1"/>
          <w:sz w:val="20"/>
          <w:szCs w:val="20"/>
        </w:rPr>
        <w:t>č.</w:t>
      </w:r>
      <w:proofErr w:type="gramEnd"/>
      <w:r w:rsidRPr="00581E9F">
        <w:rPr>
          <w:rFonts w:cs="Arial"/>
          <w:color w:val="000000" w:themeColor="text1"/>
          <w:sz w:val="20"/>
          <w:szCs w:val="20"/>
        </w:rPr>
        <w:t xml:space="preserve"> </w:t>
      </w:r>
      <w:r w:rsidRPr="00581E9F">
        <w:rPr>
          <w:rFonts w:cs="Arial"/>
          <w:bCs/>
          <w:color w:val="000000" w:themeColor="text1"/>
          <w:sz w:val="20"/>
          <w:szCs w:val="20"/>
        </w:rPr>
        <w:t xml:space="preserve">CZ. 03. 02. /00/22_005/0000723 </w:t>
      </w:r>
      <w:r w:rsidRPr="00581E9F">
        <w:rPr>
          <w:rFonts w:cs="Arial"/>
          <w:color w:val="000000" w:themeColor="text1"/>
          <w:sz w:val="20"/>
          <w:szCs w:val="20"/>
        </w:rPr>
        <w:t>OPZ+ ESF a v rámci rozpočtu SZÚ.</w:t>
      </w:r>
    </w:p>
    <w:p w14:paraId="641F665D" w14:textId="60334C0B" w:rsidR="00581E9F" w:rsidRPr="00581E9F" w:rsidRDefault="00581E9F" w:rsidP="00581E9F">
      <w:pPr>
        <w:rPr>
          <w:rFonts w:cs="Arial"/>
          <w:color w:val="000000" w:themeColor="text1"/>
          <w:sz w:val="20"/>
          <w:szCs w:val="20"/>
        </w:rPr>
      </w:pPr>
      <w:r w:rsidRPr="00581E9F">
        <w:rPr>
          <w:rFonts w:cs="Arial"/>
          <w:color w:val="000000" w:themeColor="text1"/>
          <w:sz w:val="20"/>
          <w:szCs w:val="20"/>
        </w:rPr>
        <w:t xml:space="preserve">SZÚ v r. 2023 v rámci Meziresortní skupiny MZ pro institucionální stravování připravilo Metodiku poskytování dietní stravy v rámci školního stravování. Jedná se o metodickou pomůcku pro zvládání požadavků na dietní stravování s ohledem na zabránění diskriminace </w:t>
      </w:r>
      <w:r w:rsidR="00DE7788">
        <w:rPr>
          <w:rFonts w:cs="Arial"/>
          <w:color w:val="000000" w:themeColor="text1"/>
          <w:sz w:val="20"/>
          <w:szCs w:val="20"/>
        </w:rPr>
        <w:t>dětí se zdravotním postižením v </w:t>
      </w:r>
      <w:r w:rsidRPr="00581E9F">
        <w:rPr>
          <w:rFonts w:cs="Arial"/>
          <w:color w:val="000000" w:themeColor="text1"/>
          <w:sz w:val="20"/>
          <w:szCs w:val="20"/>
        </w:rPr>
        <w:t>rámci poskytované školní služby.</w:t>
      </w:r>
    </w:p>
    <w:p w14:paraId="64437B76" w14:textId="09A19EE1" w:rsidR="00B166B9" w:rsidRPr="00581E9F" w:rsidRDefault="00B166B9" w:rsidP="00581E9F">
      <w:pPr>
        <w:keepNext/>
        <w:tabs>
          <w:tab w:val="left" w:pos="720"/>
        </w:tabs>
        <w:rPr>
          <w:rFonts w:cs="Arial"/>
          <w:b/>
          <w:bCs/>
          <w:sz w:val="20"/>
          <w:szCs w:val="20"/>
          <w:lang w:eastAsia="cs-CZ"/>
        </w:rPr>
      </w:pPr>
      <w:r w:rsidRPr="00581E9F">
        <w:rPr>
          <w:rFonts w:cs="Arial"/>
          <w:b/>
          <w:bCs/>
          <w:sz w:val="20"/>
          <w:szCs w:val="20"/>
          <w:lang w:eastAsia="cs-CZ"/>
        </w:rPr>
        <w:t>STANOVISKO K PLNĚNÍ:</w:t>
      </w:r>
      <w:r w:rsidR="00B713EF" w:rsidRPr="00581E9F">
        <w:rPr>
          <w:rFonts w:cs="Arial"/>
          <w:b/>
          <w:sz w:val="20"/>
          <w:szCs w:val="20"/>
        </w:rPr>
        <w:t xml:space="preserve"> Plněno.</w:t>
      </w:r>
    </w:p>
    <w:p w14:paraId="0A57300E" w14:textId="5BB1D6A1" w:rsidR="00B166B9" w:rsidRPr="00A44463" w:rsidRDefault="00B166B9" w:rsidP="00A44463">
      <w:pPr>
        <w:rPr>
          <w:rFonts w:cs="Arial"/>
          <w:sz w:val="20"/>
          <w:szCs w:val="20"/>
        </w:rPr>
      </w:pPr>
    </w:p>
    <w:p w14:paraId="76D83DB5" w14:textId="4010C500" w:rsidR="0055586E" w:rsidRPr="007F40CC" w:rsidRDefault="0055586E" w:rsidP="007F40CC">
      <w:pPr>
        <w:tabs>
          <w:tab w:val="left" w:pos="720"/>
        </w:tabs>
        <w:rPr>
          <w:rFonts w:cs="Arial"/>
          <w:b/>
          <w:bCs/>
          <w:sz w:val="20"/>
          <w:szCs w:val="20"/>
          <w:lang w:eastAsia="cs-CZ"/>
        </w:rPr>
      </w:pPr>
      <w:r w:rsidRPr="007F40CC">
        <w:rPr>
          <w:rFonts w:cs="Arial"/>
          <w:b/>
          <w:bCs/>
          <w:sz w:val="20"/>
          <w:szCs w:val="20"/>
          <w:lang w:eastAsia="cs-CZ"/>
        </w:rPr>
        <w:t xml:space="preserve">PLNĚNÍ </w:t>
      </w:r>
      <w:r w:rsidR="00824EDC" w:rsidRPr="007F40CC">
        <w:rPr>
          <w:rFonts w:cs="Arial"/>
          <w:b/>
          <w:bCs/>
          <w:sz w:val="20"/>
          <w:szCs w:val="20"/>
          <w:lang w:eastAsia="cs-CZ"/>
        </w:rPr>
        <w:t>MZe</w:t>
      </w:r>
      <w:r w:rsidRPr="007F40CC">
        <w:rPr>
          <w:rFonts w:cs="Arial"/>
          <w:b/>
          <w:bCs/>
          <w:sz w:val="20"/>
          <w:szCs w:val="20"/>
          <w:lang w:eastAsia="cs-CZ"/>
        </w:rPr>
        <w:t>:</w:t>
      </w:r>
    </w:p>
    <w:p w14:paraId="0A9C36C1" w14:textId="2B2FE1D2" w:rsidR="007F40CC" w:rsidRPr="007F40CC" w:rsidRDefault="007F40CC" w:rsidP="007F40CC">
      <w:pPr>
        <w:rPr>
          <w:sz w:val="20"/>
          <w:szCs w:val="20"/>
        </w:rPr>
      </w:pPr>
      <w:r w:rsidRPr="007F40CC">
        <w:rPr>
          <w:sz w:val="20"/>
          <w:szCs w:val="20"/>
        </w:rPr>
        <w:t>Pro metodickou podporu a informovanost o problematice osob se zdravotním postižením vydalo Ministerstvo zemědělství publikaci Příručka pro zemědělce a veře</w:t>
      </w:r>
      <w:r w:rsidR="00DE7788">
        <w:rPr>
          <w:sz w:val="20"/>
          <w:szCs w:val="20"/>
        </w:rPr>
        <w:t>jnou správu v oblasti podpory a </w:t>
      </w:r>
      <w:r w:rsidRPr="007F40CC">
        <w:rPr>
          <w:sz w:val="20"/>
          <w:szCs w:val="20"/>
        </w:rPr>
        <w:t>realizace sociálního zemědělství v ČR.</w:t>
      </w:r>
    </w:p>
    <w:p w14:paraId="66ACB4AD" w14:textId="6BE933DC" w:rsidR="007F40CC" w:rsidRPr="007F40CC" w:rsidRDefault="007F40CC" w:rsidP="007F40CC">
      <w:pPr>
        <w:rPr>
          <w:sz w:val="20"/>
          <w:szCs w:val="20"/>
        </w:rPr>
      </w:pPr>
      <w:r w:rsidRPr="007F40CC">
        <w:rPr>
          <w:sz w:val="20"/>
          <w:szCs w:val="20"/>
        </w:rPr>
        <w:t>V roce 2023 byla problematika prezentována Svazu měst a obcí České republiky. Metodická podpora byla dále poskytována na individuální bázi a prostřednictvím dotačních titulů na podporu farmářů. V otázkách péče o zdravotně postižené občany a s tím spojené sociální integrace na venkově Ministerstvo zemědělství spolupracuje s Ministerstvem práce a sociálních věcí.</w:t>
      </w:r>
    </w:p>
    <w:p w14:paraId="6477B907" w14:textId="21971E1F" w:rsidR="0055586E" w:rsidRPr="007F40CC" w:rsidRDefault="0055586E" w:rsidP="007F40CC">
      <w:pPr>
        <w:keepNext/>
        <w:tabs>
          <w:tab w:val="left" w:pos="720"/>
        </w:tabs>
        <w:rPr>
          <w:rFonts w:cs="Arial"/>
          <w:b/>
          <w:bCs/>
          <w:sz w:val="20"/>
          <w:szCs w:val="20"/>
          <w:lang w:eastAsia="cs-CZ"/>
        </w:rPr>
      </w:pPr>
      <w:r w:rsidRPr="007F40CC">
        <w:rPr>
          <w:rFonts w:cs="Arial"/>
          <w:b/>
          <w:bCs/>
          <w:sz w:val="20"/>
          <w:szCs w:val="20"/>
          <w:lang w:eastAsia="cs-CZ"/>
        </w:rPr>
        <w:t>STANOVISKO K PLNĚNÍ:</w:t>
      </w:r>
      <w:r w:rsidR="00743628" w:rsidRPr="007F40CC">
        <w:rPr>
          <w:rFonts w:cs="Arial"/>
          <w:b/>
          <w:sz w:val="20"/>
          <w:szCs w:val="20"/>
        </w:rPr>
        <w:t xml:space="preserve"> Plněno.</w:t>
      </w:r>
    </w:p>
    <w:p w14:paraId="5083B7A7" w14:textId="77777777" w:rsidR="0055586E" w:rsidRPr="003065B9" w:rsidRDefault="0055586E" w:rsidP="003065B9">
      <w:pPr>
        <w:rPr>
          <w:rFonts w:cs="Arial"/>
          <w:sz w:val="20"/>
          <w:szCs w:val="20"/>
        </w:rPr>
      </w:pPr>
    </w:p>
    <w:p w14:paraId="6A99F866" w14:textId="51DC69A9" w:rsidR="00F17E74" w:rsidRDefault="00F17E74" w:rsidP="00743628">
      <w:pPr>
        <w:rPr>
          <w:rFonts w:cs="Arial"/>
          <w:b/>
          <w:szCs w:val="20"/>
        </w:rPr>
      </w:pPr>
      <w:r w:rsidRPr="00731067">
        <w:rPr>
          <w:rFonts w:cs="Arial"/>
          <w:b/>
          <w:szCs w:val="20"/>
        </w:rPr>
        <w:t>1.</w:t>
      </w:r>
      <w:r>
        <w:rPr>
          <w:rFonts w:cs="Arial"/>
          <w:b/>
          <w:szCs w:val="20"/>
        </w:rPr>
        <w:t xml:space="preserve">3 </w:t>
      </w:r>
      <w:r w:rsidRPr="0057756D">
        <w:rPr>
          <w:rFonts w:cs="Arial"/>
          <w:b/>
          <w:szCs w:val="20"/>
        </w:rPr>
        <w:t xml:space="preserve">Cíl: </w:t>
      </w:r>
      <w:r w:rsidRPr="00514E6F">
        <w:rPr>
          <w:rFonts w:cs="Arial"/>
          <w:b/>
          <w:szCs w:val="20"/>
        </w:rPr>
        <w:t>Podpora navyšování počtu výrobků,</w:t>
      </w:r>
      <w:r w:rsidRPr="0057756D">
        <w:rPr>
          <w:rFonts w:cs="Arial"/>
          <w:b/>
          <w:szCs w:val="20"/>
        </w:rPr>
        <w:t xml:space="preserve"> služeb, vybavení a zařízení navrhovaných s dodržováním pravidel univer</w:t>
      </w:r>
      <w:r>
        <w:rPr>
          <w:rFonts w:cs="Arial"/>
          <w:b/>
          <w:szCs w:val="20"/>
        </w:rPr>
        <w:t>z</w:t>
      </w:r>
      <w:r w:rsidRPr="0057756D">
        <w:rPr>
          <w:rFonts w:cs="Arial"/>
          <w:b/>
          <w:szCs w:val="20"/>
        </w:rPr>
        <w:t>álního designu používaných v běžném životě.</w:t>
      </w:r>
    </w:p>
    <w:p w14:paraId="76C01588" w14:textId="77777777" w:rsidR="00A2741E" w:rsidRPr="00B31997" w:rsidRDefault="00A2741E" w:rsidP="00A2741E">
      <w:pPr>
        <w:rPr>
          <w:rFonts w:cs="Arial"/>
          <w:szCs w:val="20"/>
        </w:rPr>
      </w:pPr>
      <w:r w:rsidRPr="0035060D">
        <w:rPr>
          <w:rFonts w:cs="Arial"/>
          <w:bCs/>
          <w:szCs w:val="20"/>
        </w:rPr>
        <w:t xml:space="preserve">Opatření </w:t>
      </w:r>
      <w:r>
        <w:rPr>
          <w:rFonts w:cs="Arial"/>
          <w:szCs w:val="20"/>
        </w:rPr>
        <w:t>1.3</w:t>
      </w:r>
      <w:r w:rsidRPr="0035060D">
        <w:rPr>
          <w:rFonts w:cs="Arial"/>
          <w:szCs w:val="20"/>
        </w:rPr>
        <w:t>.</w:t>
      </w:r>
      <w:r>
        <w:rPr>
          <w:rFonts w:cs="Arial"/>
          <w:szCs w:val="20"/>
        </w:rPr>
        <w:t>1</w:t>
      </w:r>
      <w:r w:rsidRPr="0035060D">
        <w:rPr>
          <w:rFonts w:cs="Arial"/>
          <w:szCs w:val="20"/>
        </w:rPr>
        <w:t xml:space="preserve"> </w:t>
      </w:r>
      <w:r>
        <w:rPr>
          <w:rFonts w:cs="Arial"/>
          <w:szCs w:val="20"/>
        </w:rPr>
        <w:t>V souvislosti s přijetím směrnice EAA z</w:t>
      </w:r>
      <w:r w:rsidRPr="00B31997">
        <w:rPr>
          <w:rFonts w:cs="Arial"/>
          <w:szCs w:val="20"/>
        </w:rPr>
        <w:t xml:space="preserve">pracovat návodné </w:t>
      </w:r>
      <w:r w:rsidRPr="00943850">
        <w:rPr>
          <w:rFonts w:cs="Arial"/>
          <w:szCs w:val="20"/>
        </w:rPr>
        <w:t>dokumenty pro</w:t>
      </w:r>
      <w:r>
        <w:rPr>
          <w:rFonts w:cs="Arial"/>
          <w:szCs w:val="20"/>
        </w:rPr>
        <w:t> </w:t>
      </w:r>
      <w:r w:rsidRPr="00943850">
        <w:rPr>
          <w:rFonts w:cs="Arial"/>
          <w:szCs w:val="20"/>
        </w:rPr>
        <w:t>zajišťování přístupnosti</w:t>
      </w:r>
      <w:r w:rsidRPr="00B31997">
        <w:rPr>
          <w:rFonts w:cs="Arial"/>
          <w:szCs w:val="20"/>
        </w:rPr>
        <w:t xml:space="preserve"> výrobků a</w:t>
      </w:r>
      <w:r>
        <w:rPr>
          <w:rFonts w:cs="Arial"/>
          <w:szCs w:val="20"/>
        </w:rPr>
        <w:t> služeb také pro </w:t>
      </w:r>
      <w:r w:rsidRPr="00B31997">
        <w:rPr>
          <w:rFonts w:cs="Arial"/>
          <w:szCs w:val="20"/>
        </w:rPr>
        <w:t xml:space="preserve">osoby se zdravotním postižením. </w:t>
      </w:r>
    </w:p>
    <w:p w14:paraId="420709BA" w14:textId="4935A2FE" w:rsidR="00A2741E" w:rsidRPr="00B31997" w:rsidRDefault="00A2741E" w:rsidP="00A2741E">
      <w:pPr>
        <w:rPr>
          <w:rFonts w:cs="Arial"/>
          <w:b/>
          <w:szCs w:val="20"/>
        </w:rPr>
      </w:pPr>
      <w:r>
        <w:rPr>
          <w:rFonts w:cs="Arial"/>
          <w:szCs w:val="20"/>
        </w:rPr>
        <w:t xml:space="preserve">Termín: </w:t>
      </w:r>
      <w:proofErr w:type="gramStart"/>
      <w:r>
        <w:rPr>
          <w:rFonts w:cs="Arial"/>
          <w:szCs w:val="20"/>
        </w:rPr>
        <w:t>31.</w:t>
      </w:r>
      <w:r w:rsidRPr="00B31997">
        <w:rPr>
          <w:rFonts w:cs="Arial"/>
          <w:szCs w:val="20"/>
        </w:rPr>
        <w:t>1</w:t>
      </w:r>
      <w:r>
        <w:rPr>
          <w:rFonts w:cs="Arial"/>
          <w:szCs w:val="20"/>
        </w:rPr>
        <w:t>2</w:t>
      </w:r>
      <w:r w:rsidR="005A0F4C">
        <w:rPr>
          <w:rFonts w:cs="Arial"/>
          <w:szCs w:val="20"/>
        </w:rPr>
        <w:t>.2023</w:t>
      </w:r>
      <w:proofErr w:type="gramEnd"/>
    </w:p>
    <w:p w14:paraId="230D0036" w14:textId="5915347C" w:rsidR="00A2741E" w:rsidRPr="0057756D" w:rsidRDefault="00A2741E" w:rsidP="00A2741E">
      <w:pPr>
        <w:rPr>
          <w:rFonts w:cs="Arial"/>
          <w:szCs w:val="20"/>
        </w:rPr>
      </w:pPr>
      <w:r w:rsidRPr="00B31997">
        <w:rPr>
          <w:rFonts w:cs="Arial"/>
          <w:szCs w:val="20"/>
        </w:rPr>
        <w:t xml:space="preserve">Gestor: </w:t>
      </w:r>
      <w:r w:rsidR="00CE514A">
        <w:rPr>
          <w:rFonts w:cs="Arial"/>
          <w:szCs w:val="20"/>
        </w:rPr>
        <w:t>MPO</w:t>
      </w:r>
    </w:p>
    <w:p w14:paraId="44CDD0B6" w14:textId="77777777" w:rsidR="00A2741E" w:rsidRPr="00B31997" w:rsidRDefault="00A2741E" w:rsidP="00A2741E">
      <w:pPr>
        <w:rPr>
          <w:rFonts w:cs="Arial"/>
          <w:i/>
          <w:szCs w:val="20"/>
        </w:rPr>
      </w:pPr>
      <w:r w:rsidRPr="00B31997">
        <w:rPr>
          <w:rFonts w:cs="Arial"/>
          <w:szCs w:val="20"/>
        </w:rPr>
        <w:lastRenderedPageBreak/>
        <w:t>Spolu</w:t>
      </w:r>
      <w:r>
        <w:rPr>
          <w:rFonts w:cs="Arial"/>
          <w:szCs w:val="20"/>
        </w:rPr>
        <w:t>práce</w:t>
      </w:r>
      <w:r w:rsidRPr="00B31997">
        <w:rPr>
          <w:rFonts w:cs="Arial"/>
          <w:szCs w:val="20"/>
        </w:rPr>
        <w:t xml:space="preserve">: </w:t>
      </w:r>
      <w:r>
        <w:rPr>
          <w:rFonts w:cs="Arial"/>
          <w:szCs w:val="20"/>
          <w:lang w:val="cs"/>
        </w:rPr>
        <w:t>všechny zainteresované subjekty</w:t>
      </w:r>
    </w:p>
    <w:p w14:paraId="50D17BD0" w14:textId="18D090C7" w:rsidR="00A23DF6" w:rsidRPr="00B84EA5" w:rsidRDefault="00A2741E" w:rsidP="00246947">
      <w:pPr>
        <w:rPr>
          <w:rFonts w:cs="Arial"/>
        </w:rPr>
      </w:pPr>
      <w:r w:rsidRPr="00B84EA5">
        <w:rPr>
          <w:rFonts w:cs="Arial"/>
        </w:rPr>
        <w:t>Indikátor: Byla vypracována metodika pro výrobce a distributory konkrétních výrobků nebo služeb týkající se naplňování směrnice EAA.</w:t>
      </w:r>
    </w:p>
    <w:p w14:paraId="081D30F9" w14:textId="0D664EE4" w:rsidR="00A23DF6" w:rsidRPr="00246947" w:rsidRDefault="00A23DF6" w:rsidP="00246947">
      <w:pPr>
        <w:tabs>
          <w:tab w:val="left" w:pos="720"/>
        </w:tabs>
        <w:rPr>
          <w:rFonts w:cs="Arial"/>
          <w:b/>
          <w:bCs/>
          <w:sz w:val="20"/>
          <w:szCs w:val="20"/>
          <w:lang w:eastAsia="cs-CZ"/>
        </w:rPr>
      </w:pPr>
      <w:r w:rsidRPr="00246947">
        <w:rPr>
          <w:rFonts w:cs="Arial"/>
          <w:b/>
          <w:bCs/>
          <w:sz w:val="20"/>
          <w:szCs w:val="20"/>
          <w:lang w:eastAsia="cs-CZ"/>
        </w:rPr>
        <w:t>PLNĚNÍ MPO:</w:t>
      </w:r>
    </w:p>
    <w:p w14:paraId="12F3EE6D" w14:textId="77777777" w:rsidR="009C7CD7" w:rsidRPr="00246947" w:rsidRDefault="009C7CD7" w:rsidP="00246947">
      <w:pPr>
        <w:rPr>
          <w:rFonts w:cs="Arial"/>
          <w:sz w:val="20"/>
          <w:szCs w:val="20"/>
        </w:rPr>
      </w:pPr>
      <w:r w:rsidRPr="00246947">
        <w:rPr>
          <w:rFonts w:cs="Arial"/>
          <w:sz w:val="20"/>
          <w:szCs w:val="20"/>
        </w:rPr>
        <w:t xml:space="preserve">Návodné dokumenty byly zpracovány a zveřejněny na internetových stránkách: </w:t>
      </w:r>
      <w:hyperlink r:id="rId19" w:history="1">
        <w:r w:rsidRPr="00246947">
          <w:rPr>
            <w:rStyle w:val="Hypertextovodkaz"/>
            <w:rFonts w:cs="Arial"/>
            <w:color w:val="auto"/>
            <w:sz w:val="20"/>
            <w:szCs w:val="20"/>
          </w:rPr>
          <w:t>https://www.mpo.cz/cz/podnikani/standardizace/pristupnost-vyrobku-a-sluzeb/navodne-dokumenty-k-zakonu-o-pozadavcich-na-pristupnost-nekterych-vyrobku-a-sluzeb--276963/</w:t>
        </w:r>
      </w:hyperlink>
      <w:r w:rsidRPr="00246947">
        <w:rPr>
          <w:rFonts w:cs="Arial"/>
          <w:sz w:val="20"/>
          <w:szCs w:val="20"/>
        </w:rPr>
        <w:t xml:space="preserve"> </w:t>
      </w:r>
    </w:p>
    <w:p w14:paraId="28ED3C19" w14:textId="17382E26" w:rsidR="009C7CD7" w:rsidRPr="00246947" w:rsidRDefault="009C7CD7" w:rsidP="00246947">
      <w:pPr>
        <w:rPr>
          <w:rFonts w:cs="Arial"/>
          <w:sz w:val="20"/>
          <w:szCs w:val="20"/>
        </w:rPr>
      </w:pPr>
      <w:r w:rsidRPr="00246947">
        <w:rPr>
          <w:rFonts w:cs="Arial"/>
          <w:sz w:val="20"/>
          <w:szCs w:val="20"/>
        </w:rPr>
        <w:t>Návodné dokumenty byly rovněž zaslány zástupcům VVOZP a dalším subjektům.</w:t>
      </w:r>
    </w:p>
    <w:p w14:paraId="7D47C201" w14:textId="47679ACD" w:rsidR="00A23DF6" w:rsidRPr="00246947" w:rsidRDefault="00A23DF6" w:rsidP="00246947">
      <w:pPr>
        <w:rPr>
          <w:rFonts w:cs="Arial"/>
          <w:b/>
          <w:bCs/>
          <w:sz w:val="20"/>
          <w:szCs w:val="20"/>
          <w:lang w:eastAsia="cs-CZ"/>
        </w:rPr>
      </w:pPr>
      <w:r w:rsidRPr="00246947">
        <w:rPr>
          <w:rFonts w:cs="Arial"/>
          <w:b/>
          <w:bCs/>
          <w:sz w:val="20"/>
          <w:szCs w:val="20"/>
          <w:lang w:eastAsia="cs-CZ"/>
        </w:rPr>
        <w:t>STANOVISKO K </w:t>
      </w:r>
      <w:r w:rsidRPr="008C03D7">
        <w:rPr>
          <w:rFonts w:cs="Arial"/>
          <w:b/>
          <w:bCs/>
          <w:sz w:val="20"/>
          <w:szCs w:val="20"/>
          <w:lang w:eastAsia="cs-CZ"/>
        </w:rPr>
        <w:t>PLNĚNÍ:</w:t>
      </w:r>
      <w:r w:rsidR="002A07F6" w:rsidRPr="008C03D7">
        <w:rPr>
          <w:rFonts w:cs="Arial"/>
          <w:b/>
          <w:bCs/>
          <w:sz w:val="20"/>
          <w:szCs w:val="20"/>
          <w:lang w:eastAsia="cs-CZ"/>
        </w:rPr>
        <w:t xml:space="preserve"> </w:t>
      </w:r>
      <w:r w:rsidR="009C7CD7" w:rsidRPr="008C03D7">
        <w:rPr>
          <w:rFonts w:cs="Arial"/>
          <w:b/>
          <w:bCs/>
          <w:sz w:val="20"/>
          <w:szCs w:val="20"/>
          <w:lang w:eastAsia="cs-CZ"/>
        </w:rPr>
        <w:t>S</w:t>
      </w:r>
      <w:r w:rsidR="002A07F6" w:rsidRPr="008C03D7">
        <w:rPr>
          <w:rFonts w:cs="Arial"/>
          <w:b/>
          <w:bCs/>
          <w:sz w:val="20"/>
          <w:szCs w:val="20"/>
          <w:lang w:eastAsia="cs-CZ"/>
        </w:rPr>
        <w:t xml:space="preserve">plněno. </w:t>
      </w:r>
    </w:p>
    <w:p w14:paraId="1BFDEB49" w14:textId="543D89A1" w:rsidR="00954646" w:rsidRDefault="00954646" w:rsidP="002A07F6">
      <w:pPr>
        <w:rPr>
          <w:rFonts w:cs="Arial"/>
          <w:b/>
          <w:bCs/>
          <w:sz w:val="20"/>
          <w:szCs w:val="20"/>
          <w:lang w:eastAsia="cs-CZ"/>
        </w:rPr>
      </w:pPr>
    </w:p>
    <w:p w14:paraId="7827A3AB" w14:textId="77777777" w:rsidR="00954646" w:rsidRPr="001D0E42" w:rsidRDefault="00954646" w:rsidP="00954646">
      <w:pPr>
        <w:rPr>
          <w:rFonts w:cs="Arial"/>
          <w:szCs w:val="20"/>
        </w:rPr>
      </w:pPr>
      <w:r w:rsidRPr="001D0E42">
        <w:rPr>
          <w:rFonts w:cs="Arial"/>
          <w:szCs w:val="20"/>
        </w:rPr>
        <w:t>Opatření 1.</w:t>
      </w:r>
      <w:r>
        <w:rPr>
          <w:rFonts w:cs="Arial"/>
          <w:szCs w:val="20"/>
        </w:rPr>
        <w:t>3</w:t>
      </w:r>
      <w:r w:rsidRPr="001D0E42">
        <w:rPr>
          <w:rFonts w:cs="Arial"/>
          <w:szCs w:val="20"/>
        </w:rPr>
        <w:t>.</w:t>
      </w:r>
      <w:r>
        <w:rPr>
          <w:rFonts w:cs="Arial"/>
          <w:szCs w:val="20"/>
        </w:rPr>
        <w:t>2</w:t>
      </w:r>
      <w:r w:rsidRPr="001D0E42">
        <w:rPr>
          <w:rFonts w:cs="Arial"/>
          <w:szCs w:val="20"/>
        </w:rPr>
        <w:t xml:space="preserve"> Zpracovat, zveřejnit a uchovávat v aktuální podobě (na webových stránkách České agentury pro standardizaci) seznam evropských a mezinárodních norem z oblasti ochrany, podpory a integrace osob se zdravotním postižením.</w:t>
      </w:r>
    </w:p>
    <w:p w14:paraId="23BEC6B1" w14:textId="77777777" w:rsidR="00954646" w:rsidRPr="001D0E42" w:rsidRDefault="00954646" w:rsidP="00954646">
      <w:pPr>
        <w:rPr>
          <w:rFonts w:cs="Arial"/>
          <w:szCs w:val="20"/>
        </w:rPr>
      </w:pPr>
      <w:r w:rsidRPr="001D0E42">
        <w:rPr>
          <w:rFonts w:cs="Arial"/>
          <w:szCs w:val="20"/>
        </w:rPr>
        <w:t xml:space="preserve">Termín: </w:t>
      </w:r>
      <w:proofErr w:type="gramStart"/>
      <w:r>
        <w:rPr>
          <w:rFonts w:cs="Arial"/>
          <w:szCs w:val="20"/>
        </w:rPr>
        <w:t>31.12.</w:t>
      </w:r>
      <w:r w:rsidRPr="001D0E42">
        <w:rPr>
          <w:rFonts w:cs="Arial"/>
          <w:szCs w:val="20"/>
        </w:rPr>
        <w:t>2023</w:t>
      </w:r>
      <w:proofErr w:type="gramEnd"/>
    </w:p>
    <w:p w14:paraId="68D9399B" w14:textId="77777777" w:rsidR="00954646" w:rsidRPr="001D0E42" w:rsidRDefault="00954646" w:rsidP="00954646">
      <w:pPr>
        <w:rPr>
          <w:rFonts w:cs="Arial"/>
          <w:szCs w:val="20"/>
        </w:rPr>
      </w:pPr>
      <w:r w:rsidRPr="001D0E42">
        <w:rPr>
          <w:rFonts w:cs="Arial"/>
          <w:szCs w:val="20"/>
        </w:rPr>
        <w:t>Gestor: MPO (ČAS) ve spolupráci s VVOZP</w:t>
      </w:r>
    </w:p>
    <w:p w14:paraId="27FBD0AC" w14:textId="77777777" w:rsidR="00B333D2" w:rsidRDefault="00954646" w:rsidP="00AF7BC5">
      <w:pPr>
        <w:rPr>
          <w:rFonts w:cs="Arial"/>
          <w:szCs w:val="20"/>
        </w:rPr>
      </w:pPr>
      <w:r w:rsidRPr="001D0E42">
        <w:rPr>
          <w:rFonts w:cs="Arial"/>
          <w:szCs w:val="20"/>
        </w:rPr>
        <w:t>Indikátor: Byla zpracována a na webových stránkách České agentury pro standardizaci zveřejněna elektronická brožura, která slouží jako návodný dokument pro vytváření příznivého prostředí pro osoby se zdravotním postižením v různých oblastech života.</w:t>
      </w:r>
    </w:p>
    <w:p w14:paraId="141134F0" w14:textId="77777777" w:rsidR="00AF7BC5" w:rsidRDefault="00AF7BC5" w:rsidP="00AF7BC5">
      <w:pPr>
        <w:rPr>
          <w:rFonts w:cs="Arial"/>
          <w:b/>
          <w:bCs/>
          <w:sz w:val="20"/>
          <w:szCs w:val="20"/>
          <w:lang w:eastAsia="cs-CZ"/>
        </w:rPr>
      </w:pPr>
    </w:p>
    <w:p w14:paraId="2C34D74B" w14:textId="554D5DB8" w:rsidR="00B333D2" w:rsidRPr="00AF7BC5" w:rsidRDefault="00B333D2" w:rsidP="00AF7BC5">
      <w:pPr>
        <w:rPr>
          <w:rFonts w:cs="Arial"/>
          <w:b/>
          <w:bCs/>
          <w:sz w:val="20"/>
          <w:szCs w:val="20"/>
          <w:lang w:eastAsia="cs-CZ"/>
        </w:rPr>
      </w:pPr>
      <w:r w:rsidRPr="00AF7BC5">
        <w:rPr>
          <w:rFonts w:cs="Arial"/>
          <w:b/>
          <w:bCs/>
          <w:sz w:val="20"/>
          <w:szCs w:val="20"/>
          <w:lang w:eastAsia="cs-CZ"/>
        </w:rPr>
        <w:t>PLNĚNÍ MPO</w:t>
      </w:r>
      <w:r w:rsidR="00596991" w:rsidRPr="00AF7BC5">
        <w:rPr>
          <w:rFonts w:cs="Arial"/>
          <w:b/>
          <w:bCs/>
          <w:sz w:val="20"/>
          <w:szCs w:val="20"/>
          <w:lang w:eastAsia="cs-CZ"/>
        </w:rPr>
        <w:t xml:space="preserve"> (ČAS)</w:t>
      </w:r>
      <w:r w:rsidRPr="00AF7BC5">
        <w:rPr>
          <w:rFonts w:cs="Arial"/>
          <w:b/>
          <w:bCs/>
          <w:sz w:val="20"/>
          <w:szCs w:val="20"/>
          <w:lang w:eastAsia="cs-CZ"/>
        </w:rPr>
        <w:t>:</w:t>
      </w:r>
    </w:p>
    <w:p w14:paraId="79414A0C" w14:textId="39438F8D" w:rsidR="00D67916" w:rsidRPr="0078608A" w:rsidRDefault="00D67916" w:rsidP="00AF7BC5">
      <w:pPr>
        <w:rPr>
          <w:rFonts w:cs="Arial"/>
          <w:sz w:val="20"/>
          <w:szCs w:val="20"/>
        </w:rPr>
      </w:pPr>
      <w:r w:rsidRPr="00AF7BC5">
        <w:rPr>
          <w:rFonts w:cs="Arial"/>
          <w:sz w:val="20"/>
          <w:szCs w:val="20"/>
        </w:rPr>
        <w:t>Česká agentura pro standardizaci</w:t>
      </w:r>
      <w:r w:rsidR="0078608A">
        <w:rPr>
          <w:rFonts w:cs="Arial"/>
          <w:sz w:val="20"/>
          <w:szCs w:val="20"/>
        </w:rPr>
        <w:t xml:space="preserve"> </w:t>
      </w:r>
      <w:r w:rsidRPr="00AF7BC5">
        <w:rPr>
          <w:rFonts w:cs="Arial"/>
          <w:sz w:val="20"/>
          <w:szCs w:val="20"/>
        </w:rPr>
        <w:t>vyčlenila na titulní straně svého webu zvláštní část pro </w:t>
      </w:r>
      <w:r w:rsidR="00AF7BC5">
        <w:rPr>
          <w:rFonts w:cs="Arial"/>
          <w:sz w:val="20"/>
          <w:szCs w:val="20"/>
        </w:rPr>
        <w:t>informace o </w:t>
      </w:r>
      <w:r w:rsidRPr="00AF7BC5">
        <w:rPr>
          <w:rFonts w:cs="Arial"/>
          <w:sz w:val="20"/>
          <w:szCs w:val="20"/>
        </w:rPr>
        <w:t xml:space="preserve">platných ČSN ve spojitosti s podporou rovných příležitostí osob se zdravotním postižením: </w:t>
      </w:r>
      <w:hyperlink r:id="rId20" w:history="1">
        <w:r w:rsidR="0078608A" w:rsidRPr="00F82D94">
          <w:rPr>
            <w:rStyle w:val="Hypertextovodkaz"/>
            <w:rFonts w:eastAsia="Times New Roman"/>
            <w:sz w:val="20"/>
            <w:szCs w:val="20"/>
          </w:rPr>
          <w:t>https://www.agentura-cas.cz/podpora-rovnych-prilezitosti-pro-osoby-se-zdravotnim-postizenim/</w:t>
        </w:r>
      </w:hyperlink>
      <w:r w:rsidR="0078608A">
        <w:rPr>
          <w:rFonts w:eastAsia="Times New Roman" w:cs="Arial"/>
          <w:sz w:val="20"/>
          <w:szCs w:val="20"/>
        </w:rPr>
        <w:t>.</w:t>
      </w:r>
    </w:p>
    <w:p w14:paraId="3424796F" w14:textId="72C548D9" w:rsidR="00D67916" w:rsidRPr="00AF7BC5" w:rsidRDefault="00D67916" w:rsidP="00AF7BC5">
      <w:pPr>
        <w:rPr>
          <w:rFonts w:cs="Arial"/>
          <w:b/>
          <w:bCs/>
          <w:sz w:val="20"/>
          <w:szCs w:val="20"/>
        </w:rPr>
      </w:pPr>
      <w:r w:rsidRPr="00AF7BC5">
        <w:rPr>
          <w:rFonts w:cs="Arial"/>
          <w:sz w:val="20"/>
          <w:szCs w:val="20"/>
        </w:rPr>
        <w:t>Informace jsou členěné podle oblastí.</w:t>
      </w:r>
    </w:p>
    <w:p w14:paraId="7D89E66F" w14:textId="49C30DBB" w:rsidR="00B333D2" w:rsidRPr="00AF7BC5" w:rsidRDefault="00B333D2" w:rsidP="00AF7BC5">
      <w:pPr>
        <w:rPr>
          <w:rFonts w:cs="Arial"/>
          <w:b/>
          <w:bCs/>
          <w:sz w:val="20"/>
          <w:szCs w:val="20"/>
          <w:lang w:eastAsia="cs-CZ"/>
        </w:rPr>
      </w:pPr>
      <w:r w:rsidRPr="00AF7BC5">
        <w:rPr>
          <w:rFonts w:cs="Arial"/>
          <w:b/>
          <w:bCs/>
          <w:sz w:val="20"/>
          <w:szCs w:val="20"/>
          <w:lang w:eastAsia="cs-CZ"/>
        </w:rPr>
        <w:t>STANOVISKO K </w:t>
      </w:r>
      <w:r w:rsidRPr="009A3D22">
        <w:rPr>
          <w:rFonts w:cs="Arial"/>
          <w:b/>
          <w:bCs/>
          <w:sz w:val="20"/>
          <w:szCs w:val="20"/>
          <w:lang w:eastAsia="cs-CZ"/>
        </w:rPr>
        <w:t>PLNĚNÍ:</w:t>
      </w:r>
      <w:r w:rsidR="00D67916" w:rsidRPr="009A3D22">
        <w:rPr>
          <w:rFonts w:cs="Arial"/>
          <w:b/>
          <w:bCs/>
          <w:sz w:val="20"/>
          <w:szCs w:val="20"/>
          <w:lang w:eastAsia="cs-CZ"/>
        </w:rPr>
        <w:t xml:space="preserve"> Splněno.</w:t>
      </w:r>
    </w:p>
    <w:p w14:paraId="5AF2A030" w14:textId="77777777" w:rsidR="00AF7BC5" w:rsidRPr="00B333D2" w:rsidRDefault="00AF7BC5" w:rsidP="00AF7BC5">
      <w:pPr>
        <w:rPr>
          <w:rFonts w:cs="Arial"/>
          <w:szCs w:val="20"/>
        </w:rPr>
      </w:pPr>
    </w:p>
    <w:p w14:paraId="3F33D2B2" w14:textId="6E784FD2" w:rsidR="00B333D2" w:rsidRPr="00CF0A8B" w:rsidRDefault="00B333D2" w:rsidP="00AF7BC5">
      <w:pPr>
        <w:rPr>
          <w:rFonts w:cs="Arial"/>
          <w:b/>
          <w:bCs/>
          <w:sz w:val="20"/>
          <w:szCs w:val="20"/>
          <w:lang w:eastAsia="cs-CZ"/>
        </w:rPr>
      </w:pPr>
      <w:bookmarkStart w:id="11" w:name="_Hlk166411284"/>
      <w:r w:rsidRPr="00CF0A8B">
        <w:rPr>
          <w:rFonts w:cs="Arial"/>
          <w:b/>
          <w:bCs/>
          <w:sz w:val="20"/>
          <w:szCs w:val="20"/>
          <w:lang w:eastAsia="cs-CZ"/>
        </w:rPr>
        <w:t>PLNĚNÍ VVOZP:</w:t>
      </w:r>
    </w:p>
    <w:p w14:paraId="30A607F7" w14:textId="22E3BDF8" w:rsidR="0078608A" w:rsidRPr="00CF0A8B" w:rsidRDefault="00CF0A8B" w:rsidP="00AF7BC5">
      <w:pPr>
        <w:rPr>
          <w:rFonts w:cs="Arial"/>
          <w:b/>
          <w:bCs/>
          <w:sz w:val="20"/>
          <w:szCs w:val="20"/>
          <w:lang w:eastAsia="cs-CZ"/>
        </w:rPr>
      </w:pPr>
      <w:r>
        <w:rPr>
          <w:rFonts w:cs="Arial"/>
          <w:sz w:val="20"/>
          <w:szCs w:val="20"/>
        </w:rPr>
        <w:t xml:space="preserve">Tento úkol byl řešen na jednání Odborné skupiny VVOZP pro přístupnost veřejné správy a veřejných služeb. </w:t>
      </w:r>
      <w:r w:rsidR="0078608A" w:rsidRPr="00CF0A8B">
        <w:rPr>
          <w:rFonts w:cs="Arial"/>
          <w:sz w:val="20"/>
          <w:szCs w:val="20"/>
        </w:rPr>
        <w:t>Česká agentura pro standardizaci vyčlenila na titulní straně svého webu zvláštní část pro informace o platných ČSN ve spojitosti s podporou rovných příležitostí osob se zdravotním postižením.</w:t>
      </w:r>
    </w:p>
    <w:p w14:paraId="57D5CD30" w14:textId="7BDD57B6" w:rsidR="00954646" w:rsidRPr="00B333D2" w:rsidRDefault="00B333D2" w:rsidP="00AF7BC5">
      <w:pPr>
        <w:rPr>
          <w:rFonts w:cs="Arial"/>
          <w:szCs w:val="20"/>
        </w:rPr>
      </w:pPr>
      <w:r w:rsidRPr="001474CB">
        <w:rPr>
          <w:rFonts w:cs="Arial"/>
          <w:b/>
          <w:bCs/>
          <w:sz w:val="20"/>
          <w:szCs w:val="20"/>
          <w:lang w:eastAsia="cs-CZ"/>
        </w:rPr>
        <w:t>STANOVISKO K PLNĚNÍ:</w:t>
      </w:r>
      <w:r w:rsidR="00D67916">
        <w:rPr>
          <w:rFonts w:cs="Arial"/>
          <w:b/>
          <w:bCs/>
          <w:sz w:val="20"/>
          <w:szCs w:val="20"/>
          <w:lang w:eastAsia="cs-CZ"/>
        </w:rPr>
        <w:t xml:space="preserve"> Splněno.</w:t>
      </w:r>
    </w:p>
    <w:bookmarkEnd w:id="11"/>
    <w:p w14:paraId="13DA3AD8" w14:textId="20C81A0C" w:rsidR="00A23DF6" w:rsidRDefault="00A23DF6" w:rsidP="00AF7BC5">
      <w:pPr>
        <w:rPr>
          <w:rFonts w:cs="Arial"/>
          <w:b/>
          <w:sz w:val="20"/>
          <w:szCs w:val="20"/>
        </w:rPr>
      </w:pPr>
    </w:p>
    <w:p w14:paraId="6AD2D68E" w14:textId="77777777" w:rsidR="00976E9B" w:rsidRPr="001D0E42" w:rsidRDefault="00976E9B" w:rsidP="00976E9B">
      <w:pPr>
        <w:rPr>
          <w:rFonts w:cs="Arial"/>
          <w:szCs w:val="20"/>
        </w:rPr>
      </w:pPr>
      <w:r w:rsidRPr="001D0E42">
        <w:rPr>
          <w:rFonts w:cs="Arial"/>
          <w:szCs w:val="20"/>
        </w:rPr>
        <w:t>Opatření 1.</w:t>
      </w:r>
      <w:r>
        <w:rPr>
          <w:rFonts w:cs="Arial"/>
          <w:szCs w:val="20"/>
        </w:rPr>
        <w:t>3</w:t>
      </w:r>
      <w:r w:rsidRPr="001D0E42">
        <w:rPr>
          <w:rFonts w:cs="Arial"/>
          <w:szCs w:val="20"/>
        </w:rPr>
        <w:t>.</w:t>
      </w:r>
      <w:r>
        <w:rPr>
          <w:rFonts w:cs="Arial"/>
          <w:szCs w:val="20"/>
        </w:rPr>
        <w:t xml:space="preserve">3 </w:t>
      </w:r>
      <w:r w:rsidRPr="001D0E42">
        <w:rPr>
          <w:rFonts w:cs="Arial"/>
          <w:szCs w:val="20"/>
        </w:rPr>
        <w:t>Na základě textu technické normy ČSN ISO 17069 Přístupnost – Opatření a</w:t>
      </w:r>
      <w:r>
        <w:rPr>
          <w:rFonts w:cs="Arial"/>
          <w:szCs w:val="20"/>
        </w:rPr>
        <w:t> </w:t>
      </w:r>
      <w:r w:rsidRPr="001D0E42">
        <w:rPr>
          <w:rFonts w:cs="Arial"/>
          <w:szCs w:val="20"/>
        </w:rPr>
        <w:t xml:space="preserve">pomůcky pro přístupné zasedání zpracovat elektronickou brožuru </w:t>
      </w:r>
      <w:r>
        <w:rPr>
          <w:rFonts w:cs="Arial"/>
          <w:szCs w:val="20"/>
        </w:rPr>
        <w:t>obsahující vhodná</w:t>
      </w:r>
      <w:r w:rsidRPr="001D0E42">
        <w:rPr>
          <w:rFonts w:cs="Arial"/>
          <w:szCs w:val="20"/>
        </w:rPr>
        <w:t xml:space="preserve"> opatření, způsob po</w:t>
      </w:r>
      <w:r>
        <w:rPr>
          <w:rFonts w:cs="Arial"/>
          <w:szCs w:val="20"/>
        </w:rPr>
        <w:t>dpory a pomůcky pro usnadnění a </w:t>
      </w:r>
      <w:r w:rsidRPr="001D0E42">
        <w:rPr>
          <w:rFonts w:cs="Arial"/>
          <w:szCs w:val="20"/>
        </w:rPr>
        <w:t>plnohodnotnou účast</w:t>
      </w:r>
      <w:r>
        <w:rPr>
          <w:rFonts w:cs="Arial"/>
          <w:szCs w:val="20"/>
        </w:rPr>
        <w:t xml:space="preserve"> osob se zdravotním postižením na zasedáních.</w:t>
      </w:r>
    </w:p>
    <w:p w14:paraId="357DF801" w14:textId="77777777" w:rsidR="00976E9B" w:rsidRPr="001D0E42" w:rsidRDefault="00976E9B" w:rsidP="00976E9B">
      <w:pPr>
        <w:rPr>
          <w:rFonts w:cs="Arial"/>
          <w:szCs w:val="20"/>
        </w:rPr>
      </w:pPr>
      <w:r w:rsidRPr="001D0E42">
        <w:rPr>
          <w:rFonts w:cs="Arial"/>
          <w:szCs w:val="20"/>
        </w:rPr>
        <w:t xml:space="preserve">Termín: </w:t>
      </w:r>
      <w:proofErr w:type="gramStart"/>
      <w:r>
        <w:rPr>
          <w:rFonts w:cs="Arial"/>
          <w:szCs w:val="20"/>
        </w:rPr>
        <w:t>31.12.</w:t>
      </w:r>
      <w:r w:rsidRPr="001D0E42">
        <w:rPr>
          <w:rFonts w:cs="Arial"/>
          <w:szCs w:val="20"/>
        </w:rPr>
        <w:t>2023</w:t>
      </w:r>
      <w:proofErr w:type="gramEnd"/>
    </w:p>
    <w:p w14:paraId="3C9FFFED" w14:textId="77777777" w:rsidR="00976E9B" w:rsidRPr="001D0E42" w:rsidRDefault="00976E9B" w:rsidP="00976E9B">
      <w:pPr>
        <w:rPr>
          <w:rFonts w:cs="Arial"/>
          <w:szCs w:val="20"/>
        </w:rPr>
      </w:pPr>
      <w:r w:rsidRPr="001D0E42">
        <w:rPr>
          <w:rFonts w:cs="Arial"/>
          <w:szCs w:val="20"/>
        </w:rPr>
        <w:t>Gestor: MPO (ČAS) ve spolupráci s VVOZP</w:t>
      </w:r>
    </w:p>
    <w:p w14:paraId="6129FE76" w14:textId="77777777" w:rsidR="00976E9B" w:rsidRDefault="00976E9B" w:rsidP="00976E9B">
      <w:pPr>
        <w:rPr>
          <w:rFonts w:cs="Arial"/>
          <w:szCs w:val="20"/>
        </w:rPr>
      </w:pPr>
      <w:r w:rsidRPr="001D0E42">
        <w:rPr>
          <w:rFonts w:cs="Arial"/>
          <w:szCs w:val="20"/>
        </w:rPr>
        <w:t xml:space="preserve">Indikátor: Byla zpracována a zveřejněna </w:t>
      </w:r>
      <w:r>
        <w:rPr>
          <w:rFonts w:cs="Arial"/>
          <w:szCs w:val="20"/>
        </w:rPr>
        <w:t xml:space="preserve">uvedená </w:t>
      </w:r>
      <w:r w:rsidRPr="001D0E42">
        <w:rPr>
          <w:rFonts w:cs="Arial"/>
          <w:szCs w:val="20"/>
        </w:rPr>
        <w:t>elektronická brožura</w:t>
      </w:r>
      <w:r>
        <w:rPr>
          <w:rFonts w:cs="Arial"/>
          <w:szCs w:val="20"/>
        </w:rPr>
        <w:t>.</w:t>
      </w:r>
    </w:p>
    <w:p w14:paraId="4C55A112" w14:textId="77777777" w:rsidR="00976E9B" w:rsidRDefault="00976E9B" w:rsidP="00976E9B">
      <w:pPr>
        <w:rPr>
          <w:rFonts w:cs="Arial"/>
          <w:b/>
          <w:bCs/>
          <w:sz w:val="20"/>
          <w:szCs w:val="20"/>
          <w:lang w:eastAsia="cs-CZ"/>
        </w:rPr>
      </w:pPr>
    </w:p>
    <w:p w14:paraId="4DBFCD5C" w14:textId="6696740A" w:rsidR="00976E9B" w:rsidRPr="004A275C" w:rsidRDefault="00976E9B" w:rsidP="004A275C">
      <w:pPr>
        <w:rPr>
          <w:rFonts w:cs="Arial"/>
          <w:b/>
          <w:bCs/>
          <w:sz w:val="20"/>
          <w:szCs w:val="20"/>
          <w:lang w:eastAsia="cs-CZ"/>
        </w:rPr>
      </w:pPr>
      <w:r w:rsidRPr="004A275C">
        <w:rPr>
          <w:rFonts w:cs="Arial"/>
          <w:b/>
          <w:bCs/>
          <w:sz w:val="20"/>
          <w:szCs w:val="20"/>
          <w:lang w:eastAsia="cs-CZ"/>
        </w:rPr>
        <w:t>PLNĚNÍ MPO</w:t>
      </w:r>
      <w:r w:rsidR="00F256FC" w:rsidRPr="004A275C">
        <w:rPr>
          <w:rFonts w:cs="Arial"/>
          <w:b/>
          <w:bCs/>
          <w:sz w:val="20"/>
          <w:szCs w:val="20"/>
          <w:lang w:eastAsia="cs-CZ"/>
        </w:rPr>
        <w:t xml:space="preserve"> (ČAS)</w:t>
      </w:r>
      <w:r w:rsidRPr="004A275C">
        <w:rPr>
          <w:rFonts w:cs="Arial"/>
          <w:b/>
          <w:bCs/>
          <w:sz w:val="20"/>
          <w:szCs w:val="20"/>
          <w:lang w:eastAsia="cs-CZ"/>
        </w:rPr>
        <w:t>:</w:t>
      </w:r>
    </w:p>
    <w:p w14:paraId="34EE9B72" w14:textId="2D1B8B67" w:rsidR="004A275C" w:rsidRPr="001F5A14" w:rsidRDefault="004A275C" w:rsidP="004A275C">
      <w:pPr>
        <w:rPr>
          <w:rFonts w:cs="Arial"/>
          <w:sz w:val="20"/>
          <w:szCs w:val="20"/>
        </w:rPr>
      </w:pPr>
      <w:r w:rsidRPr="002950D9">
        <w:rPr>
          <w:rFonts w:cs="Arial"/>
          <w:sz w:val="20"/>
          <w:szCs w:val="20"/>
        </w:rPr>
        <w:lastRenderedPageBreak/>
        <w:t xml:space="preserve">Toto opatření se, bohužel, nepodařilo naplnit – původní autor publikace odmítl spolupráci z důvodu vytíženosti. Publikace však zůstala v edičním plánu rovněž pro rok 2024 a </w:t>
      </w:r>
      <w:r w:rsidR="002950D9" w:rsidRPr="002950D9">
        <w:rPr>
          <w:rFonts w:cs="Arial"/>
          <w:sz w:val="20"/>
          <w:szCs w:val="20"/>
        </w:rPr>
        <w:t>MPO hledá</w:t>
      </w:r>
      <w:r w:rsidRPr="002950D9">
        <w:rPr>
          <w:rFonts w:cs="Arial"/>
          <w:sz w:val="20"/>
          <w:szCs w:val="20"/>
        </w:rPr>
        <w:t xml:space="preserve"> nového experta. </w:t>
      </w:r>
      <w:r w:rsidR="002950D9" w:rsidRPr="002950D9">
        <w:rPr>
          <w:rFonts w:cs="Arial"/>
          <w:bCs/>
          <w:sz w:val="20"/>
          <w:szCs w:val="20"/>
        </w:rPr>
        <w:t>MPO</w:t>
      </w:r>
      <w:r w:rsidRPr="002950D9">
        <w:rPr>
          <w:rFonts w:cs="Arial"/>
          <w:bCs/>
          <w:sz w:val="20"/>
          <w:szCs w:val="20"/>
        </w:rPr>
        <w:t xml:space="preserve"> </w:t>
      </w:r>
      <w:r w:rsidR="002950D9" w:rsidRPr="002950D9">
        <w:rPr>
          <w:rFonts w:cs="Arial"/>
          <w:bCs/>
          <w:sz w:val="20"/>
          <w:szCs w:val="20"/>
        </w:rPr>
        <w:t>žádá</w:t>
      </w:r>
      <w:r w:rsidRPr="002950D9">
        <w:rPr>
          <w:rFonts w:cs="Arial"/>
          <w:bCs/>
          <w:sz w:val="20"/>
          <w:szCs w:val="20"/>
        </w:rPr>
        <w:t xml:space="preserve"> z uvedeného </w:t>
      </w:r>
      <w:r w:rsidR="003D04E0">
        <w:rPr>
          <w:rFonts w:cs="Arial"/>
          <w:bCs/>
          <w:sz w:val="20"/>
          <w:szCs w:val="20"/>
        </w:rPr>
        <w:t xml:space="preserve">důvodu o posun termínu do </w:t>
      </w:r>
      <w:proofErr w:type="gramStart"/>
      <w:r w:rsidR="003D04E0">
        <w:rPr>
          <w:rFonts w:cs="Arial"/>
          <w:bCs/>
          <w:sz w:val="20"/>
          <w:szCs w:val="20"/>
        </w:rPr>
        <w:t>31.12.</w:t>
      </w:r>
      <w:r w:rsidRPr="001F5A14">
        <w:rPr>
          <w:rFonts w:cs="Arial"/>
          <w:bCs/>
          <w:sz w:val="20"/>
          <w:szCs w:val="20"/>
        </w:rPr>
        <w:t>2024</w:t>
      </w:r>
      <w:proofErr w:type="gramEnd"/>
      <w:r w:rsidRPr="001F5A14">
        <w:rPr>
          <w:rFonts w:cs="Arial"/>
          <w:bCs/>
          <w:sz w:val="20"/>
          <w:szCs w:val="20"/>
        </w:rPr>
        <w:t>.</w:t>
      </w:r>
    </w:p>
    <w:p w14:paraId="523631C4" w14:textId="7AB3F200" w:rsidR="00976E9B" w:rsidRPr="004A275C" w:rsidRDefault="00976E9B" w:rsidP="004A275C">
      <w:pPr>
        <w:rPr>
          <w:rFonts w:cs="Arial"/>
          <w:b/>
          <w:bCs/>
          <w:sz w:val="20"/>
          <w:szCs w:val="20"/>
          <w:lang w:eastAsia="cs-CZ"/>
        </w:rPr>
      </w:pPr>
      <w:r w:rsidRPr="004A275C">
        <w:rPr>
          <w:rFonts w:cs="Arial"/>
          <w:b/>
          <w:bCs/>
          <w:sz w:val="20"/>
          <w:szCs w:val="20"/>
          <w:lang w:eastAsia="cs-CZ"/>
        </w:rPr>
        <w:t>STANOVISKO K </w:t>
      </w:r>
      <w:r w:rsidRPr="008E63FA">
        <w:rPr>
          <w:rFonts w:cs="Arial"/>
          <w:b/>
          <w:bCs/>
          <w:sz w:val="20"/>
          <w:szCs w:val="20"/>
          <w:lang w:eastAsia="cs-CZ"/>
        </w:rPr>
        <w:t>PLNĚNÍ:</w:t>
      </w:r>
      <w:r w:rsidR="002950D9" w:rsidRPr="008E63FA">
        <w:rPr>
          <w:rFonts w:cs="Arial"/>
          <w:b/>
          <w:bCs/>
          <w:sz w:val="20"/>
          <w:szCs w:val="20"/>
          <w:lang w:eastAsia="cs-CZ"/>
        </w:rPr>
        <w:t xml:space="preserve"> Nesplněno. Navržen posun termínu do </w:t>
      </w:r>
      <w:proofErr w:type="gramStart"/>
      <w:r w:rsidR="002950D9" w:rsidRPr="008E63FA">
        <w:rPr>
          <w:rFonts w:cs="Arial"/>
          <w:b/>
          <w:bCs/>
          <w:sz w:val="20"/>
          <w:szCs w:val="20"/>
          <w:lang w:eastAsia="cs-CZ"/>
        </w:rPr>
        <w:t>31.12.2024</w:t>
      </w:r>
      <w:proofErr w:type="gramEnd"/>
      <w:r w:rsidR="002950D9" w:rsidRPr="008E63FA">
        <w:rPr>
          <w:rFonts w:cs="Arial"/>
          <w:b/>
          <w:bCs/>
          <w:sz w:val="20"/>
          <w:szCs w:val="20"/>
          <w:lang w:eastAsia="cs-CZ"/>
        </w:rPr>
        <w:t>.</w:t>
      </w:r>
    </w:p>
    <w:p w14:paraId="5FF9AF2C" w14:textId="77777777" w:rsidR="00976E9B" w:rsidRPr="00B333D2" w:rsidRDefault="00976E9B" w:rsidP="00976E9B">
      <w:pPr>
        <w:rPr>
          <w:rFonts w:cs="Arial"/>
          <w:szCs w:val="20"/>
        </w:rPr>
      </w:pPr>
    </w:p>
    <w:p w14:paraId="042002E6" w14:textId="77777777" w:rsidR="00976E9B" w:rsidRPr="00F158FD" w:rsidRDefault="00976E9B" w:rsidP="00976E9B">
      <w:pPr>
        <w:rPr>
          <w:rFonts w:cs="Arial"/>
          <w:b/>
          <w:bCs/>
          <w:sz w:val="20"/>
          <w:szCs w:val="20"/>
          <w:lang w:eastAsia="cs-CZ"/>
        </w:rPr>
      </w:pPr>
      <w:r w:rsidRPr="00F158FD">
        <w:rPr>
          <w:rFonts w:cs="Arial"/>
          <w:b/>
          <w:bCs/>
          <w:sz w:val="20"/>
          <w:szCs w:val="20"/>
          <w:lang w:eastAsia="cs-CZ"/>
        </w:rPr>
        <w:t>PLNĚNÍ VVOZP:</w:t>
      </w:r>
    </w:p>
    <w:p w14:paraId="55DB8E57" w14:textId="73375478" w:rsidR="003C22BE" w:rsidRPr="008E63FA" w:rsidRDefault="003C22BE" w:rsidP="00976E9B">
      <w:pPr>
        <w:rPr>
          <w:rFonts w:cs="Arial"/>
          <w:sz w:val="20"/>
          <w:szCs w:val="20"/>
          <w:lang w:eastAsia="cs-CZ"/>
        </w:rPr>
      </w:pPr>
      <w:r w:rsidRPr="00F158FD">
        <w:rPr>
          <w:rFonts w:cs="Arial"/>
          <w:sz w:val="20"/>
          <w:szCs w:val="20"/>
          <w:lang w:eastAsia="cs-CZ"/>
        </w:rPr>
        <w:t xml:space="preserve">Opatření nebylo splněno, </w:t>
      </w:r>
      <w:r w:rsidRPr="008E63FA">
        <w:rPr>
          <w:rFonts w:cs="Arial"/>
          <w:sz w:val="20"/>
          <w:szCs w:val="20"/>
          <w:lang w:eastAsia="cs-CZ"/>
        </w:rPr>
        <w:t>publikace zůstává v edičním plánu MPO pro rok 2024.</w:t>
      </w:r>
    </w:p>
    <w:p w14:paraId="379C0432" w14:textId="5A744FA8" w:rsidR="00437C99" w:rsidRPr="00976E9B" w:rsidRDefault="00976E9B" w:rsidP="002A07F6">
      <w:pPr>
        <w:rPr>
          <w:rFonts w:cs="Arial"/>
          <w:szCs w:val="20"/>
        </w:rPr>
      </w:pPr>
      <w:r w:rsidRPr="008E63FA">
        <w:rPr>
          <w:rFonts w:cs="Arial"/>
          <w:b/>
          <w:bCs/>
          <w:sz w:val="20"/>
          <w:szCs w:val="20"/>
          <w:lang w:eastAsia="cs-CZ"/>
        </w:rPr>
        <w:t>STANOVISKO K PLNĚNÍ:</w:t>
      </w:r>
      <w:r w:rsidR="002950D9" w:rsidRPr="008E63FA">
        <w:rPr>
          <w:rFonts w:cs="Arial"/>
          <w:b/>
          <w:bCs/>
          <w:sz w:val="20"/>
          <w:szCs w:val="20"/>
          <w:lang w:eastAsia="cs-CZ"/>
        </w:rPr>
        <w:t xml:space="preserve"> Nesplněno. Navržen posun termínu do </w:t>
      </w:r>
      <w:proofErr w:type="gramStart"/>
      <w:r w:rsidR="002950D9" w:rsidRPr="008E63FA">
        <w:rPr>
          <w:rFonts w:cs="Arial"/>
          <w:b/>
          <w:bCs/>
          <w:sz w:val="20"/>
          <w:szCs w:val="20"/>
          <w:lang w:eastAsia="cs-CZ"/>
        </w:rPr>
        <w:t>31.12.2024</w:t>
      </w:r>
      <w:proofErr w:type="gramEnd"/>
      <w:r w:rsidR="002950D9" w:rsidRPr="008E63FA">
        <w:rPr>
          <w:rFonts w:cs="Arial"/>
          <w:b/>
          <w:bCs/>
          <w:sz w:val="20"/>
          <w:szCs w:val="20"/>
          <w:lang w:eastAsia="cs-CZ"/>
        </w:rPr>
        <w:t>.</w:t>
      </w:r>
    </w:p>
    <w:p w14:paraId="3B596C8C" w14:textId="77777777" w:rsidR="00437C99" w:rsidRPr="002A07F6" w:rsidRDefault="00437C99" w:rsidP="002A07F6">
      <w:pPr>
        <w:rPr>
          <w:rFonts w:cs="Arial"/>
          <w:b/>
          <w:sz w:val="20"/>
          <w:szCs w:val="20"/>
        </w:rPr>
      </w:pPr>
    </w:p>
    <w:p w14:paraId="2BE70C1D" w14:textId="77777777" w:rsidR="00F17E74" w:rsidRPr="0057756D" w:rsidRDefault="00F17E74" w:rsidP="00F17E74">
      <w:pPr>
        <w:rPr>
          <w:rFonts w:cs="Arial"/>
          <w:szCs w:val="20"/>
        </w:rPr>
      </w:pPr>
      <w:r w:rsidRPr="0035060D">
        <w:rPr>
          <w:rFonts w:cs="Arial"/>
          <w:bCs/>
          <w:szCs w:val="20"/>
        </w:rPr>
        <w:t xml:space="preserve">Opatření </w:t>
      </w:r>
      <w:r>
        <w:rPr>
          <w:rFonts w:cs="Arial"/>
          <w:szCs w:val="20"/>
        </w:rPr>
        <w:t>1.3</w:t>
      </w:r>
      <w:r w:rsidRPr="0035060D">
        <w:rPr>
          <w:rFonts w:cs="Arial"/>
          <w:szCs w:val="20"/>
        </w:rPr>
        <w:t>.</w:t>
      </w:r>
      <w:r>
        <w:rPr>
          <w:rFonts w:cs="Arial"/>
          <w:szCs w:val="20"/>
        </w:rPr>
        <w:t>4</w:t>
      </w:r>
      <w:r w:rsidRPr="0035060D">
        <w:rPr>
          <w:rFonts w:cs="Arial"/>
          <w:szCs w:val="20"/>
        </w:rPr>
        <w:t xml:space="preserve"> </w:t>
      </w:r>
      <w:r w:rsidRPr="0057756D">
        <w:rPr>
          <w:rFonts w:cs="Arial"/>
          <w:szCs w:val="20"/>
        </w:rPr>
        <w:t xml:space="preserve">V souvislosti s přijetím EAA realizovat </w:t>
      </w:r>
      <w:r>
        <w:rPr>
          <w:rFonts w:cs="Arial"/>
          <w:szCs w:val="20"/>
        </w:rPr>
        <w:t>informační</w:t>
      </w:r>
      <w:r w:rsidRPr="0057756D">
        <w:rPr>
          <w:rFonts w:cs="Arial"/>
          <w:szCs w:val="20"/>
        </w:rPr>
        <w:t xml:space="preserve"> aktivity určené dotčeným výrobcům (např. formou seminářů a workshopů).</w:t>
      </w:r>
    </w:p>
    <w:p w14:paraId="59C87379" w14:textId="77777777" w:rsidR="00F17E74" w:rsidRPr="0057756D" w:rsidRDefault="00F17E74" w:rsidP="00F17E74">
      <w:pPr>
        <w:rPr>
          <w:rFonts w:cs="Arial"/>
          <w:szCs w:val="20"/>
        </w:rPr>
      </w:pPr>
      <w:r w:rsidRPr="0057756D">
        <w:rPr>
          <w:rFonts w:cs="Arial"/>
          <w:szCs w:val="20"/>
        </w:rPr>
        <w:t>Termín: průběžně</w:t>
      </w:r>
    </w:p>
    <w:p w14:paraId="7A02D8F9" w14:textId="77777777" w:rsidR="00F17E74" w:rsidRPr="0057756D" w:rsidRDefault="00F17E74" w:rsidP="00A24A30">
      <w:pPr>
        <w:rPr>
          <w:rFonts w:cs="Arial"/>
          <w:szCs w:val="20"/>
        </w:rPr>
      </w:pPr>
      <w:r w:rsidRPr="0057756D">
        <w:rPr>
          <w:rFonts w:cs="Arial"/>
          <w:szCs w:val="20"/>
        </w:rPr>
        <w:t>Gestor: MPO</w:t>
      </w:r>
    </w:p>
    <w:p w14:paraId="5A4AB780" w14:textId="78BE2C51" w:rsidR="00F17E74" w:rsidRDefault="00F17E74" w:rsidP="00A24A30">
      <w:pPr>
        <w:rPr>
          <w:rFonts w:cs="Arial"/>
          <w:szCs w:val="20"/>
        </w:rPr>
      </w:pPr>
      <w:r>
        <w:rPr>
          <w:rFonts w:cs="Arial"/>
          <w:szCs w:val="20"/>
        </w:rPr>
        <w:t>Indikátor: Ve sledovaném období se uskutečnily uvedené informační aktivity.</w:t>
      </w:r>
    </w:p>
    <w:p w14:paraId="32B71883" w14:textId="77777777" w:rsidR="00A24A30" w:rsidRPr="007C5D8F" w:rsidRDefault="00A24A30" w:rsidP="007C5D8F">
      <w:pPr>
        <w:rPr>
          <w:rFonts w:cs="Arial"/>
          <w:sz w:val="20"/>
          <w:szCs w:val="20"/>
        </w:rPr>
      </w:pPr>
    </w:p>
    <w:p w14:paraId="52320A67" w14:textId="7214BC3D" w:rsidR="00AA7205" w:rsidRPr="00402A7F" w:rsidRDefault="00AA7205" w:rsidP="00402A7F">
      <w:pPr>
        <w:tabs>
          <w:tab w:val="left" w:pos="720"/>
        </w:tabs>
        <w:rPr>
          <w:rFonts w:cs="Arial"/>
          <w:b/>
          <w:bCs/>
          <w:sz w:val="20"/>
          <w:szCs w:val="20"/>
          <w:lang w:eastAsia="cs-CZ"/>
        </w:rPr>
      </w:pPr>
      <w:r w:rsidRPr="00402A7F">
        <w:rPr>
          <w:rFonts w:cs="Arial"/>
          <w:b/>
          <w:bCs/>
          <w:sz w:val="20"/>
          <w:szCs w:val="20"/>
          <w:lang w:eastAsia="cs-CZ"/>
        </w:rPr>
        <w:t>PLNĚNÍ MPO:</w:t>
      </w:r>
    </w:p>
    <w:p w14:paraId="508C9C73" w14:textId="69B3D3B3" w:rsidR="00402A7F" w:rsidRPr="00402A7F" w:rsidRDefault="00402A7F" w:rsidP="00402A7F">
      <w:pPr>
        <w:rPr>
          <w:rFonts w:cs="Arial"/>
          <w:sz w:val="20"/>
          <w:szCs w:val="20"/>
        </w:rPr>
      </w:pPr>
      <w:r w:rsidRPr="00402A7F">
        <w:rPr>
          <w:rFonts w:cs="Arial"/>
          <w:sz w:val="20"/>
          <w:szCs w:val="20"/>
        </w:rPr>
        <w:t xml:space="preserve">Na internetových stránkách našeho resortu jsou pravidelně zveřejňovány informace, které se směrnice EAA týkají: </w:t>
      </w:r>
      <w:hyperlink r:id="rId21" w:history="1">
        <w:r w:rsidRPr="00402A7F">
          <w:rPr>
            <w:rStyle w:val="Hypertextovodkaz"/>
            <w:rFonts w:cs="Arial"/>
            <w:sz w:val="20"/>
            <w:szCs w:val="20"/>
          </w:rPr>
          <w:t>https://www.mpo.cz/cz/podnikani/standardizace/pristupnost-vyrobku-a-sluzeb/</w:t>
        </w:r>
      </w:hyperlink>
      <w:r>
        <w:rPr>
          <w:rFonts w:cs="Arial"/>
          <w:sz w:val="20"/>
          <w:szCs w:val="20"/>
        </w:rPr>
        <w:t>.</w:t>
      </w:r>
    </w:p>
    <w:p w14:paraId="20866739" w14:textId="52BDA9DC" w:rsidR="00402A7F" w:rsidRPr="00402A7F" w:rsidRDefault="00402A7F" w:rsidP="00402A7F">
      <w:pPr>
        <w:rPr>
          <w:rFonts w:cs="Arial"/>
          <w:sz w:val="20"/>
          <w:szCs w:val="20"/>
        </w:rPr>
      </w:pPr>
      <w:r w:rsidRPr="00402A7F">
        <w:rPr>
          <w:rFonts w:cs="Arial"/>
          <w:sz w:val="20"/>
          <w:szCs w:val="20"/>
        </w:rPr>
        <w:t xml:space="preserve">Jedná se o zveřejněné návodné dokumenty jak pro spotřebitele, tak pro hospodářské subjekty. Dále jsou zde uvedeny informace o připravovaných technických normách, které se ke směrnici EAA vztahují, příklady možných řešení při zajišťování požadavků na přístupnost, prezentace k uvedené směrnici a informace o průběhu legislativního procesu, který se týkal připravovaného zákona. Vzhledem k tomu, že zákon již byl přijat, byla na internetové stránky vložena i tato informace. Podnikatelské subjekty byly dále informovány (např. prostřednictvím Hospodářské komory, Svazu průmyslu a dopravy ČR a dalších) o chystaném zákoně, jakož i návodných </w:t>
      </w:r>
      <w:proofErr w:type="gramStart"/>
      <w:r w:rsidRPr="00402A7F">
        <w:rPr>
          <w:rFonts w:cs="Arial"/>
          <w:sz w:val="20"/>
          <w:szCs w:val="20"/>
        </w:rPr>
        <w:t>dokumentech</w:t>
      </w:r>
      <w:proofErr w:type="gramEnd"/>
      <w:r w:rsidRPr="00402A7F">
        <w:rPr>
          <w:rFonts w:cs="Arial"/>
          <w:sz w:val="20"/>
          <w:szCs w:val="20"/>
        </w:rPr>
        <w:t xml:space="preserve">, které u této příležitosti byly zveřejněny. I nadále budou na uvedených internetových stránkách zveřejňovány veškeré aktuální informace k této problematice. O vývoji, pokud jde o zákon o požadavcích na přístupnost některých výrobků a služeb, byl také pravidelně informován VVOZP. </w:t>
      </w:r>
    </w:p>
    <w:p w14:paraId="1899EC3F" w14:textId="0C83A64C" w:rsidR="00AA7205" w:rsidRPr="00402A7F" w:rsidRDefault="00AA7205" w:rsidP="00402A7F">
      <w:pPr>
        <w:rPr>
          <w:rFonts w:cs="Arial"/>
          <w:sz w:val="20"/>
          <w:szCs w:val="20"/>
        </w:rPr>
      </w:pPr>
      <w:r w:rsidRPr="00402A7F">
        <w:rPr>
          <w:rFonts w:cs="Arial"/>
          <w:b/>
          <w:bCs/>
          <w:sz w:val="20"/>
          <w:szCs w:val="20"/>
          <w:lang w:eastAsia="cs-CZ"/>
        </w:rPr>
        <w:t>STANOVISKO K PLNĚNÍ:</w:t>
      </w:r>
      <w:r w:rsidR="000639FC" w:rsidRPr="00402A7F">
        <w:rPr>
          <w:rFonts w:cs="Arial"/>
          <w:b/>
          <w:bCs/>
          <w:sz w:val="20"/>
          <w:szCs w:val="20"/>
          <w:lang w:eastAsia="cs-CZ"/>
        </w:rPr>
        <w:t xml:space="preserve"> </w:t>
      </w:r>
      <w:r w:rsidR="000639FC" w:rsidRPr="00402A7F">
        <w:rPr>
          <w:rFonts w:cs="Arial"/>
          <w:b/>
          <w:sz w:val="20"/>
          <w:szCs w:val="20"/>
        </w:rPr>
        <w:t>Plněno.</w:t>
      </w:r>
    </w:p>
    <w:p w14:paraId="17751E99" w14:textId="77777777" w:rsidR="00AA7205" w:rsidRPr="007C5D8F" w:rsidRDefault="00AA7205" w:rsidP="007C5D8F">
      <w:pPr>
        <w:rPr>
          <w:rFonts w:cs="Arial"/>
          <w:sz w:val="20"/>
          <w:szCs w:val="20"/>
        </w:rPr>
      </w:pPr>
    </w:p>
    <w:p w14:paraId="7F6E8AD4" w14:textId="77777777" w:rsidR="00F17E74" w:rsidRPr="0057756D" w:rsidRDefault="00F17E74" w:rsidP="00F17E74">
      <w:pPr>
        <w:rPr>
          <w:rFonts w:cs="Arial"/>
          <w:szCs w:val="20"/>
        </w:rPr>
      </w:pPr>
      <w:r w:rsidRPr="0035060D">
        <w:rPr>
          <w:rFonts w:cs="Arial"/>
          <w:bCs/>
          <w:szCs w:val="20"/>
        </w:rPr>
        <w:t xml:space="preserve">Opatření </w:t>
      </w:r>
      <w:r>
        <w:rPr>
          <w:rFonts w:cs="Arial"/>
          <w:szCs w:val="20"/>
        </w:rPr>
        <w:t>1.3</w:t>
      </w:r>
      <w:r w:rsidRPr="0035060D">
        <w:rPr>
          <w:rFonts w:cs="Arial"/>
          <w:szCs w:val="20"/>
        </w:rPr>
        <w:t>.</w:t>
      </w:r>
      <w:r>
        <w:rPr>
          <w:rFonts w:cs="Arial"/>
          <w:szCs w:val="20"/>
        </w:rPr>
        <w:t>5</w:t>
      </w:r>
      <w:r w:rsidRPr="0035060D">
        <w:rPr>
          <w:rFonts w:cs="Arial"/>
          <w:szCs w:val="20"/>
        </w:rPr>
        <w:t xml:space="preserve"> </w:t>
      </w:r>
      <w:r w:rsidRPr="0057756D">
        <w:rPr>
          <w:rFonts w:cs="Arial"/>
          <w:szCs w:val="20"/>
        </w:rPr>
        <w:t>Podporovat výzkum a vývoj výrobků, služeb, vybavení a zařízení navrhovaných v souladu s pravidly univer</w:t>
      </w:r>
      <w:r>
        <w:rPr>
          <w:rFonts w:cs="Arial"/>
          <w:szCs w:val="20"/>
        </w:rPr>
        <w:t>z</w:t>
      </w:r>
      <w:r w:rsidRPr="0057756D">
        <w:rPr>
          <w:rFonts w:cs="Arial"/>
          <w:szCs w:val="20"/>
        </w:rPr>
        <w:t>álního designu a nových technologií</w:t>
      </w:r>
      <w:r w:rsidR="00C93C76">
        <w:rPr>
          <w:rFonts w:cs="Arial"/>
          <w:szCs w:val="20"/>
        </w:rPr>
        <w:t>,</w:t>
      </w:r>
      <w:r w:rsidRPr="0057756D">
        <w:rPr>
          <w:rFonts w:cs="Arial"/>
          <w:szCs w:val="20"/>
        </w:rPr>
        <w:t xml:space="preserve"> včetně informační</w:t>
      </w:r>
      <w:r>
        <w:rPr>
          <w:rFonts w:cs="Arial"/>
          <w:szCs w:val="20"/>
        </w:rPr>
        <w:t>ch a komunikačních</w:t>
      </w:r>
      <w:r w:rsidR="00C93C76">
        <w:rPr>
          <w:rFonts w:cs="Arial"/>
          <w:szCs w:val="20"/>
        </w:rPr>
        <w:t>,</w:t>
      </w:r>
      <w:r>
        <w:rPr>
          <w:rFonts w:cs="Arial"/>
          <w:szCs w:val="20"/>
        </w:rPr>
        <w:t xml:space="preserve"> </w:t>
      </w:r>
      <w:r w:rsidRPr="0057756D">
        <w:rPr>
          <w:rFonts w:cs="Arial"/>
          <w:szCs w:val="20"/>
        </w:rPr>
        <w:t>vhodných pro osoby se zdravotním postižením.</w:t>
      </w:r>
    </w:p>
    <w:p w14:paraId="4ED0E558" w14:textId="77777777" w:rsidR="00F17E74" w:rsidRPr="0057756D" w:rsidRDefault="00F17E74" w:rsidP="00F17E74">
      <w:pPr>
        <w:rPr>
          <w:rFonts w:cs="Arial"/>
          <w:szCs w:val="20"/>
        </w:rPr>
      </w:pPr>
      <w:r w:rsidRPr="0057756D">
        <w:rPr>
          <w:rFonts w:cs="Arial"/>
          <w:szCs w:val="20"/>
        </w:rPr>
        <w:t>Termín: průběžně</w:t>
      </w:r>
    </w:p>
    <w:p w14:paraId="3EFB4466" w14:textId="77777777" w:rsidR="00F17E74" w:rsidRPr="0057756D" w:rsidRDefault="00F17E74" w:rsidP="00F17E74">
      <w:pPr>
        <w:rPr>
          <w:rFonts w:cs="Arial"/>
          <w:szCs w:val="20"/>
        </w:rPr>
      </w:pPr>
      <w:r w:rsidRPr="0057756D">
        <w:rPr>
          <w:rFonts w:cs="Arial"/>
          <w:szCs w:val="20"/>
        </w:rPr>
        <w:t>Gestor: MPO</w:t>
      </w:r>
    </w:p>
    <w:p w14:paraId="487BD851" w14:textId="5B7816D5" w:rsidR="00F17E74" w:rsidRDefault="00F17E74" w:rsidP="00FB4A5E">
      <w:pPr>
        <w:rPr>
          <w:rFonts w:cs="Arial"/>
          <w:szCs w:val="20"/>
        </w:rPr>
      </w:pPr>
      <w:r>
        <w:rPr>
          <w:rFonts w:cs="Arial"/>
          <w:szCs w:val="20"/>
        </w:rPr>
        <w:t xml:space="preserve">Indikátor: Výzkum a vývoj těchto výrobků, služeb a technologií je podporován. </w:t>
      </w:r>
    </w:p>
    <w:p w14:paraId="2910D3A1" w14:textId="77777777" w:rsidR="00FB4A5E" w:rsidRPr="00F8470E" w:rsidRDefault="00FB4A5E" w:rsidP="00F8470E">
      <w:pPr>
        <w:rPr>
          <w:rFonts w:cs="Arial"/>
          <w:sz w:val="20"/>
          <w:szCs w:val="20"/>
        </w:rPr>
      </w:pPr>
    </w:p>
    <w:p w14:paraId="4A126DC9" w14:textId="4AD382D1" w:rsidR="00A019FA" w:rsidRPr="00F8470E" w:rsidRDefault="00A019FA" w:rsidP="00F8470E">
      <w:pPr>
        <w:tabs>
          <w:tab w:val="left" w:pos="720"/>
        </w:tabs>
        <w:rPr>
          <w:rFonts w:cs="Arial"/>
          <w:b/>
          <w:bCs/>
          <w:sz w:val="20"/>
          <w:szCs w:val="20"/>
          <w:lang w:eastAsia="cs-CZ"/>
        </w:rPr>
      </w:pPr>
      <w:r w:rsidRPr="00F8470E">
        <w:rPr>
          <w:rFonts w:cs="Arial"/>
          <w:b/>
          <w:bCs/>
          <w:sz w:val="20"/>
          <w:szCs w:val="20"/>
          <w:lang w:eastAsia="cs-CZ"/>
        </w:rPr>
        <w:t>PLNĚNÍ MPO:</w:t>
      </w:r>
    </w:p>
    <w:p w14:paraId="75902C7B" w14:textId="77777777" w:rsidR="00F8470E" w:rsidRPr="00F8470E" w:rsidRDefault="00F8470E" w:rsidP="00F8470E">
      <w:pPr>
        <w:rPr>
          <w:sz w:val="20"/>
          <w:szCs w:val="20"/>
        </w:rPr>
      </w:pPr>
      <w:r w:rsidRPr="00F8470E">
        <w:rPr>
          <w:sz w:val="20"/>
          <w:szCs w:val="20"/>
        </w:rPr>
        <w:t>Usnesením vlády ČR č. 422 ze dne 14. června 2023 byla schválena Národní politika kvality ČR pro roky 2023–2030 zpracovaná Radou kvality ČR, která vyjadřuje záměry a zaměření vlády ČR ve vztahu ke kvalitě, podporuje a propaguje kvalitu života občanů, udržitelnost a konkurenceschopnost ČR. Předsedou Rady kvality je vrchní ředitel sekce hospodářství, sekretariát Rady kvality je v gesci odboru podnikatelského prostředí a obchodního podnikání.</w:t>
      </w:r>
    </w:p>
    <w:p w14:paraId="37076438" w14:textId="4FA25634" w:rsidR="00F8470E" w:rsidRPr="00F8470E" w:rsidRDefault="00F8470E" w:rsidP="00F8470E">
      <w:pPr>
        <w:rPr>
          <w:sz w:val="20"/>
          <w:szCs w:val="20"/>
        </w:rPr>
      </w:pPr>
      <w:r w:rsidRPr="00F8470E">
        <w:rPr>
          <w:sz w:val="20"/>
          <w:szCs w:val="20"/>
        </w:rPr>
        <w:t>Mezi komplexní záměry kvality NPK ČR 2030, které mají působno</w:t>
      </w:r>
      <w:r w:rsidR="008F3ABD">
        <w:rPr>
          <w:sz w:val="20"/>
          <w:szCs w:val="20"/>
        </w:rPr>
        <w:t>st přes všechny „oblasti života</w:t>
      </w:r>
      <w:r w:rsidRPr="00F8470E">
        <w:rPr>
          <w:sz w:val="20"/>
          <w:szCs w:val="20"/>
        </w:rPr>
        <w:t xml:space="preserve">“ (vzdělávání, průmysl, stavebnictví, životní prostředí, práce a služby sociálního začleňování, ochrana spotřebitele, zdravotnictví apod.), byla z důvodu plnění opatření 1.3.5 zařazena </w:t>
      </w:r>
      <w:r w:rsidRPr="00582096">
        <w:rPr>
          <w:sz w:val="20"/>
          <w:szCs w:val="20"/>
        </w:rPr>
        <w:t xml:space="preserve">Podpora osob se </w:t>
      </w:r>
      <w:r w:rsidRPr="00582096">
        <w:rPr>
          <w:sz w:val="20"/>
          <w:szCs w:val="20"/>
        </w:rPr>
        <w:lastRenderedPageBreak/>
        <w:t>specifickými potřebami: „Přispívat k rozvoji soudržné společnosti bez sociálního vylučování</w:t>
      </w:r>
      <w:r w:rsidRPr="00F8470E">
        <w:rPr>
          <w:sz w:val="20"/>
          <w:szCs w:val="20"/>
        </w:rPr>
        <w:t>, v níž příležitost k zapojení na trhu práce a tím i k důstojnému životu dostává každý občan, systematickým předcházením a odstraňováním nebezpečí sociálního vyloučení občanů, kvalitním vzděláváním reagujícím na potřeby trhu práce a efektivním systémem sociální ochrany</w:t>
      </w:r>
      <w:bookmarkStart w:id="12" w:name="_Hlk61439105"/>
      <w:r w:rsidRPr="00F8470E">
        <w:rPr>
          <w:sz w:val="20"/>
          <w:szCs w:val="20"/>
        </w:rPr>
        <w:t xml:space="preserve"> a prosazovat rovné příležitosti pro osoby se zdravotním postižením. Stimulovat výrobce a poskytovatele služeb, aby na trh uváděli produkty (výrobky a služby) splňující i zásady univerzálního designu a užití. Směrovat je, aby během výzkumu a vývoje svých produktů jednaly v souladu s těmito zásadami, a zároveň využívaly přínosy nových technologií ve prospěch osob se zdravotním postižením.</w:t>
      </w:r>
      <w:bookmarkEnd w:id="12"/>
      <w:r w:rsidRPr="00F8470E">
        <w:rPr>
          <w:sz w:val="20"/>
          <w:szCs w:val="20"/>
        </w:rPr>
        <w:t>“</w:t>
      </w:r>
    </w:p>
    <w:p w14:paraId="319C83CC" w14:textId="77777777" w:rsidR="00F8470E" w:rsidRPr="00F8470E" w:rsidRDefault="00F8470E" w:rsidP="00F8470E">
      <w:pPr>
        <w:rPr>
          <w:sz w:val="20"/>
          <w:szCs w:val="20"/>
        </w:rPr>
      </w:pPr>
      <w:r w:rsidRPr="00F8470E">
        <w:rPr>
          <w:sz w:val="20"/>
          <w:szCs w:val="20"/>
        </w:rPr>
        <w:t>Záměry kvality NPK ČR 2030 všech 16 „oblastí života“ nadto uvažují opatření Národního plánu rovných příležitostí pro osoby se zdravotním postižením, např.:</w:t>
      </w:r>
    </w:p>
    <w:p w14:paraId="5C78FF93" w14:textId="708154CB" w:rsidR="00F8470E" w:rsidRPr="00F8470E" w:rsidRDefault="00F8470E" w:rsidP="00F8470E">
      <w:pPr>
        <w:pStyle w:val="Odstavecseseznamem"/>
        <w:numPr>
          <w:ilvl w:val="0"/>
          <w:numId w:val="17"/>
        </w:numPr>
        <w:contextualSpacing w:val="0"/>
        <w:rPr>
          <w:sz w:val="20"/>
          <w:szCs w:val="20"/>
        </w:rPr>
      </w:pPr>
      <w:r w:rsidRPr="00582096">
        <w:rPr>
          <w:sz w:val="20"/>
          <w:szCs w:val="20"/>
        </w:rPr>
        <w:t>Kvalitní vzdělání pro každého občana na základě rovných příležitostí: Poskytování vzdělávání ve všech stupních vzdělávací soustavy s přiměřenou úpravou</w:t>
      </w:r>
      <w:r w:rsidRPr="00F8470E">
        <w:rPr>
          <w:sz w:val="20"/>
          <w:szCs w:val="20"/>
        </w:rPr>
        <w:t xml:space="preserve"> a s přihlédnutím na individuální potřeby osob se zdravotním postižením tak, aby mohly plně ro</w:t>
      </w:r>
      <w:r w:rsidR="00637531">
        <w:rPr>
          <w:sz w:val="20"/>
          <w:szCs w:val="20"/>
        </w:rPr>
        <w:t>zvíjet svůj potenciál, nadání a </w:t>
      </w:r>
      <w:r w:rsidRPr="00F8470E">
        <w:rPr>
          <w:sz w:val="20"/>
          <w:szCs w:val="20"/>
        </w:rPr>
        <w:t>kreativitu a účinně se zapojily do života společnosti.</w:t>
      </w:r>
    </w:p>
    <w:p w14:paraId="28F19BC5" w14:textId="77777777" w:rsidR="00F8470E" w:rsidRPr="00582096" w:rsidRDefault="00F8470E" w:rsidP="00F8470E">
      <w:pPr>
        <w:pStyle w:val="Odstavecseseznamem"/>
        <w:numPr>
          <w:ilvl w:val="0"/>
          <w:numId w:val="17"/>
        </w:numPr>
        <w:contextualSpacing w:val="0"/>
        <w:rPr>
          <w:sz w:val="20"/>
          <w:szCs w:val="20"/>
        </w:rPr>
      </w:pPr>
      <w:r w:rsidRPr="00582096">
        <w:rPr>
          <w:sz w:val="20"/>
          <w:szCs w:val="20"/>
        </w:rPr>
        <w:t xml:space="preserve">Podpora deinstitucionalizace služeb sociálního začleňování osob se specifickými potřebami: Podpora „péče poskytované v přirozeném prostředí“ pro osoby se specifickými potřebami, a to podporou procesu transformace ústavních sociálních služeb. </w:t>
      </w:r>
    </w:p>
    <w:p w14:paraId="6CB70938" w14:textId="08C9C005" w:rsidR="00F8470E" w:rsidRPr="00F8470E" w:rsidRDefault="00F8470E" w:rsidP="00F8470E">
      <w:pPr>
        <w:rPr>
          <w:sz w:val="20"/>
          <w:szCs w:val="20"/>
        </w:rPr>
      </w:pPr>
      <w:r w:rsidRPr="00F8470E">
        <w:rPr>
          <w:sz w:val="20"/>
          <w:szCs w:val="20"/>
        </w:rPr>
        <w:t xml:space="preserve">MPO/Rada kvality ČR každoročně organizuje </w:t>
      </w:r>
      <w:r w:rsidRPr="00AC0630">
        <w:rPr>
          <w:sz w:val="20"/>
          <w:szCs w:val="20"/>
        </w:rPr>
        <w:t xml:space="preserve">celostátní </w:t>
      </w:r>
      <w:r w:rsidRPr="00AC0630">
        <w:rPr>
          <w:bCs/>
          <w:sz w:val="20"/>
          <w:szCs w:val="20"/>
        </w:rPr>
        <w:t>Národní cenu kvality ČR a Národní cenu ČR za společenskou odpovědnost a udržitelný rozvoj,</w:t>
      </w:r>
      <w:r w:rsidRPr="00AC0630">
        <w:rPr>
          <w:sz w:val="20"/>
          <w:szCs w:val="20"/>
        </w:rPr>
        <w:t xml:space="preserve"> a regionální ocenění </w:t>
      </w:r>
      <w:r w:rsidRPr="00AC0630">
        <w:rPr>
          <w:bCs/>
          <w:sz w:val="20"/>
          <w:szCs w:val="20"/>
        </w:rPr>
        <w:t>Cenu hejtmana za společenskou odpovědnost.</w:t>
      </w:r>
      <w:r w:rsidRPr="00AC0630">
        <w:rPr>
          <w:sz w:val="20"/>
          <w:szCs w:val="20"/>
        </w:rPr>
        <w:t xml:space="preserve"> Všechna uvedená ocenění</w:t>
      </w:r>
      <w:r w:rsidRPr="00F8470E">
        <w:rPr>
          <w:sz w:val="20"/>
          <w:szCs w:val="20"/>
        </w:rPr>
        <w:t xml:space="preserve"> mají několik společných kritérií, která jsou podkladem k hodnocení společensky odpovědného a udržiteln</w:t>
      </w:r>
      <w:r w:rsidR="00637531">
        <w:rPr>
          <w:sz w:val="20"/>
          <w:szCs w:val="20"/>
        </w:rPr>
        <w:t>ého chování organizací, a tím i </w:t>
      </w:r>
      <w:r w:rsidRPr="00F8470E">
        <w:rPr>
          <w:sz w:val="20"/>
          <w:szCs w:val="20"/>
        </w:rPr>
        <w:t>k posouzení stavu jejich péče o osoby se specifickými potřebami. Tyto ocenění hledají plnění sociálních témat/činností v organizacemi uplatňovaných systémech řízení. Na základě zjištění uvedených ve Zprávách hodnotitelů můžeme objektivně dol</w:t>
      </w:r>
      <w:r w:rsidR="00637531">
        <w:rPr>
          <w:sz w:val="20"/>
          <w:szCs w:val="20"/>
        </w:rPr>
        <w:t>ožit, že organizace veřejného a </w:t>
      </w:r>
      <w:r w:rsidRPr="00F8470E">
        <w:rPr>
          <w:sz w:val="20"/>
          <w:szCs w:val="20"/>
        </w:rPr>
        <w:t xml:space="preserve">soukromého sektoru plní témata sociálního pilíře společenské odpovědnosti/udržitelnosti nejméně dle požadavků právních a jiných předpisů. MPO/Rada kvality dále organizuje </w:t>
      </w:r>
      <w:r w:rsidRPr="00AC0630">
        <w:rPr>
          <w:bCs/>
          <w:sz w:val="20"/>
          <w:szCs w:val="20"/>
        </w:rPr>
        <w:t xml:space="preserve">Národní program Česká kvalita. </w:t>
      </w:r>
      <w:r w:rsidRPr="00AC0630">
        <w:rPr>
          <w:sz w:val="20"/>
          <w:szCs w:val="20"/>
        </w:rPr>
        <w:t>V rámci Národního programu je posuzována kvalita výrobků a služeb, a tím mj</w:t>
      </w:r>
      <w:r w:rsidRPr="00F8470E">
        <w:rPr>
          <w:sz w:val="20"/>
          <w:szCs w:val="20"/>
        </w:rPr>
        <w:t xml:space="preserve">. i plnění zásad univerzálního designu a užití. </w:t>
      </w:r>
    </w:p>
    <w:p w14:paraId="2F4E74E7" w14:textId="4580811B" w:rsidR="00F8470E" w:rsidRPr="00F8470E" w:rsidRDefault="00F8470E" w:rsidP="00F8470E">
      <w:pPr>
        <w:rPr>
          <w:sz w:val="20"/>
          <w:szCs w:val="20"/>
        </w:rPr>
      </w:pPr>
      <w:r w:rsidRPr="00F8470E">
        <w:rPr>
          <w:sz w:val="20"/>
          <w:szCs w:val="20"/>
        </w:rPr>
        <w:t>Oddělení Rady kvality ČR /31730/ je současně Sekretariátem Rady kvality ČR. Těžištěm práce tohoto organizačního útvaru je plošné zvyšování povědomí o kvalitě, společenské odpovědnosti a udržitelnosti v organizacích. Zvyšování povědomí o tématech a kritériích sociálního pilíře společenské odpovědnosti/udržitelnosti, který se věnuje mj. i podpoře osob se specifickými potřebami.</w:t>
      </w:r>
    </w:p>
    <w:p w14:paraId="718A568C" w14:textId="297C6C1A" w:rsidR="00A019FA" w:rsidRPr="00F8470E" w:rsidRDefault="00A019FA" w:rsidP="00F8470E">
      <w:pPr>
        <w:rPr>
          <w:rFonts w:cs="Arial"/>
          <w:sz w:val="20"/>
          <w:szCs w:val="20"/>
        </w:rPr>
      </w:pPr>
      <w:r w:rsidRPr="00F8470E">
        <w:rPr>
          <w:rFonts w:cs="Arial"/>
          <w:b/>
          <w:bCs/>
          <w:sz w:val="20"/>
          <w:szCs w:val="20"/>
          <w:lang w:eastAsia="cs-CZ"/>
        </w:rPr>
        <w:t>STANOVISKO K PLNĚNÍ:</w:t>
      </w:r>
      <w:r w:rsidR="00CC4766" w:rsidRPr="00F8470E">
        <w:rPr>
          <w:rFonts w:cs="Arial"/>
          <w:b/>
          <w:bCs/>
          <w:sz w:val="20"/>
          <w:szCs w:val="20"/>
          <w:lang w:eastAsia="cs-CZ"/>
        </w:rPr>
        <w:t xml:space="preserve"> </w:t>
      </w:r>
      <w:r w:rsidR="00CC4766" w:rsidRPr="00F8470E">
        <w:rPr>
          <w:rFonts w:cs="Arial"/>
          <w:b/>
          <w:sz w:val="20"/>
          <w:szCs w:val="20"/>
        </w:rPr>
        <w:t>Plněno.</w:t>
      </w:r>
    </w:p>
    <w:p w14:paraId="2AF73F44" w14:textId="77777777" w:rsidR="00A019FA" w:rsidRPr="00F46608" w:rsidRDefault="00A019FA" w:rsidP="00F46608">
      <w:pPr>
        <w:rPr>
          <w:rFonts w:cs="Arial"/>
          <w:sz w:val="20"/>
          <w:szCs w:val="20"/>
        </w:rPr>
      </w:pPr>
    </w:p>
    <w:p w14:paraId="52267E68" w14:textId="16BB8071" w:rsidR="00F17E74" w:rsidRPr="0057756D" w:rsidRDefault="00F17E74" w:rsidP="00FB4A5E">
      <w:pPr>
        <w:rPr>
          <w:rFonts w:cs="Arial"/>
          <w:b/>
          <w:bCs/>
          <w:szCs w:val="20"/>
        </w:rPr>
      </w:pPr>
      <w:r>
        <w:rPr>
          <w:rFonts w:cs="Arial"/>
          <w:b/>
          <w:bCs/>
          <w:szCs w:val="20"/>
        </w:rPr>
        <w:t xml:space="preserve">1.4 </w:t>
      </w:r>
      <w:r w:rsidRPr="0057756D">
        <w:rPr>
          <w:rFonts w:cs="Arial"/>
          <w:b/>
          <w:bCs/>
          <w:szCs w:val="20"/>
        </w:rPr>
        <w:t xml:space="preserve">Cíl: </w:t>
      </w:r>
      <w:r w:rsidRPr="00E54831">
        <w:rPr>
          <w:rFonts w:cs="Arial"/>
          <w:b/>
          <w:szCs w:val="20"/>
        </w:rPr>
        <w:t>Zvyšování</w:t>
      </w:r>
      <w:r w:rsidRPr="00A02688">
        <w:rPr>
          <w:rFonts w:cs="Arial"/>
          <w:b/>
          <w:bCs/>
          <w:szCs w:val="20"/>
        </w:rPr>
        <w:t xml:space="preserve"> povědomí o tématu zdravotního postižení</w:t>
      </w:r>
      <w:r>
        <w:rPr>
          <w:rFonts w:cs="Arial"/>
          <w:b/>
          <w:bCs/>
          <w:szCs w:val="20"/>
        </w:rPr>
        <w:t xml:space="preserve"> a</w:t>
      </w:r>
      <w:r w:rsidR="00C402D4">
        <w:rPr>
          <w:rFonts w:cs="Arial"/>
          <w:b/>
          <w:bCs/>
          <w:szCs w:val="20"/>
        </w:rPr>
        <w:t xml:space="preserve"> o ochraně před </w:t>
      </w:r>
      <w:r w:rsidRPr="00A02688">
        <w:rPr>
          <w:rFonts w:cs="Arial"/>
          <w:b/>
          <w:bCs/>
          <w:szCs w:val="20"/>
        </w:rPr>
        <w:t>diskriminací.</w:t>
      </w:r>
    </w:p>
    <w:p w14:paraId="19E449EE" w14:textId="2C74D03C" w:rsidR="00F17E74" w:rsidRPr="0057756D" w:rsidRDefault="00F17E74" w:rsidP="00F17E74">
      <w:pPr>
        <w:rPr>
          <w:rFonts w:cs="Arial"/>
          <w:szCs w:val="20"/>
        </w:rPr>
      </w:pPr>
      <w:r w:rsidRPr="0035060D">
        <w:rPr>
          <w:rFonts w:cs="Arial"/>
          <w:bCs/>
          <w:szCs w:val="20"/>
        </w:rPr>
        <w:t xml:space="preserve">Opatření </w:t>
      </w:r>
      <w:r>
        <w:rPr>
          <w:rFonts w:cs="Arial"/>
          <w:szCs w:val="20"/>
        </w:rPr>
        <w:t>1.4</w:t>
      </w:r>
      <w:r w:rsidRPr="0035060D">
        <w:rPr>
          <w:rFonts w:cs="Arial"/>
          <w:szCs w:val="20"/>
        </w:rPr>
        <w:t>.</w:t>
      </w:r>
      <w:r>
        <w:rPr>
          <w:rFonts w:cs="Arial"/>
          <w:szCs w:val="20"/>
        </w:rPr>
        <w:t>1</w:t>
      </w:r>
      <w:r w:rsidRPr="0035060D">
        <w:rPr>
          <w:rFonts w:cs="Arial"/>
          <w:szCs w:val="20"/>
        </w:rPr>
        <w:t xml:space="preserve"> </w:t>
      </w:r>
      <w:r w:rsidRPr="0057756D">
        <w:rPr>
          <w:rFonts w:cs="Arial"/>
          <w:szCs w:val="20"/>
        </w:rPr>
        <w:t>Vyhlašovat Cenu VVOZP za publicistické práce zaměřené</w:t>
      </w:r>
      <w:r w:rsidR="009408F5">
        <w:rPr>
          <w:rFonts w:cs="Arial"/>
          <w:szCs w:val="20"/>
        </w:rPr>
        <w:t xml:space="preserve"> na téma zdravotního postižení.</w:t>
      </w:r>
    </w:p>
    <w:p w14:paraId="65F4DEAA" w14:textId="07C189B6" w:rsidR="00F17E74" w:rsidRPr="0057756D" w:rsidRDefault="009408F5" w:rsidP="00F17E74">
      <w:pPr>
        <w:rPr>
          <w:rFonts w:cs="Arial"/>
          <w:szCs w:val="20"/>
        </w:rPr>
      </w:pPr>
      <w:r>
        <w:rPr>
          <w:rFonts w:cs="Arial"/>
          <w:szCs w:val="20"/>
        </w:rPr>
        <w:t>Termín: průběžně</w:t>
      </w:r>
    </w:p>
    <w:p w14:paraId="7E0F0A3A" w14:textId="77777777" w:rsidR="00F17E74" w:rsidRPr="0057756D" w:rsidRDefault="00F17E74" w:rsidP="00F17E74">
      <w:pPr>
        <w:rPr>
          <w:rFonts w:cs="Arial"/>
          <w:szCs w:val="20"/>
        </w:rPr>
      </w:pPr>
      <w:r w:rsidRPr="0057756D">
        <w:rPr>
          <w:rFonts w:cs="Arial"/>
          <w:szCs w:val="20"/>
        </w:rPr>
        <w:t>Gestor: VVOZP</w:t>
      </w:r>
    </w:p>
    <w:p w14:paraId="2208578C" w14:textId="511E014D" w:rsidR="00F17E74" w:rsidRDefault="00F17E74" w:rsidP="00D16C0E">
      <w:pPr>
        <w:rPr>
          <w:rFonts w:cs="Arial"/>
          <w:szCs w:val="20"/>
        </w:rPr>
      </w:pPr>
      <w:r w:rsidRPr="00646485">
        <w:rPr>
          <w:rFonts w:cs="Arial"/>
          <w:szCs w:val="20"/>
        </w:rPr>
        <w:t xml:space="preserve">Indikátor: Cena VVOZP za publicistické práce zaměřené na téma zdravotního postižení byla v daném roce vyhlášena. </w:t>
      </w:r>
    </w:p>
    <w:p w14:paraId="0724D9D7" w14:textId="77777777" w:rsidR="00D16C0E" w:rsidRDefault="00D16C0E" w:rsidP="00D16C0E">
      <w:pPr>
        <w:rPr>
          <w:rFonts w:cs="Arial"/>
          <w:szCs w:val="20"/>
        </w:rPr>
      </w:pPr>
    </w:p>
    <w:p w14:paraId="04A2EB7A" w14:textId="1E81A047" w:rsidR="00234A31" w:rsidRDefault="00234A31" w:rsidP="00D16C0E">
      <w:pPr>
        <w:tabs>
          <w:tab w:val="left" w:pos="720"/>
        </w:tabs>
        <w:rPr>
          <w:rFonts w:cs="Arial"/>
          <w:b/>
          <w:bCs/>
          <w:sz w:val="20"/>
          <w:szCs w:val="20"/>
          <w:lang w:eastAsia="cs-CZ"/>
        </w:rPr>
      </w:pPr>
      <w:r w:rsidRPr="00833CD2">
        <w:rPr>
          <w:rFonts w:cs="Arial"/>
          <w:b/>
          <w:bCs/>
          <w:sz w:val="20"/>
          <w:szCs w:val="20"/>
          <w:lang w:eastAsia="cs-CZ"/>
        </w:rPr>
        <w:t>PLNĚNÍ VVOZP:</w:t>
      </w:r>
    </w:p>
    <w:p w14:paraId="055C61BD" w14:textId="58D44DD7" w:rsidR="005646B5" w:rsidRPr="00762A87" w:rsidRDefault="005646B5" w:rsidP="005646B5">
      <w:pPr>
        <w:tabs>
          <w:tab w:val="num" w:pos="-993"/>
        </w:tabs>
        <w:rPr>
          <w:rFonts w:cs="Arial"/>
          <w:sz w:val="20"/>
          <w:szCs w:val="20"/>
        </w:rPr>
      </w:pPr>
      <w:r w:rsidRPr="00762A87">
        <w:rPr>
          <w:rFonts w:cs="Arial"/>
          <w:sz w:val="20"/>
          <w:szCs w:val="20"/>
        </w:rPr>
        <w:t xml:space="preserve">V roce 2023 byl vyhlášen a realizován XXX. ročník Ceny </w:t>
      </w:r>
      <w:r w:rsidRPr="00762A87">
        <w:rPr>
          <w:rFonts w:cs="Arial"/>
          <w:bCs/>
          <w:sz w:val="20"/>
          <w:szCs w:val="20"/>
        </w:rPr>
        <w:t>VVOZP za publicistické práce zaměřené na téma zdravotního postižení</w:t>
      </w:r>
      <w:r w:rsidRPr="00762A87">
        <w:rPr>
          <w:rFonts w:cs="Arial"/>
          <w:sz w:val="20"/>
          <w:szCs w:val="20"/>
        </w:rPr>
        <w:t>. Práce byly posuzovány ve třech kate</w:t>
      </w:r>
      <w:r w:rsidR="00637531">
        <w:rPr>
          <w:rFonts w:cs="Arial"/>
          <w:sz w:val="20"/>
          <w:szCs w:val="20"/>
        </w:rPr>
        <w:t>goriích – rozhlasové, tiskové a </w:t>
      </w:r>
      <w:r w:rsidRPr="00762A87">
        <w:rPr>
          <w:rFonts w:cs="Arial"/>
          <w:sz w:val="20"/>
          <w:szCs w:val="20"/>
        </w:rPr>
        <w:t xml:space="preserve">televizní, všechny tři kategorie umožňovaly publikovat díla také prostřednictvím internetu. K posuzování bylo přijato </w:t>
      </w:r>
      <w:r w:rsidRPr="0008015B">
        <w:rPr>
          <w:rFonts w:cs="Arial"/>
          <w:sz w:val="20"/>
          <w:szCs w:val="20"/>
        </w:rPr>
        <w:t>celkem 58</w:t>
      </w:r>
      <w:r w:rsidRPr="00762A87">
        <w:rPr>
          <w:rFonts w:cs="Arial"/>
          <w:sz w:val="20"/>
          <w:szCs w:val="20"/>
        </w:rPr>
        <w:t xml:space="preserve"> publicistických děl.</w:t>
      </w:r>
    </w:p>
    <w:p w14:paraId="441E30B4" w14:textId="77777777" w:rsidR="005646B5" w:rsidRPr="00762A87" w:rsidRDefault="005646B5" w:rsidP="005646B5">
      <w:pPr>
        <w:ind w:right="-1"/>
        <w:rPr>
          <w:rFonts w:cs="Arial"/>
          <w:sz w:val="20"/>
          <w:szCs w:val="20"/>
        </w:rPr>
      </w:pPr>
      <w:r w:rsidRPr="00762A87">
        <w:rPr>
          <w:rFonts w:cs="Arial"/>
          <w:sz w:val="20"/>
          <w:szCs w:val="20"/>
        </w:rPr>
        <w:t xml:space="preserve">Přihlášené práce posuzovala šestičlenná nezávislá porota, každou kategorii hodnotili vždy 2 porotci. Hlavním kritériem při posuzování bylo to, jak může přihlášená práce oslovit širokou veřejnost, </w:t>
      </w:r>
      <w:r w:rsidRPr="00762A87">
        <w:rPr>
          <w:rFonts w:cs="Arial"/>
          <w:sz w:val="20"/>
          <w:szCs w:val="20"/>
        </w:rPr>
        <w:lastRenderedPageBreak/>
        <w:t xml:space="preserve">seznámit ji s tématem zdravotního postižení a pozitivně ovlivnit její přístup k lidem se zdravotním postižením. </w:t>
      </w:r>
    </w:p>
    <w:p w14:paraId="553F4733" w14:textId="77777777" w:rsidR="005646B5" w:rsidRPr="00A83F38" w:rsidRDefault="005646B5" w:rsidP="005646B5">
      <w:pPr>
        <w:rPr>
          <w:rFonts w:cs="Arial"/>
          <w:caps/>
          <w:sz w:val="20"/>
          <w:szCs w:val="20"/>
        </w:rPr>
      </w:pPr>
      <w:r w:rsidRPr="00A83F38">
        <w:rPr>
          <w:rFonts w:cs="Arial"/>
          <w:bCs/>
          <w:sz w:val="20"/>
          <w:szCs w:val="20"/>
        </w:rPr>
        <w:t xml:space="preserve">V tiskové kategorii zvítězila </w:t>
      </w:r>
      <w:r w:rsidRPr="00A83F38">
        <w:rPr>
          <w:rFonts w:cs="Arial"/>
          <w:sz w:val="20"/>
          <w:szCs w:val="20"/>
        </w:rPr>
        <w:t>Linda Albrechtová s článkem Životní příběh prakticky nevidomé ženy.</w:t>
      </w:r>
      <w:r w:rsidRPr="00A83F38">
        <w:rPr>
          <w:rFonts w:cs="Arial"/>
          <w:bCs/>
          <w:sz w:val="20"/>
          <w:szCs w:val="20"/>
        </w:rPr>
        <w:t xml:space="preserve"> V televizní kategorii zvítězil Ivan Crnac za film </w:t>
      </w:r>
      <w:r w:rsidRPr="00A83F38">
        <w:rPr>
          <w:rFonts w:cs="Arial"/>
          <w:sz w:val="20"/>
          <w:szCs w:val="20"/>
        </w:rPr>
        <w:t>Filmové akademie Miroslava Ondříčka v Písku Jsem</w:t>
      </w:r>
      <w:r w:rsidRPr="00A83F38">
        <w:rPr>
          <w:rFonts w:cs="Arial"/>
          <w:caps/>
          <w:sz w:val="20"/>
          <w:szCs w:val="20"/>
        </w:rPr>
        <w:t xml:space="preserve"> CODA (2023). </w:t>
      </w:r>
      <w:r w:rsidRPr="00A83F38">
        <w:rPr>
          <w:rFonts w:cs="Arial"/>
          <w:bCs/>
          <w:sz w:val="20"/>
          <w:szCs w:val="20"/>
        </w:rPr>
        <w:t>V rozhlasové kategorii zvítězili Radek Pavlíček a Ondřej Pohl</w:t>
      </w:r>
      <w:r w:rsidRPr="00A83F38">
        <w:rPr>
          <w:rFonts w:cs="Arial"/>
          <w:sz w:val="20"/>
          <w:szCs w:val="20"/>
        </w:rPr>
        <w:t xml:space="preserve"> za Podcast Bez bariér zveřejněný na www.youtube.com.</w:t>
      </w:r>
    </w:p>
    <w:p w14:paraId="1FDD7862" w14:textId="4FD0BABC" w:rsidR="00833CD2" w:rsidRPr="00833CD2" w:rsidRDefault="005646B5" w:rsidP="00833CD2">
      <w:pPr>
        <w:rPr>
          <w:rFonts w:cs="Arial"/>
          <w:sz w:val="20"/>
          <w:szCs w:val="20"/>
        </w:rPr>
      </w:pPr>
      <w:r w:rsidRPr="00C027D0">
        <w:rPr>
          <w:rFonts w:cs="Arial"/>
          <w:sz w:val="20"/>
          <w:szCs w:val="20"/>
        </w:rPr>
        <w:t xml:space="preserve">Vyhlášení výsledků a </w:t>
      </w:r>
      <w:r w:rsidRPr="00C027D0">
        <w:rPr>
          <w:rFonts w:eastAsia="Arial" w:cs="Arial"/>
          <w:sz w:val="20"/>
          <w:szCs w:val="20"/>
          <w:lang w:val="cs"/>
        </w:rPr>
        <w:t xml:space="preserve">předávání ocenění autorkám a autorům publicistických děl se uskutečnilo </w:t>
      </w:r>
      <w:proofErr w:type="gramStart"/>
      <w:r w:rsidRPr="00C027D0">
        <w:rPr>
          <w:rFonts w:eastAsia="Arial" w:cs="Arial"/>
          <w:sz w:val="20"/>
          <w:szCs w:val="20"/>
          <w:lang w:val="cs"/>
        </w:rPr>
        <w:t>08.12.2023</w:t>
      </w:r>
      <w:proofErr w:type="gramEnd"/>
      <w:r w:rsidRPr="00C027D0">
        <w:rPr>
          <w:rFonts w:eastAsia="Arial" w:cs="Arial"/>
          <w:sz w:val="20"/>
          <w:szCs w:val="20"/>
          <w:lang w:val="cs"/>
        </w:rPr>
        <w:t xml:space="preserve"> na Úřadu vlády ČR v souvislosti </w:t>
      </w:r>
      <w:r w:rsidRPr="00C027D0">
        <w:rPr>
          <w:rStyle w:val="bold"/>
          <w:rFonts w:cs="Arial"/>
          <w:sz w:val="20"/>
          <w:szCs w:val="20"/>
        </w:rPr>
        <w:t>s Mezinárodním dnem osob se zdravotním postižením.</w:t>
      </w:r>
    </w:p>
    <w:p w14:paraId="2FBC8E6A" w14:textId="7A99C91F" w:rsidR="00234A31" w:rsidRPr="00833CD2" w:rsidRDefault="00234A31" w:rsidP="00D16C0E">
      <w:pPr>
        <w:rPr>
          <w:rFonts w:cs="Arial"/>
          <w:b/>
          <w:bCs/>
          <w:sz w:val="20"/>
          <w:szCs w:val="20"/>
          <w:lang w:eastAsia="cs-CZ"/>
        </w:rPr>
      </w:pPr>
      <w:r w:rsidRPr="00833CD2">
        <w:rPr>
          <w:rFonts w:cs="Arial"/>
          <w:b/>
          <w:bCs/>
          <w:sz w:val="20"/>
          <w:szCs w:val="20"/>
          <w:lang w:eastAsia="cs-CZ"/>
        </w:rPr>
        <w:t xml:space="preserve">STANOVISKO K PLNĚNÍ: </w:t>
      </w:r>
      <w:r w:rsidR="00162887" w:rsidRPr="00833CD2">
        <w:rPr>
          <w:rFonts w:cs="Arial"/>
          <w:b/>
          <w:bCs/>
          <w:sz w:val="20"/>
          <w:szCs w:val="20"/>
          <w:lang w:eastAsia="cs-CZ"/>
        </w:rPr>
        <w:t>Plněno.</w:t>
      </w:r>
    </w:p>
    <w:p w14:paraId="4D1E791B" w14:textId="77777777" w:rsidR="00234A31" w:rsidRPr="00833CD2" w:rsidRDefault="00234A31" w:rsidP="00D16C0E">
      <w:pPr>
        <w:rPr>
          <w:rFonts w:cs="Arial"/>
          <w:sz w:val="20"/>
          <w:szCs w:val="20"/>
        </w:rPr>
      </w:pPr>
    </w:p>
    <w:p w14:paraId="35134EBB" w14:textId="77777777" w:rsidR="00F17E74" w:rsidRDefault="00F17E74" w:rsidP="00F17E74">
      <w:pPr>
        <w:rPr>
          <w:rFonts w:cs="Arial"/>
          <w:szCs w:val="20"/>
        </w:rPr>
      </w:pPr>
      <w:r w:rsidRPr="0035060D">
        <w:rPr>
          <w:rFonts w:cs="Arial"/>
          <w:bCs/>
          <w:szCs w:val="20"/>
        </w:rPr>
        <w:t xml:space="preserve">Opatření </w:t>
      </w:r>
      <w:r>
        <w:rPr>
          <w:rFonts w:cs="Arial"/>
          <w:szCs w:val="20"/>
        </w:rPr>
        <w:t>1.4</w:t>
      </w:r>
      <w:r w:rsidRPr="0035060D">
        <w:rPr>
          <w:rFonts w:cs="Arial"/>
          <w:szCs w:val="20"/>
        </w:rPr>
        <w:t>.</w:t>
      </w:r>
      <w:r>
        <w:rPr>
          <w:rFonts w:cs="Arial"/>
          <w:szCs w:val="20"/>
        </w:rPr>
        <w:t>2</w:t>
      </w:r>
      <w:r w:rsidRPr="0035060D">
        <w:rPr>
          <w:rFonts w:cs="Arial"/>
          <w:szCs w:val="20"/>
        </w:rPr>
        <w:t xml:space="preserve"> </w:t>
      </w:r>
      <w:r w:rsidRPr="00AA4B34">
        <w:rPr>
          <w:rFonts w:cs="Arial"/>
          <w:szCs w:val="20"/>
        </w:rPr>
        <w:t>Udělovat Cenu ministra zdravotnict</w:t>
      </w:r>
      <w:r w:rsidR="00E17356">
        <w:rPr>
          <w:rFonts w:cs="Arial"/>
          <w:szCs w:val="20"/>
        </w:rPr>
        <w:t>ví za práci ve prospěch osob se </w:t>
      </w:r>
      <w:r w:rsidRPr="00AA4B34">
        <w:rPr>
          <w:rFonts w:cs="Arial"/>
          <w:szCs w:val="20"/>
        </w:rPr>
        <w:t>zdravotním postižením a Cenu ministra zdravotnictví za rozvoj zdravotně sociální péče</w:t>
      </w:r>
      <w:r>
        <w:rPr>
          <w:rFonts w:cs="Arial"/>
          <w:szCs w:val="20"/>
        </w:rPr>
        <w:t>.</w:t>
      </w:r>
    </w:p>
    <w:p w14:paraId="40C0309A" w14:textId="6D52024B" w:rsidR="00F17E74" w:rsidRPr="0057756D" w:rsidRDefault="001275B3" w:rsidP="00F17E74">
      <w:pPr>
        <w:rPr>
          <w:rFonts w:cs="Arial"/>
          <w:szCs w:val="20"/>
        </w:rPr>
      </w:pPr>
      <w:r>
        <w:rPr>
          <w:rFonts w:cs="Arial"/>
          <w:szCs w:val="20"/>
        </w:rPr>
        <w:t>Termín: průběžně</w:t>
      </w:r>
    </w:p>
    <w:p w14:paraId="28156787" w14:textId="77777777" w:rsidR="00F17E74" w:rsidRPr="0057756D" w:rsidRDefault="00F17E74" w:rsidP="00F17E74">
      <w:pPr>
        <w:rPr>
          <w:rFonts w:cs="Arial"/>
          <w:szCs w:val="20"/>
        </w:rPr>
      </w:pPr>
      <w:r w:rsidRPr="0057756D">
        <w:rPr>
          <w:rFonts w:cs="Arial"/>
          <w:szCs w:val="20"/>
        </w:rPr>
        <w:t>Gestor: MZ</w:t>
      </w:r>
    </w:p>
    <w:p w14:paraId="583168E1" w14:textId="0FECB1BA" w:rsidR="00F17E74" w:rsidRDefault="00F17E74" w:rsidP="001468EC">
      <w:pPr>
        <w:rPr>
          <w:rFonts w:cs="Arial"/>
          <w:szCs w:val="20"/>
        </w:rPr>
      </w:pPr>
      <w:r w:rsidRPr="00646485">
        <w:rPr>
          <w:rFonts w:cs="Arial"/>
          <w:szCs w:val="20"/>
        </w:rPr>
        <w:t xml:space="preserve">Indikátor: Cena ministra zdravotnictví za práci ve prospěch osob se zdravotním postižením a za rozvoj zdravotně sociální péče byla v daném roce vyhlášena. </w:t>
      </w:r>
    </w:p>
    <w:p w14:paraId="066ADEDA" w14:textId="77777777" w:rsidR="001468EC" w:rsidRPr="0064465E" w:rsidRDefault="001468EC" w:rsidP="0064465E">
      <w:pPr>
        <w:rPr>
          <w:rFonts w:cs="Arial"/>
          <w:sz w:val="20"/>
          <w:szCs w:val="20"/>
        </w:rPr>
      </w:pPr>
    </w:p>
    <w:p w14:paraId="6CFD8C80" w14:textId="7636BF20" w:rsidR="00800926" w:rsidRPr="008E6927" w:rsidRDefault="00800926" w:rsidP="008E6927">
      <w:pPr>
        <w:tabs>
          <w:tab w:val="left" w:pos="720"/>
        </w:tabs>
        <w:rPr>
          <w:rFonts w:cs="Arial"/>
          <w:b/>
          <w:bCs/>
          <w:sz w:val="20"/>
          <w:szCs w:val="20"/>
          <w:lang w:eastAsia="cs-CZ"/>
        </w:rPr>
      </w:pPr>
      <w:r w:rsidRPr="008E6927">
        <w:rPr>
          <w:rFonts w:cs="Arial"/>
          <w:b/>
          <w:bCs/>
          <w:sz w:val="20"/>
          <w:szCs w:val="20"/>
          <w:lang w:eastAsia="cs-CZ"/>
        </w:rPr>
        <w:t>PLNĚNÍ MZ:</w:t>
      </w:r>
    </w:p>
    <w:p w14:paraId="360FB4CF" w14:textId="15CAA979" w:rsidR="008E6927" w:rsidRPr="008E6927" w:rsidRDefault="008E6927" w:rsidP="008E6927">
      <w:pPr>
        <w:rPr>
          <w:rFonts w:cs="Arial"/>
          <w:sz w:val="20"/>
          <w:szCs w:val="20"/>
        </w:rPr>
      </w:pPr>
      <w:r w:rsidRPr="008E6927">
        <w:rPr>
          <w:rFonts w:cs="Arial"/>
          <w:sz w:val="20"/>
          <w:szCs w:val="20"/>
        </w:rPr>
        <w:t xml:space="preserve">Jedná se o Cenu ministra zdravotnictví ve prospěch osob se zdravotním postižením a o Cenu ministra zdravotnictví za rozvoj zdravotně sociální péče. Ceny jsou každý rok předávány na slavnostním večeru pořádaném ve spolupráci se Sjednocenou organizací nevidomých a slabozrakých České republiky, zapsaný spolek, ve Španělském sále Pražského hradu </w:t>
      </w:r>
      <w:r w:rsidRPr="00637531">
        <w:rPr>
          <w:rStyle w:val="Siln"/>
          <w:rFonts w:cs="Arial"/>
          <w:b w:val="0"/>
          <w:color w:val="212529"/>
          <w:sz w:val="20"/>
          <w:szCs w:val="20"/>
          <w:shd w:val="clear" w:color="auto" w:fill="FFFFFF"/>
        </w:rPr>
        <w:t>u</w:t>
      </w:r>
      <w:r w:rsidRPr="008E6927">
        <w:rPr>
          <w:rStyle w:val="Siln"/>
          <w:rFonts w:cs="Arial"/>
          <w:color w:val="212529"/>
          <w:sz w:val="20"/>
          <w:szCs w:val="20"/>
          <w:shd w:val="clear" w:color="auto" w:fill="FFFFFF"/>
        </w:rPr>
        <w:t xml:space="preserve"> </w:t>
      </w:r>
      <w:r w:rsidRPr="008E6927">
        <w:rPr>
          <w:rFonts w:cs="Arial"/>
          <w:sz w:val="20"/>
          <w:szCs w:val="20"/>
        </w:rPr>
        <w:t>příležitosti Mezinárodního dne osob se zdravotním postižením, který je každoročně 3. prosince</w:t>
      </w:r>
      <w:r w:rsidR="00637531">
        <w:rPr>
          <w:rFonts w:cs="Arial"/>
          <w:sz w:val="20"/>
          <w:szCs w:val="20"/>
        </w:rPr>
        <w:t>.</w:t>
      </w:r>
    </w:p>
    <w:p w14:paraId="53E061D6" w14:textId="2ED88E71" w:rsidR="008E6927" w:rsidRPr="008E6927" w:rsidRDefault="008E6927" w:rsidP="008E6927">
      <w:pPr>
        <w:rPr>
          <w:rFonts w:cs="Arial"/>
          <w:sz w:val="20"/>
          <w:szCs w:val="20"/>
        </w:rPr>
      </w:pPr>
      <w:r w:rsidRPr="008E6927">
        <w:rPr>
          <w:rFonts w:cs="Arial"/>
          <w:sz w:val="20"/>
          <w:szCs w:val="20"/>
        </w:rPr>
        <w:t>Ceny se udělují fyzickým osobám, lze je udělit i in memoriam. Oceněné osoby obdrží čestnou plaketu a peněžní odměnu ve výši 40.000</w:t>
      </w:r>
      <w:r w:rsidR="00382D51">
        <w:rPr>
          <w:rFonts w:cs="Arial"/>
          <w:sz w:val="20"/>
          <w:szCs w:val="20"/>
        </w:rPr>
        <w:t xml:space="preserve"> </w:t>
      </w:r>
      <w:r w:rsidRPr="008E6927">
        <w:rPr>
          <w:rFonts w:cs="Arial"/>
          <w:sz w:val="20"/>
          <w:szCs w:val="20"/>
        </w:rPr>
        <w:t xml:space="preserve">Kč. V případě udělení ceny in memoriam se peněžní ocenění neposkytuje. </w:t>
      </w:r>
    </w:p>
    <w:p w14:paraId="0AAC04F0" w14:textId="56806912" w:rsidR="008E6927" w:rsidRPr="008E6927" w:rsidRDefault="008E6927" w:rsidP="008E6927">
      <w:pPr>
        <w:rPr>
          <w:rFonts w:eastAsia="Times New Roman" w:cs="Arial"/>
          <w:sz w:val="20"/>
          <w:szCs w:val="20"/>
        </w:rPr>
      </w:pPr>
      <w:r w:rsidRPr="008E6927">
        <w:rPr>
          <w:rFonts w:eastAsia="Times New Roman" w:cs="Arial"/>
          <w:sz w:val="20"/>
          <w:szCs w:val="20"/>
        </w:rPr>
        <w:t>Cenu ministra zdravotnictví za práci ve prospěch osob se zdravotním postižením získává osobnost, která se významným a mimořádným způsobem zasloužila o pomoc zdravotně postiženým nebo chronicky nemocným občanům v České republice. Tato cena byla v roce 2023 udělena panu Pavlu Biskupovi, řediteli středočeského Dětského centra Chocerady – centra komplexní péče.</w:t>
      </w:r>
    </w:p>
    <w:p w14:paraId="5D8216D2" w14:textId="74C89271" w:rsidR="008E6927" w:rsidRPr="008E6927" w:rsidRDefault="008E6927" w:rsidP="008E6927">
      <w:pPr>
        <w:rPr>
          <w:rFonts w:cs="Arial"/>
          <w:color w:val="212529"/>
          <w:sz w:val="20"/>
          <w:szCs w:val="20"/>
          <w:shd w:val="clear" w:color="auto" w:fill="FFFFFF"/>
        </w:rPr>
      </w:pPr>
      <w:r w:rsidRPr="008E6927">
        <w:rPr>
          <w:rFonts w:eastAsia="Times New Roman" w:cs="Arial"/>
          <w:sz w:val="20"/>
          <w:szCs w:val="20"/>
        </w:rPr>
        <w:t>Cena ministra zdravotnictví za rozvoj zdravotně sociální péče je udělována osobnosti k ohodnocení odborných zásluh v oblasti zdravotně sociální péče určené os</w:t>
      </w:r>
      <w:r w:rsidR="00F05211">
        <w:rPr>
          <w:rFonts w:eastAsia="Times New Roman" w:cs="Arial"/>
          <w:sz w:val="20"/>
          <w:szCs w:val="20"/>
        </w:rPr>
        <w:t>obám se zdravotním postižením a </w:t>
      </w:r>
      <w:r w:rsidRPr="008E6927">
        <w:rPr>
          <w:rFonts w:eastAsia="Times New Roman" w:cs="Arial"/>
          <w:sz w:val="20"/>
          <w:szCs w:val="20"/>
        </w:rPr>
        <w:t>osobám s chronickým onemocněním v České republice.</w:t>
      </w:r>
      <w:r w:rsidRPr="008E6927">
        <w:rPr>
          <w:rStyle w:val="Siln"/>
          <w:rFonts w:cs="Arial"/>
          <w:b w:val="0"/>
          <w:bCs w:val="0"/>
          <w:color w:val="212529"/>
          <w:sz w:val="20"/>
          <w:szCs w:val="20"/>
          <w:shd w:val="clear" w:color="auto" w:fill="FFFFFF"/>
        </w:rPr>
        <w:t xml:space="preserve"> Cenu za rok 2023 získala dlouholetá ředitelka Domova Dědina ve východočeském Opočně paní Alena Goisová.</w:t>
      </w:r>
    </w:p>
    <w:p w14:paraId="1B333315" w14:textId="1FF4D2B6" w:rsidR="00800926" w:rsidRPr="008E6927" w:rsidRDefault="00800926" w:rsidP="008E6927">
      <w:pPr>
        <w:keepNext/>
        <w:tabs>
          <w:tab w:val="left" w:pos="720"/>
        </w:tabs>
        <w:rPr>
          <w:rFonts w:cs="Arial"/>
          <w:b/>
          <w:bCs/>
          <w:sz w:val="20"/>
          <w:szCs w:val="20"/>
          <w:lang w:eastAsia="cs-CZ"/>
        </w:rPr>
      </w:pPr>
      <w:r w:rsidRPr="008E6927">
        <w:rPr>
          <w:rFonts w:cs="Arial"/>
          <w:b/>
          <w:bCs/>
          <w:sz w:val="20"/>
          <w:szCs w:val="20"/>
          <w:lang w:eastAsia="cs-CZ"/>
        </w:rPr>
        <w:t>STANOVISKO K PLNĚNÍ:</w:t>
      </w:r>
      <w:r w:rsidR="00673D5F" w:rsidRPr="008E6927">
        <w:rPr>
          <w:rFonts w:cs="Arial"/>
          <w:b/>
          <w:bCs/>
          <w:sz w:val="20"/>
          <w:szCs w:val="20"/>
          <w:lang w:eastAsia="cs-CZ"/>
        </w:rPr>
        <w:t xml:space="preserve"> Plněno.</w:t>
      </w:r>
    </w:p>
    <w:p w14:paraId="067A3286" w14:textId="77777777" w:rsidR="00EB6FAD" w:rsidRPr="0064465E" w:rsidRDefault="00EB6FAD" w:rsidP="0064465E">
      <w:pPr>
        <w:rPr>
          <w:rFonts w:cs="Arial"/>
          <w:bCs/>
          <w:sz w:val="20"/>
          <w:szCs w:val="20"/>
        </w:rPr>
      </w:pPr>
    </w:p>
    <w:p w14:paraId="7A915A79" w14:textId="73C36CAE" w:rsidR="00F17E74" w:rsidRPr="0057756D" w:rsidRDefault="00F17E74" w:rsidP="00F17E74">
      <w:pPr>
        <w:rPr>
          <w:rFonts w:cs="Arial"/>
          <w:szCs w:val="20"/>
        </w:rPr>
      </w:pPr>
      <w:r w:rsidRPr="0035060D">
        <w:rPr>
          <w:rFonts w:cs="Arial"/>
          <w:bCs/>
          <w:szCs w:val="20"/>
        </w:rPr>
        <w:t xml:space="preserve">Opatření </w:t>
      </w:r>
      <w:r>
        <w:rPr>
          <w:rFonts w:cs="Arial"/>
          <w:szCs w:val="20"/>
        </w:rPr>
        <w:t>1.4</w:t>
      </w:r>
      <w:r w:rsidRPr="0035060D">
        <w:rPr>
          <w:rFonts w:cs="Arial"/>
          <w:szCs w:val="20"/>
        </w:rPr>
        <w:t>.</w:t>
      </w:r>
      <w:r>
        <w:rPr>
          <w:rFonts w:cs="Arial"/>
          <w:szCs w:val="20"/>
        </w:rPr>
        <w:t>3</w:t>
      </w:r>
      <w:r w:rsidRPr="0035060D">
        <w:rPr>
          <w:rFonts w:cs="Arial"/>
          <w:szCs w:val="20"/>
        </w:rPr>
        <w:t xml:space="preserve"> </w:t>
      </w:r>
      <w:r w:rsidRPr="0057756D">
        <w:rPr>
          <w:rFonts w:cs="Arial"/>
          <w:szCs w:val="20"/>
        </w:rPr>
        <w:t>Prostřednictvím dotačních programů podporovat edukační a informační činnost v</w:t>
      </w:r>
      <w:r>
        <w:rPr>
          <w:rFonts w:cs="Arial"/>
          <w:szCs w:val="20"/>
        </w:rPr>
        <w:t> </w:t>
      </w:r>
      <w:r w:rsidRPr="0057756D">
        <w:rPr>
          <w:rFonts w:cs="Arial"/>
          <w:szCs w:val="20"/>
        </w:rPr>
        <w:t xml:space="preserve">oblasti vyrovnávání příležitostí pro </w:t>
      </w:r>
      <w:r w:rsidR="00AD1239">
        <w:rPr>
          <w:rFonts w:cs="Arial"/>
          <w:szCs w:val="20"/>
        </w:rPr>
        <w:t>osoby se zdravotním postižením.</w:t>
      </w:r>
    </w:p>
    <w:p w14:paraId="3548D2E3" w14:textId="10CA766A" w:rsidR="00F17E74" w:rsidRPr="0057756D" w:rsidRDefault="00AE1ECA" w:rsidP="00F17E74">
      <w:pPr>
        <w:rPr>
          <w:rFonts w:cs="Arial"/>
          <w:szCs w:val="20"/>
        </w:rPr>
      </w:pPr>
      <w:r>
        <w:rPr>
          <w:rFonts w:cs="Arial"/>
          <w:szCs w:val="20"/>
        </w:rPr>
        <w:t>Termín: průběžně</w:t>
      </w:r>
    </w:p>
    <w:p w14:paraId="45CF1CEA" w14:textId="77777777" w:rsidR="00F17E74" w:rsidRPr="0057756D" w:rsidRDefault="00F17E74" w:rsidP="00F17E74">
      <w:pPr>
        <w:rPr>
          <w:rFonts w:cs="Arial"/>
          <w:szCs w:val="20"/>
        </w:rPr>
      </w:pPr>
      <w:r w:rsidRPr="0057756D">
        <w:rPr>
          <w:rFonts w:cs="Arial"/>
          <w:szCs w:val="20"/>
        </w:rPr>
        <w:t>Gestor: ÚV, MZ</w:t>
      </w:r>
    </w:p>
    <w:p w14:paraId="35951DAB" w14:textId="7C1D6CCD" w:rsidR="00F17E74" w:rsidRDefault="00F17E74" w:rsidP="00F80F09">
      <w:pPr>
        <w:rPr>
          <w:rFonts w:cs="Arial"/>
          <w:szCs w:val="20"/>
        </w:rPr>
      </w:pPr>
      <w:r w:rsidRPr="00646485">
        <w:rPr>
          <w:rFonts w:cs="Arial"/>
          <w:szCs w:val="20"/>
        </w:rPr>
        <w:t xml:space="preserve">Indikátor: </w:t>
      </w:r>
      <w:r>
        <w:rPr>
          <w:rFonts w:cs="Arial"/>
          <w:szCs w:val="20"/>
        </w:rPr>
        <w:t xml:space="preserve">Jsou </w:t>
      </w:r>
      <w:r w:rsidRPr="00646485">
        <w:rPr>
          <w:rFonts w:cs="Arial"/>
          <w:szCs w:val="20"/>
        </w:rPr>
        <w:t>vyhl</w:t>
      </w:r>
      <w:r>
        <w:rPr>
          <w:rFonts w:cs="Arial"/>
          <w:szCs w:val="20"/>
        </w:rPr>
        <w:t>a</w:t>
      </w:r>
      <w:r w:rsidRPr="00646485">
        <w:rPr>
          <w:rFonts w:cs="Arial"/>
          <w:szCs w:val="20"/>
        </w:rPr>
        <w:t>š</w:t>
      </w:r>
      <w:r>
        <w:rPr>
          <w:rFonts w:cs="Arial"/>
          <w:szCs w:val="20"/>
        </w:rPr>
        <w:t>ovány</w:t>
      </w:r>
      <w:r w:rsidRPr="00646485">
        <w:rPr>
          <w:rFonts w:cs="Arial"/>
          <w:szCs w:val="20"/>
        </w:rPr>
        <w:t xml:space="preserve"> dotační </w:t>
      </w:r>
      <w:r>
        <w:rPr>
          <w:rFonts w:cs="Arial"/>
          <w:szCs w:val="20"/>
        </w:rPr>
        <w:t xml:space="preserve">programy </w:t>
      </w:r>
      <w:r w:rsidRPr="00646485">
        <w:rPr>
          <w:rFonts w:cs="Arial"/>
          <w:szCs w:val="20"/>
        </w:rPr>
        <w:t xml:space="preserve">s uvedeným zaměřením. </w:t>
      </w:r>
    </w:p>
    <w:p w14:paraId="52895D57" w14:textId="77777777" w:rsidR="00BA2F01" w:rsidRDefault="00BA2F01" w:rsidP="00F80F09">
      <w:pPr>
        <w:tabs>
          <w:tab w:val="left" w:pos="720"/>
        </w:tabs>
        <w:rPr>
          <w:rFonts w:cs="Arial"/>
          <w:b/>
          <w:bCs/>
          <w:lang w:eastAsia="cs-CZ"/>
        </w:rPr>
      </w:pPr>
    </w:p>
    <w:p w14:paraId="1B414833" w14:textId="2859DEEF" w:rsidR="00BA2F01" w:rsidRPr="002C4433" w:rsidRDefault="00BA2F01" w:rsidP="00F80F09">
      <w:pPr>
        <w:tabs>
          <w:tab w:val="left" w:pos="720"/>
        </w:tabs>
        <w:rPr>
          <w:rFonts w:cs="Arial"/>
          <w:b/>
          <w:bCs/>
          <w:sz w:val="20"/>
          <w:szCs w:val="20"/>
          <w:lang w:eastAsia="cs-CZ"/>
        </w:rPr>
      </w:pPr>
      <w:r w:rsidRPr="002C4433">
        <w:rPr>
          <w:rFonts w:cs="Arial"/>
          <w:b/>
          <w:bCs/>
          <w:sz w:val="20"/>
          <w:szCs w:val="20"/>
          <w:lang w:eastAsia="cs-CZ"/>
        </w:rPr>
        <w:t>PLNĚNÍ ÚV:</w:t>
      </w:r>
    </w:p>
    <w:p w14:paraId="29E78555" w14:textId="77777777" w:rsidR="00EC6385" w:rsidRPr="00716FAA" w:rsidRDefault="00EC6385" w:rsidP="00EC6385">
      <w:pPr>
        <w:rPr>
          <w:rFonts w:cs="Arial"/>
          <w:sz w:val="20"/>
          <w:szCs w:val="20"/>
        </w:rPr>
      </w:pPr>
      <w:r w:rsidRPr="00716FAA">
        <w:rPr>
          <w:rFonts w:cs="Arial"/>
          <w:sz w:val="20"/>
          <w:szCs w:val="20"/>
        </w:rPr>
        <w:t xml:space="preserve">V rámci dotačního programu </w:t>
      </w:r>
      <w:r w:rsidRPr="00716FAA">
        <w:rPr>
          <w:rFonts w:cs="Arial"/>
          <w:bCs/>
          <w:color w:val="000000"/>
          <w:sz w:val="20"/>
          <w:szCs w:val="20"/>
        </w:rPr>
        <w:t>Podpora veřejně prospěšných aktivit spolků osob se zdravotním postižením</w:t>
      </w:r>
      <w:r w:rsidRPr="00716FAA">
        <w:rPr>
          <w:rFonts w:cs="Arial"/>
          <w:sz w:val="20"/>
          <w:szCs w:val="20"/>
        </w:rPr>
        <w:t xml:space="preserve">, který byl pro rok 2023 vyhlášen Úřadem vlády ČR, mohly organizace osob se zdravotním postižením s celostátní působností předkládat žádosti o finanční podporu na aktivitu Vzdělávací </w:t>
      </w:r>
      <w:r w:rsidRPr="00716FAA">
        <w:rPr>
          <w:rFonts w:cs="Arial"/>
          <w:sz w:val="20"/>
          <w:szCs w:val="20"/>
        </w:rPr>
        <w:lastRenderedPageBreak/>
        <w:t xml:space="preserve">a informační činnost v oblasti vyrovnávání příležitostí pro osoby se zdravotním postižením. Dotace v této oblasti byly poskytovány na podporu vzdělávání zaměřeného na zlepšení pracovních a sociálních dovedností v rámci komunity osob se zdravotním postižením, dále bylo možno dotaci použít na pořádání informačních kampaní pro veřejnost, účast na výstavách a veřejných prezentacích včetně doprovodných programů, pořádání odborných konferencí a seminářů, provoz informačních webových portálů, vydávání informačních materiálů, letáků, tiskovin a publikací. </w:t>
      </w:r>
    </w:p>
    <w:p w14:paraId="31F2D0CB" w14:textId="59A78CB2" w:rsidR="00EC6385" w:rsidRPr="00716FAA" w:rsidRDefault="00EC6385" w:rsidP="00EC6385">
      <w:pPr>
        <w:rPr>
          <w:rFonts w:cs="Arial"/>
          <w:sz w:val="20"/>
          <w:szCs w:val="20"/>
        </w:rPr>
      </w:pPr>
      <w:r w:rsidRPr="00716FAA">
        <w:rPr>
          <w:rFonts w:cs="Arial"/>
          <w:sz w:val="20"/>
          <w:szCs w:val="20"/>
        </w:rPr>
        <w:t>V roce 2023 bylo z dotačního programu podpořeno 24 spolků, které v rámci projektu vydávaly informační materiály. Celkem bylo vydáno 353 různých informačních materiálů, jednalo se o letáky, infografiky, kalendáře nebo videa, které se týkaly problematiky jednotlivých typů postižení. Spolky vydávaly také periodika, jakými byly bulletiny, zpravodaje nebo časopisy, kterými informovaly o své činnosti a aktivitách, dále přinášely informace o vývoji v otázkác</w:t>
      </w:r>
      <w:r w:rsidR="00F05211">
        <w:rPr>
          <w:rFonts w:cs="Arial"/>
          <w:sz w:val="20"/>
          <w:szCs w:val="20"/>
        </w:rPr>
        <w:t>h zdravotního postižení u nás i </w:t>
      </w:r>
      <w:r w:rsidRPr="00716FAA">
        <w:rPr>
          <w:rFonts w:cs="Arial"/>
          <w:sz w:val="20"/>
          <w:szCs w:val="20"/>
        </w:rPr>
        <w:t xml:space="preserve">v zahraničí. V roce 2023 bylo vydáno 6 letáků v celkovém nákladu 3.500 ks, 11 spolků vydávalo časopisy, které vyšly v celkovém počtu 316 čísel. </w:t>
      </w:r>
    </w:p>
    <w:p w14:paraId="593FA569" w14:textId="1B544706" w:rsidR="00BA2F01" w:rsidRPr="00172A27" w:rsidRDefault="00BA2F01" w:rsidP="00172A27">
      <w:pPr>
        <w:rPr>
          <w:rFonts w:cs="Arial"/>
          <w:b/>
          <w:bCs/>
          <w:sz w:val="20"/>
          <w:szCs w:val="20"/>
          <w:lang w:eastAsia="cs-CZ"/>
        </w:rPr>
      </w:pPr>
      <w:r w:rsidRPr="00172A27">
        <w:rPr>
          <w:rFonts w:cs="Arial"/>
          <w:b/>
          <w:bCs/>
          <w:sz w:val="20"/>
          <w:szCs w:val="20"/>
          <w:lang w:eastAsia="cs-CZ"/>
        </w:rPr>
        <w:t xml:space="preserve">STANOVISKO K PLNĚNÍ: </w:t>
      </w:r>
      <w:r w:rsidR="00ED77C5" w:rsidRPr="00172A27">
        <w:rPr>
          <w:rFonts w:cs="Arial"/>
          <w:b/>
          <w:bCs/>
          <w:sz w:val="20"/>
          <w:szCs w:val="20"/>
          <w:lang w:eastAsia="cs-CZ"/>
        </w:rPr>
        <w:t>Plněno.</w:t>
      </w:r>
    </w:p>
    <w:p w14:paraId="0FE4002F" w14:textId="77777777" w:rsidR="00BA2F01" w:rsidRPr="00172A27" w:rsidRDefault="00BA2F01" w:rsidP="00172A27">
      <w:pPr>
        <w:rPr>
          <w:rFonts w:cs="Arial"/>
          <w:sz w:val="20"/>
          <w:szCs w:val="20"/>
        </w:rPr>
      </w:pPr>
    </w:p>
    <w:p w14:paraId="7225DA12" w14:textId="78A85D4B" w:rsidR="007935DC" w:rsidRPr="00685721" w:rsidRDefault="007935DC" w:rsidP="00685721">
      <w:pPr>
        <w:tabs>
          <w:tab w:val="left" w:pos="720"/>
        </w:tabs>
        <w:rPr>
          <w:rFonts w:cs="Arial"/>
          <w:b/>
          <w:bCs/>
          <w:sz w:val="20"/>
          <w:szCs w:val="20"/>
          <w:lang w:eastAsia="cs-CZ"/>
        </w:rPr>
      </w:pPr>
      <w:r w:rsidRPr="00685721">
        <w:rPr>
          <w:rFonts w:cs="Arial"/>
          <w:b/>
          <w:bCs/>
          <w:sz w:val="20"/>
          <w:szCs w:val="20"/>
          <w:lang w:eastAsia="cs-CZ"/>
        </w:rPr>
        <w:t>PLNĚNÍ MZ:</w:t>
      </w:r>
    </w:p>
    <w:p w14:paraId="6E35FBA4" w14:textId="1043718A" w:rsidR="00685721" w:rsidRPr="00685721" w:rsidRDefault="00685721" w:rsidP="00685721">
      <w:pPr>
        <w:rPr>
          <w:rFonts w:cs="Arial"/>
          <w:color w:val="000000" w:themeColor="text1"/>
          <w:sz w:val="20"/>
          <w:szCs w:val="20"/>
        </w:rPr>
      </w:pPr>
      <w:r w:rsidRPr="00685721">
        <w:rPr>
          <w:rFonts w:cs="Arial"/>
          <w:color w:val="000000" w:themeColor="text1"/>
          <w:sz w:val="20"/>
          <w:szCs w:val="20"/>
        </w:rPr>
        <w:t xml:space="preserve">V rámci programu Vyrovnávání příležitostí pro občany se zdravotním postižením byla vyhlášena aktivita C5 Podpora informační a osvětové činnosti pro osoby se </w:t>
      </w:r>
      <w:r w:rsidR="00F05211">
        <w:rPr>
          <w:rFonts w:cs="Arial"/>
          <w:color w:val="000000" w:themeColor="text1"/>
          <w:sz w:val="20"/>
          <w:szCs w:val="20"/>
        </w:rPr>
        <w:t>zdravotním postižením a osoby s </w:t>
      </w:r>
      <w:r w:rsidRPr="00685721">
        <w:rPr>
          <w:rFonts w:cs="Arial"/>
          <w:color w:val="000000" w:themeColor="text1"/>
          <w:sz w:val="20"/>
          <w:szCs w:val="20"/>
        </w:rPr>
        <w:t xml:space="preserve">chronickým či jinak vážným onemocněním. </w:t>
      </w:r>
    </w:p>
    <w:p w14:paraId="2803C135" w14:textId="77777777" w:rsidR="00685721" w:rsidRPr="00685721" w:rsidRDefault="00685721" w:rsidP="00685721">
      <w:pPr>
        <w:rPr>
          <w:rFonts w:cs="Arial"/>
          <w:color w:val="000000" w:themeColor="text1"/>
          <w:sz w:val="20"/>
          <w:szCs w:val="20"/>
        </w:rPr>
      </w:pPr>
      <w:r w:rsidRPr="00685721">
        <w:rPr>
          <w:rFonts w:cs="Arial"/>
          <w:color w:val="000000" w:themeColor="text1"/>
          <w:sz w:val="20"/>
          <w:szCs w:val="20"/>
        </w:rPr>
        <w:t>V roce 2023 bylo předloženo 44 žádostí zaměřených na aktivitu C5 (mimo jiné). Bylo podpořeno 29 projektů. Nelze uvést výši přidělených finančních prostředků, jelikož se v projektech aktivity C1 – C5 prolínají.</w:t>
      </w:r>
    </w:p>
    <w:p w14:paraId="3317E732" w14:textId="653B15C2" w:rsidR="00685721" w:rsidRPr="00685721" w:rsidRDefault="00AE1ECA" w:rsidP="00685721">
      <w:pPr>
        <w:rPr>
          <w:rFonts w:cs="Arial"/>
          <w:color w:val="000000" w:themeColor="text1"/>
          <w:sz w:val="20"/>
          <w:szCs w:val="20"/>
        </w:rPr>
      </w:pPr>
      <w:r>
        <w:rPr>
          <w:rFonts w:cs="Arial"/>
          <w:color w:val="000000" w:themeColor="text1"/>
          <w:sz w:val="20"/>
          <w:szCs w:val="20"/>
        </w:rPr>
        <w:t>Příklad podpořeného projektu</w:t>
      </w:r>
      <w:r w:rsidR="00685721" w:rsidRPr="00685721">
        <w:rPr>
          <w:rFonts w:cs="Arial"/>
          <w:color w:val="000000" w:themeColor="text1"/>
          <w:sz w:val="20"/>
          <w:szCs w:val="20"/>
        </w:rPr>
        <w:t>:</w:t>
      </w:r>
    </w:p>
    <w:p w14:paraId="4ACF440A" w14:textId="0D43E847" w:rsidR="00685721" w:rsidRPr="00685721" w:rsidRDefault="00685721" w:rsidP="00685721">
      <w:pPr>
        <w:rPr>
          <w:rFonts w:cs="Arial"/>
          <w:color w:val="000000" w:themeColor="text1"/>
          <w:sz w:val="20"/>
          <w:szCs w:val="20"/>
        </w:rPr>
      </w:pPr>
      <w:r w:rsidRPr="00F41F7E">
        <w:rPr>
          <w:rFonts w:cs="Arial"/>
          <w:color w:val="000000" w:themeColor="text1"/>
          <w:sz w:val="20"/>
          <w:szCs w:val="20"/>
        </w:rPr>
        <w:t>Sjednocená organizace nevidomých a slabozrakých České republiky, zapsaný spolek</w:t>
      </w:r>
      <w:r w:rsidR="00F41F7E">
        <w:rPr>
          <w:rFonts w:cs="Arial"/>
          <w:color w:val="000000" w:themeColor="text1"/>
          <w:sz w:val="20"/>
          <w:szCs w:val="20"/>
        </w:rPr>
        <w:t xml:space="preserve"> - </w:t>
      </w:r>
      <w:r w:rsidRPr="00685721">
        <w:rPr>
          <w:rFonts w:cs="Arial"/>
          <w:color w:val="000000" w:themeColor="text1"/>
          <w:sz w:val="20"/>
          <w:szCs w:val="20"/>
        </w:rPr>
        <w:t>Zpřístupňování informací nevidomým a slabozrakým občanům formou digitalizace textů III</w:t>
      </w:r>
    </w:p>
    <w:p w14:paraId="449DF683" w14:textId="2082791D" w:rsidR="00685721" w:rsidRPr="00685721" w:rsidRDefault="00685721" w:rsidP="00685721">
      <w:pPr>
        <w:rPr>
          <w:rFonts w:cs="Arial"/>
          <w:color w:val="000000" w:themeColor="text1"/>
          <w:sz w:val="20"/>
          <w:szCs w:val="20"/>
        </w:rPr>
      </w:pPr>
      <w:r w:rsidRPr="00685721">
        <w:rPr>
          <w:rFonts w:cs="Arial"/>
          <w:color w:val="000000" w:themeColor="text1"/>
          <w:sz w:val="20"/>
          <w:szCs w:val="20"/>
        </w:rPr>
        <w:t xml:space="preserve">Projekt je zaměřen na digitalizaci (úpravy pro odečítače a převod do </w:t>
      </w:r>
      <w:r w:rsidR="00ED3C75">
        <w:rPr>
          <w:rFonts w:cs="Arial"/>
          <w:color w:val="000000" w:themeColor="text1"/>
          <w:sz w:val="20"/>
          <w:szCs w:val="20"/>
        </w:rPr>
        <w:t>B</w:t>
      </w:r>
      <w:r w:rsidRPr="00685721">
        <w:rPr>
          <w:rFonts w:cs="Arial"/>
          <w:color w:val="000000" w:themeColor="text1"/>
          <w:sz w:val="20"/>
          <w:szCs w:val="20"/>
        </w:rPr>
        <w:t>raillova písma) učebních textů, časopisů, vzdělávacích a literárně naučných publikací, oddechové literatury a také zpřístupnění příbalových letáků léčiv zrakově postiženým osobám. Cílem projektu je snížit informační handicap nevidomých a slabozrakých občanů a zajistit jim dostupnost informací, uložených v podobě psaných textů, obrázků, schémat atd., prostřednictvím digitalizace textů.</w:t>
      </w:r>
    </w:p>
    <w:p w14:paraId="7C7D188F" w14:textId="3D573872" w:rsidR="007935DC" w:rsidRPr="00685721" w:rsidRDefault="007935DC" w:rsidP="00685721">
      <w:pPr>
        <w:keepNext/>
        <w:tabs>
          <w:tab w:val="left" w:pos="720"/>
        </w:tabs>
        <w:rPr>
          <w:rFonts w:cs="Arial"/>
          <w:b/>
          <w:bCs/>
          <w:sz w:val="20"/>
          <w:szCs w:val="20"/>
          <w:lang w:eastAsia="cs-CZ"/>
        </w:rPr>
      </w:pPr>
      <w:r w:rsidRPr="00685721">
        <w:rPr>
          <w:rFonts w:cs="Arial"/>
          <w:b/>
          <w:bCs/>
          <w:sz w:val="20"/>
          <w:szCs w:val="20"/>
          <w:lang w:eastAsia="cs-CZ"/>
        </w:rPr>
        <w:t>STANOVISKO K PLNĚNÍ:</w:t>
      </w:r>
      <w:r w:rsidR="007044B7" w:rsidRPr="00685721">
        <w:rPr>
          <w:rFonts w:cs="Arial"/>
          <w:b/>
          <w:sz w:val="20"/>
          <w:szCs w:val="20"/>
        </w:rPr>
        <w:t xml:space="preserve"> Plněno.</w:t>
      </w:r>
    </w:p>
    <w:p w14:paraId="5019ECE3" w14:textId="77777777" w:rsidR="007935DC" w:rsidRPr="00685721" w:rsidRDefault="007935DC" w:rsidP="00685721">
      <w:pPr>
        <w:rPr>
          <w:rFonts w:cs="Arial"/>
          <w:sz w:val="20"/>
          <w:szCs w:val="20"/>
        </w:rPr>
      </w:pPr>
    </w:p>
    <w:p w14:paraId="349FE8BC" w14:textId="77777777" w:rsidR="00F17E74" w:rsidRPr="0057756D" w:rsidRDefault="00F17E74" w:rsidP="00AB4695">
      <w:pPr>
        <w:rPr>
          <w:rFonts w:cs="Arial"/>
          <w:b/>
          <w:bCs/>
          <w:szCs w:val="20"/>
        </w:rPr>
      </w:pPr>
      <w:r>
        <w:rPr>
          <w:rFonts w:cs="Arial"/>
          <w:b/>
          <w:bCs/>
          <w:szCs w:val="20"/>
        </w:rPr>
        <w:t xml:space="preserve">1.5 </w:t>
      </w:r>
      <w:r w:rsidRPr="0057756D">
        <w:rPr>
          <w:rFonts w:cs="Arial"/>
          <w:b/>
          <w:bCs/>
          <w:szCs w:val="20"/>
        </w:rPr>
        <w:t xml:space="preserve">Cíl: Větší informovanost </w:t>
      </w:r>
      <w:r>
        <w:rPr>
          <w:rFonts w:cs="Arial"/>
          <w:b/>
          <w:bCs/>
          <w:szCs w:val="20"/>
        </w:rPr>
        <w:t>osob</w:t>
      </w:r>
      <w:r w:rsidRPr="0057756D">
        <w:rPr>
          <w:rFonts w:cs="Arial"/>
          <w:b/>
          <w:bCs/>
          <w:szCs w:val="20"/>
        </w:rPr>
        <w:t xml:space="preserve"> se zdravotním postižením</w:t>
      </w:r>
      <w:r>
        <w:rPr>
          <w:rFonts w:cs="Arial"/>
          <w:b/>
          <w:bCs/>
          <w:szCs w:val="20"/>
        </w:rPr>
        <w:t xml:space="preserve"> o </w:t>
      </w:r>
      <w:r w:rsidR="00661AB0">
        <w:rPr>
          <w:rFonts w:cs="Arial"/>
          <w:b/>
          <w:bCs/>
          <w:szCs w:val="20"/>
        </w:rPr>
        <w:t xml:space="preserve">jejich </w:t>
      </w:r>
      <w:r>
        <w:rPr>
          <w:rFonts w:cs="Arial"/>
          <w:b/>
          <w:bCs/>
          <w:szCs w:val="20"/>
        </w:rPr>
        <w:t>právech</w:t>
      </w:r>
      <w:r w:rsidRPr="0057756D">
        <w:rPr>
          <w:rFonts w:cs="Arial"/>
          <w:b/>
          <w:bCs/>
          <w:szCs w:val="20"/>
        </w:rPr>
        <w:t xml:space="preserve">. </w:t>
      </w:r>
    </w:p>
    <w:p w14:paraId="08EBB84B" w14:textId="77777777" w:rsidR="00F17E74" w:rsidRPr="0057756D" w:rsidRDefault="00F17E74" w:rsidP="00F17E74">
      <w:pPr>
        <w:rPr>
          <w:rFonts w:cs="Arial"/>
          <w:szCs w:val="20"/>
        </w:rPr>
      </w:pPr>
      <w:r w:rsidRPr="0035060D">
        <w:rPr>
          <w:rFonts w:cs="Arial"/>
          <w:bCs/>
          <w:szCs w:val="20"/>
        </w:rPr>
        <w:t xml:space="preserve">Opatření </w:t>
      </w:r>
      <w:r>
        <w:rPr>
          <w:rFonts w:cs="Arial"/>
          <w:szCs w:val="20"/>
        </w:rPr>
        <w:t>1.5</w:t>
      </w:r>
      <w:r w:rsidRPr="0035060D">
        <w:rPr>
          <w:rFonts w:cs="Arial"/>
          <w:szCs w:val="20"/>
        </w:rPr>
        <w:t>.</w:t>
      </w:r>
      <w:r>
        <w:rPr>
          <w:rFonts w:cs="Arial"/>
          <w:szCs w:val="20"/>
        </w:rPr>
        <w:t>1</w:t>
      </w:r>
      <w:r w:rsidRPr="0035060D">
        <w:rPr>
          <w:rFonts w:cs="Arial"/>
          <w:szCs w:val="20"/>
        </w:rPr>
        <w:t xml:space="preserve"> </w:t>
      </w:r>
      <w:r w:rsidRPr="0057756D">
        <w:rPr>
          <w:rFonts w:cs="Arial"/>
          <w:szCs w:val="20"/>
        </w:rPr>
        <w:t>Aktualizovat Příručku pro osoby se zdravotním postižením.</w:t>
      </w:r>
    </w:p>
    <w:p w14:paraId="5609D383" w14:textId="77777777" w:rsidR="00F17E74" w:rsidRPr="0057756D" w:rsidRDefault="00F17E74" w:rsidP="00F17E74">
      <w:pPr>
        <w:rPr>
          <w:rFonts w:cs="Arial"/>
          <w:szCs w:val="20"/>
        </w:rPr>
      </w:pPr>
      <w:r w:rsidRPr="0057756D">
        <w:rPr>
          <w:rFonts w:cs="Arial"/>
          <w:szCs w:val="20"/>
        </w:rPr>
        <w:t>Termín: průběžně</w:t>
      </w:r>
    </w:p>
    <w:p w14:paraId="52042041" w14:textId="77777777" w:rsidR="00F17E74" w:rsidRPr="0057756D" w:rsidRDefault="00F17E74" w:rsidP="003D1EB5">
      <w:pPr>
        <w:rPr>
          <w:rFonts w:cs="Arial"/>
          <w:szCs w:val="20"/>
        </w:rPr>
      </w:pPr>
      <w:r w:rsidRPr="0057756D">
        <w:rPr>
          <w:rFonts w:cs="Arial"/>
          <w:szCs w:val="20"/>
        </w:rPr>
        <w:t>Gestor: MPSV</w:t>
      </w:r>
    </w:p>
    <w:p w14:paraId="03564B63" w14:textId="71464BB0" w:rsidR="00F17E74" w:rsidRDefault="00F17E74" w:rsidP="003D1EB5">
      <w:pPr>
        <w:rPr>
          <w:rFonts w:cs="Arial"/>
          <w:szCs w:val="20"/>
        </w:rPr>
      </w:pPr>
      <w:r w:rsidRPr="00646485">
        <w:rPr>
          <w:rFonts w:cs="Arial"/>
          <w:szCs w:val="20"/>
        </w:rPr>
        <w:t>Indikátor: Je prov</w:t>
      </w:r>
      <w:r>
        <w:rPr>
          <w:rFonts w:cs="Arial"/>
          <w:szCs w:val="20"/>
        </w:rPr>
        <w:t>áděna</w:t>
      </w:r>
      <w:r w:rsidRPr="00646485">
        <w:rPr>
          <w:rFonts w:cs="Arial"/>
          <w:szCs w:val="20"/>
        </w:rPr>
        <w:t xml:space="preserve"> aktualizace a aktualizovaná verze příručky je dostupná na webových stránkách MPSV.</w:t>
      </w:r>
    </w:p>
    <w:p w14:paraId="30D2970C" w14:textId="77777777" w:rsidR="003D1EB5" w:rsidRPr="00393DDA" w:rsidRDefault="003D1EB5" w:rsidP="00393DDA">
      <w:pPr>
        <w:rPr>
          <w:rFonts w:cs="Arial"/>
          <w:sz w:val="20"/>
          <w:szCs w:val="20"/>
        </w:rPr>
      </w:pPr>
    </w:p>
    <w:p w14:paraId="68545239" w14:textId="49DB101C" w:rsidR="00D768DA" w:rsidRPr="00C46F07" w:rsidRDefault="00D768DA" w:rsidP="00393DDA">
      <w:pPr>
        <w:keepNext/>
        <w:tabs>
          <w:tab w:val="left" w:pos="720"/>
        </w:tabs>
        <w:rPr>
          <w:rFonts w:cs="Arial"/>
          <w:b/>
          <w:bCs/>
          <w:sz w:val="20"/>
          <w:szCs w:val="20"/>
          <w:lang w:eastAsia="cs-CZ"/>
        </w:rPr>
      </w:pPr>
      <w:r w:rsidRPr="00C46F07">
        <w:rPr>
          <w:rFonts w:cs="Arial"/>
          <w:b/>
          <w:bCs/>
          <w:sz w:val="20"/>
          <w:szCs w:val="20"/>
          <w:lang w:eastAsia="cs-CZ"/>
        </w:rPr>
        <w:t>PLNĚNÍ MPSV:</w:t>
      </w:r>
    </w:p>
    <w:p w14:paraId="7405D8A3" w14:textId="253A963F" w:rsidR="00C46F07" w:rsidRPr="00C46F07" w:rsidRDefault="00C46F07" w:rsidP="00C46F07">
      <w:pPr>
        <w:rPr>
          <w:rFonts w:cs="Arial"/>
          <w:sz w:val="20"/>
          <w:szCs w:val="20"/>
        </w:rPr>
      </w:pPr>
      <w:r w:rsidRPr="00C46F07">
        <w:rPr>
          <w:rFonts w:cs="Arial"/>
          <w:sz w:val="20"/>
          <w:szCs w:val="20"/>
        </w:rPr>
        <w:t>Ve sledovaném roce 2023 MPSV předmětnou Příručku pro osoby se ZP neaktualizovalo.</w:t>
      </w:r>
    </w:p>
    <w:p w14:paraId="77C55F4C" w14:textId="4EE93EC4" w:rsidR="00D768DA" w:rsidRPr="00C46F07" w:rsidRDefault="00D768DA" w:rsidP="00393DDA">
      <w:pPr>
        <w:rPr>
          <w:rFonts w:cs="Arial"/>
          <w:b/>
          <w:sz w:val="20"/>
          <w:szCs w:val="20"/>
        </w:rPr>
      </w:pPr>
      <w:r w:rsidRPr="00C46F07">
        <w:rPr>
          <w:rFonts w:cs="Arial"/>
          <w:b/>
          <w:bCs/>
          <w:sz w:val="20"/>
          <w:szCs w:val="20"/>
          <w:lang w:eastAsia="cs-CZ"/>
        </w:rPr>
        <w:t>STANOVISKO K PLNĚNÍ:</w:t>
      </w:r>
      <w:r w:rsidR="00950E26" w:rsidRPr="00C46F07">
        <w:rPr>
          <w:rFonts w:cs="Arial"/>
          <w:b/>
          <w:bCs/>
          <w:sz w:val="20"/>
          <w:szCs w:val="20"/>
          <w:lang w:eastAsia="cs-CZ"/>
        </w:rPr>
        <w:t xml:space="preserve"> </w:t>
      </w:r>
      <w:r w:rsidR="00F60C4E" w:rsidRPr="00530009">
        <w:rPr>
          <w:rFonts w:cs="Arial"/>
          <w:b/>
          <w:sz w:val="20"/>
          <w:szCs w:val="20"/>
        </w:rPr>
        <w:t>Neplněno.</w:t>
      </w:r>
    </w:p>
    <w:p w14:paraId="0E820CAF" w14:textId="77777777" w:rsidR="00D768DA" w:rsidRPr="00393DDA" w:rsidRDefault="00D768DA" w:rsidP="00393DDA">
      <w:pPr>
        <w:rPr>
          <w:rFonts w:cs="Arial"/>
          <w:sz w:val="20"/>
          <w:szCs w:val="20"/>
        </w:rPr>
      </w:pPr>
    </w:p>
    <w:p w14:paraId="2096CC6A" w14:textId="023A8DEE" w:rsidR="00F17E74" w:rsidRPr="0057756D" w:rsidRDefault="00F17E74" w:rsidP="00F17E74">
      <w:pPr>
        <w:rPr>
          <w:rFonts w:cs="Arial"/>
          <w:szCs w:val="20"/>
        </w:rPr>
      </w:pPr>
      <w:r w:rsidRPr="0035060D">
        <w:rPr>
          <w:rFonts w:cs="Arial"/>
          <w:bCs/>
          <w:szCs w:val="20"/>
        </w:rPr>
        <w:t xml:space="preserve">Opatření </w:t>
      </w:r>
      <w:r>
        <w:rPr>
          <w:rFonts w:cs="Arial"/>
          <w:szCs w:val="20"/>
        </w:rPr>
        <w:t>1.5</w:t>
      </w:r>
      <w:r w:rsidRPr="0035060D">
        <w:rPr>
          <w:rFonts w:cs="Arial"/>
          <w:szCs w:val="20"/>
        </w:rPr>
        <w:t>.</w:t>
      </w:r>
      <w:r>
        <w:rPr>
          <w:rFonts w:cs="Arial"/>
          <w:szCs w:val="20"/>
        </w:rPr>
        <w:t>2</w:t>
      </w:r>
      <w:r w:rsidRPr="0035060D">
        <w:rPr>
          <w:rFonts w:cs="Arial"/>
          <w:szCs w:val="20"/>
        </w:rPr>
        <w:t xml:space="preserve"> </w:t>
      </w:r>
      <w:r w:rsidRPr="0057756D">
        <w:rPr>
          <w:rFonts w:cs="Arial"/>
          <w:szCs w:val="20"/>
        </w:rPr>
        <w:t>V dotačních programech Ministerstva zdravotnictví podporovat vytváření informačních materiálů pro lékaře prvního kontaktu o tom, ja</w:t>
      </w:r>
      <w:r w:rsidRPr="009C555E">
        <w:rPr>
          <w:rFonts w:cs="Arial"/>
          <w:szCs w:val="20"/>
        </w:rPr>
        <w:t xml:space="preserve">ké poradenské a </w:t>
      </w:r>
      <w:r>
        <w:rPr>
          <w:rFonts w:cs="Arial"/>
          <w:szCs w:val="20"/>
        </w:rPr>
        <w:t>další</w:t>
      </w:r>
      <w:r w:rsidRPr="009C555E">
        <w:rPr>
          <w:rFonts w:cs="Arial"/>
          <w:szCs w:val="20"/>
        </w:rPr>
        <w:t xml:space="preserve"> služby jsou dostupné pro</w:t>
      </w:r>
      <w:r>
        <w:rPr>
          <w:rFonts w:cs="Arial"/>
          <w:szCs w:val="20"/>
        </w:rPr>
        <w:t> </w:t>
      </w:r>
      <w:r w:rsidRPr="009C555E">
        <w:rPr>
          <w:rFonts w:cs="Arial"/>
          <w:szCs w:val="20"/>
        </w:rPr>
        <w:t>osoby s jednotlivými typy zdravotního postižení.</w:t>
      </w:r>
    </w:p>
    <w:p w14:paraId="542CC1DE" w14:textId="77777777" w:rsidR="00F17E74" w:rsidRPr="0057756D" w:rsidRDefault="00F17E74" w:rsidP="00F17E74">
      <w:pPr>
        <w:rPr>
          <w:rFonts w:cs="Arial"/>
          <w:szCs w:val="20"/>
        </w:rPr>
      </w:pPr>
      <w:r w:rsidRPr="0057756D">
        <w:rPr>
          <w:rFonts w:cs="Arial"/>
          <w:szCs w:val="20"/>
        </w:rPr>
        <w:t>Termín: průběžně</w:t>
      </w:r>
    </w:p>
    <w:p w14:paraId="541646CD" w14:textId="77777777" w:rsidR="00F17E74" w:rsidRPr="0057756D" w:rsidRDefault="00F17E74" w:rsidP="00F17E74">
      <w:pPr>
        <w:rPr>
          <w:rFonts w:cs="Arial"/>
          <w:szCs w:val="20"/>
        </w:rPr>
      </w:pPr>
      <w:r w:rsidRPr="0057756D">
        <w:rPr>
          <w:rFonts w:cs="Arial"/>
          <w:szCs w:val="20"/>
        </w:rPr>
        <w:lastRenderedPageBreak/>
        <w:t>Gestor: MZ</w:t>
      </w:r>
    </w:p>
    <w:p w14:paraId="75A7088D" w14:textId="0ED2F9BD" w:rsidR="00F17E74" w:rsidRDefault="00F17E74" w:rsidP="003D1EB5">
      <w:pPr>
        <w:rPr>
          <w:rFonts w:cs="Arial"/>
          <w:szCs w:val="20"/>
        </w:rPr>
      </w:pPr>
      <w:r w:rsidRPr="00646485">
        <w:rPr>
          <w:rFonts w:cs="Arial"/>
          <w:szCs w:val="20"/>
        </w:rPr>
        <w:t xml:space="preserve">Indikátor: </w:t>
      </w:r>
      <w:r>
        <w:rPr>
          <w:rFonts w:cs="Arial"/>
          <w:szCs w:val="20"/>
        </w:rPr>
        <w:t>Je vyhlašován</w:t>
      </w:r>
      <w:r w:rsidRPr="00646485">
        <w:rPr>
          <w:rFonts w:cs="Arial"/>
          <w:szCs w:val="20"/>
        </w:rPr>
        <w:t xml:space="preserve"> dotační program s uvedeným zaměřením.  </w:t>
      </w:r>
    </w:p>
    <w:p w14:paraId="4EC38D91" w14:textId="77777777" w:rsidR="003D1EB5" w:rsidRPr="00DF7365" w:rsidRDefault="003D1EB5" w:rsidP="00DF7365">
      <w:pPr>
        <w:rPr>
          <w:rFonts w:cs="Arial"/>
          <w:sz w:val="20"/>
          <w:szCs w:val="20"/>
        </w:rPr>
      </w:pPr>
    </w:p>
    <w:p w14:paraId="72FA7813" w14:textId="578C5A97" w:rsidR="00E45E38" w:rsidRPr="00AF276F" w:rsidRDefault="00E45E38" w:rsidP="00AF276F">
      <w:pPr>
        <w:tabs>
          <w:tab w:val="left" w:pos="720"/>
        </w:tabs>
        <w:rPr>
          <w:rFonts w:cs="Arial"/>
          <w:b/>
          <w:bCs/>
          <w:sz w:val="20"/>
          <w:szCs w:val="20"/>
          <w:lang w:eastAsia="cs-CZ"/>
        </w:rPr>
      </w:pPr>
      <w:r w:rsidRPr="00AF276F">
        <w:rPr>
          <w:rFonts w:cs="Arial"/>
          <w:b/>
          <w:bCs/>
          <w:sz w:val="20"/>
          <w:szCs w:val="20"/>
          <w:lang w:eastAsia="cs-CZ"/>
        </w:rPr>
        <w:t>PLNĚNÍ MZ:</w:t>
      </w:r>
    </w:p>
    <w:p w14:paraId="57767617" w14:textId="48703650" w:rsidR="00AF276F" w:rsidRPr="00AF276F" w:rsidRDefault="00AF276F" w:rsidP="00AF276F">
      <w:pPr>
        <w:rPr>
          <w:rFonts w:cs="Arial"/>
          <w:color w:val="000000" w:themeColor="text1"/>
          <w:sz w:val="20"/>
          <w:szCs w:val="20"/>
        </w:rPr>
      </w:pPr>
      <w:r w:rsidRPr="00AF276F">
        <w:rPr>
          <w:rFonts w:cs="Arial"/>
          <w:color w:val="000000" w:themeColor="text1"/>
          <w:sz w:val="20"/>
          <w:szCs w:val="20"/>
        </w:rPr>
        <w:t>V rámci programu Vyrovnávání příležitostí pro občany se zdravotním postižením byla vyhlášena aktivita C2 Vytváření informačních materiálů pro lékaře prvního ko</w:t>
      </w:r>
      <w:r w:rsidR="00F05211">
        <w:rPr>
          <w:rFonts w:cs="Arial"/>
          <w:color w:val="000000" w:themeColor="text1"/>
          <w:sz w:val="20"/>
          <w:szCs w:val="20"/>
        </w:rPr>
        <w:t>ntaktu o tom, jaké poradenské a </w:t>
      </w:r>
      <w:r w:rsidRPr="00AF276F">
        <w:rPr>
          <w:rFonts w:cs="Arial"/>
          <w:color w:val="000000" w:themeColor="text1"/>
          <w:sz w:val="20"/>
          <w:szCs w:val="20"/>
        </w:rPr>
        <w:t xml:space="preserve">informační služby jsou dostupné pro jednotlivá zdravotní postižení a chronická postižení. </w:t>
      </w:r>
    </w:p>
    <w:p w14:paraId="07852509" w14:textId="13C86A3A" w:rsidR="00AF276F" w:rsidRPr="00AF276F" w:rsidRDefault="00AF276F" w:rsidP="00AF276F">
      <w:pPr>
        <w:rPr>
          <w:rFonts w:cs="Arial"/>
          <w:color w:val="000000" w:themeColor="text1"/>
          <w:sz w:val="20"/>
          <w:szCs w:val="20"/>
        </w:rPr>
      </w:pPr>
      <w:r w:rsidRPr="00AF276F">
        <w:rPr>
          <w:rFonts w:cs="Arial"/>
          <w:color w:val="000000" w:themeColor="text1"/>
          <w:sz w:val="20"/>
          <w:szCs w:val="20"/>
        </w:rPr>
        <w:t>V roce 2023 bylo předloženo 6 žádostí zaměřených na aktivitu C2 (mimo jiné). Byly podpořeny 3 projekty. Nelze zde uvést výši přidělených finančních prostředků, jelikož se v projektech aktivity C1 – C5 prolínají.</w:t>
      </w:r>
    </w:p>
    <w:p w14:paraId="19EA8B63" w14:textId="13C11AD8" w:rsidR="00AF276F" w:rsidRPr="00AF276F" w:rsidRDefault="00EA121C" w:rsidP="00AF276F">
      <w:pPr>
        <w:rPr>
          <w:rFonts w:cs="Arial"/>
          <w:color w:val="000000" w:themeColor="text1"/>
          <w:sz w:val="20"/>
          <w:szCs w:val="20"/>
        </w:rPr>
      </w:pPr>
      <w:r>
        <w:rPr>
          <w:rFonts w:cs="Arial"/>
          <w:color w:val="000000" w:themeColor="text1"/>
          <w:sz w:val="20"/>
          <w:szCs w:val="20"/>
        </w:rPr>
        <w:t>Příklad podpořeného projektu</w:t>
      </w:r>
      <w:r w:rsidR="00AF276F" w:rsidRPr="00AF276F">
        <w:rPr>
          <w:rFonts w:cs="Arial"/>
          <w:color w:val="000000" w:themeColor="text1"/>
          <w:sz w:val="20"/>
          <w:szCs w:val="20"/>
        </w:rPr>
        <w:t>:</w:t>
      </w:r>
    </w:p>
    <w:p w14:paraId="55F20285" w14:textId="4E677C75" w:rsidR="00AF276F" w:rsidRPr="00EA121C" w:rsidRDefault="00AF276F" w:rsidP="00EA121C">
      <w:pPr>
        <w:rPr>
          <w:rFonts w:cs="Arial"/>
          <w:color w:val="000000" w:themeColor="text1"/>
          <w:sz w:val="20"/>
          <w:szCs w:val="20"/>
        </w:rPr>
      </w:pPr>
      <w:r w:rsidRPr="00EA121C">
        <w:rPr>
          <w:rFonts w:cs="Arial"/>
          <w:color w:val="000000" w:themeColor="text1"/>
          <w:sz w:val="20"/>
          <w:szCs w:val="20"/>
        </w:rPr>
        <w:t xml:space="preserve">Pacienti </w:t>
      </w:r>
      <w:proofErr w:type="gramStart"/>
      <w:r w:rsidRPr="00EA121C">
        <w:rPr>
          <w:rFonts w:cs="Arial"/>
          <w:color w:val="000000" w:themeColor="text1"/>
          <w:sz w:val="20"/>
          <w:szCs w:val="20"/>
        </w:rPr>
        <w:t>IBD z.s.</w:t>
      </w:r>
      <w:proofErr w:type="gramEnd"/>
      <w:r w:rsidRPr="00EA121C">
        <w:rPr>
          <w:rFonts w:cs="Arial"/>
          <w:color w:val="000000" w:themeColor="text1"/>
          <w:sz w:val="20"/>
          <w:szCs w:val="20"/>
        </w:rPr>
        <w:t xml:space="preserve"> </w:t>
      </w:r>
      <w:r w:rsidR="00EA121C">
        <w:rPr>
          <w:rFonts w:cs="Arial"/>
          <w:color w:val="000000" w:themeColor="text1"/>
          <w:sz w:val="20"/>
          <w:szCs w:val="20"/>
        </w:rPr>
        <w:t xml:space="preserve">- </w:t>
      </w:r>
      <w:r w:rsidRPr="00EA121C">
        <w:rPr>
          <w:rFonts w:cs="Arial"/>
          <w:color w:val="000000" w:themeColor="text1"/>
          <w:sz w:val="20"/>
          <w:szCs w:val="20"/>
        </w:rPr>
        <w:t>Moderní komunikace pomáhá pacientům s idiopatickými střevními záněty</w:t>
      </w:r>
    </w:p>
    <w:p w14:paraId="405792F1" w14:textId="77777777" w:rsidR="00AF276F" w:rsidRPr="00AF276F" w:rsidRDefault="00AF276F" w:rsidP="00AF276F">
      <w:pPr>
        <w:rPr>
          <w:rFonts w:cs="Arial"/>
          <w:color w:val="000000" w:themeColor="text1"/>
          <w:sz w:val="20"/>
          <w:szCs w:val="20"/>
        </w:rPr>
      </w:pPr>
      <w:r w:rsidRPr="00AF276F">
        <w:rPr>
          <w:rFonts w:cs="Arial"/>
          <w:color w:val="000000" w:themeColor="text1"/>
          <w:sz w:val="20"/>
          <w:szCs w:val="20"/>
        </w:rPr>
        <w:t xml:space="preserve">Cílem projektu je informovat praktické lékaře pro dospělé, praktické lékaře pro děti a dorost, gastroenterologické ordinace a také členy spolku Pacienti </w:t>
      </w:r>
      <w:proofErr w:type="gramStart"/>
      <w:r w:rsidRPr="00AF276F">
        <w:rPr>
          <w:rFonts w:cs="Arial"/>
          <w:color w:val="000000" w:themeColor="text1"/>
          <w:sz w:val="20"/>
          <w:szCs w:val="20"/>
        </w:rPr>
        <w:t>IBD z.s.</w:t>
      </w:r>
      <w:proofErr w:type="gramEnd"/>
      <w:r w:rsidRPr="00AF276F">
        <w:rPr>
          <w:rFonts w:cs="Arial"/>
          <w:color w:val="000000" w:themeColor="text1"/>
          <w:sz w:val="20"/>
          <w:szCs w:val="20"/>
        </w:rPr>
        <w:t xml:space="preserve"> (pacienty) o moderních možnostech komunikace zaměřených na problematiku idiopatických střevních zánětů. Všichni zmínění by měli dostat bližší informace např. o využívání Aplikace IBD, která usnadňuje získání informací o </w:t>
      </w:r>
      <w:proofErr w:type="gramStart"/>
      <w:r w:rsidRPr="00AF276F">
        <w:rPr>
          <w:rFonts w:cs="Arial"/>
          <w:color w:val="000000" w:themeColor="text1"/>
          <w:sz w:val="20"/>
          <w:szCs w:val="20"/>
        </w:rPr>
        <w:t>idiopatických</w:t>
      </w:r>
      <w:proofErr w:type="gramEnd"/>
      <w:r w:rsidRPr="00AF276F">
        <w:rPr>
          <w:rFonts w:cs="Arial"/>
          <w:color w:val="000000" w:themeColor="text1"/>
          <w:sz w:val="20"/>
          <w:szCs w:val="20"/>
        </w:rPr>
        <w:t xml:space="preserve"> střevních </w:t>
      </w:r>
      <w:proofErr w:type="gramStart"/>
      <w:r w:rsidRPr="00AF276F">
        <w:rPr>
          <w:rFonts w:cs="Arial"/>
          <w:color w:val="000000" w:themeColor="text1"/>
          <w:sz w:val="20"/>
          <w:szCs w:val="20"/>
        </w:rPr>
        <w:t>onemocnění</w:t>
      </w:r>
      <w:proofErr w:type="gramEnd"/>
      <w:r w:rsidRPr="00AF276F">
        <w:rPr>
          <w:rFonts w:cs="Arial"/>
          <w:color w:val="000000" w:themeColor="text1"/>
          <w:sz w:val="20"/>
          <w:szCs w:val="20"/>
        </w:rPr>
        <w:t>, interakci s lékařem, notifikaci plánovaných lékařských kontrol, upozornění na plánovaný termín medikace apod.</w:t>
      </w:r>
    </w:p>
    <w:p w14:paraId="18E5C8F9" w14:textId="77777777" w:rsidR="00AF276F" w:rsidRPr="00AF276F" w:rsidRDefault="00AF276F" w:rsidP="00AF276F">
      <w:pPr>
        <w:rPr>
          <w:rFonts w:cs="Arial"/>
          <w:color w:val="000000" w:themeColor="text1"/>
          <w:sz w:val="20"/>
          <w:szCs w:val="20"/>
        </w:rPr>
      </w:pPr>
      <w:r w:rsidRPr="00AF276F">
        <w:rPr>
          <w:rFonts w:cs="Arial"/>
          <w:color w:val="000000" w:themeColor="text1"/>
          <w:sz w:val="20"/>
          <w:szCs w:val="20"/>
        </w:rPr>
        <w:t>SZÚ realizoval ve školách programy podpory zdraví pro 1930 žáků se zdravotním postižením. Tematicky byly akce zaměřeny na prevenci závislostí, hygienu rukou, dentální hygienu a prevenci infekčních onemocnění.</w:t>
      </w:r>
    </w:p>
    <w:p w14:paraId="252389A2" w14:textId="43CA685C" w:rsidR="00AF276F" w:rsidRPr="00AF276F" w:rsidRDefault="00AF276F" w:rsidP="00AF276F">
      <w:pPr>
        <w:rPr>
          <w:rFonts w:cs="Arial"/>
          <w:color w:val="000000" w:themeColor="text1"/>
          <w:sz w:val="20"/>
          <w:szCs w:val="20"/>
        </w:rPr>
      </w:pPr>
      <w:r w:rsidRPr="00EA121C">
        <w:rPr>
          <w:rFonts w:cs="Arial"/>
          <w:color w:val="000000" w:themeColor="text1"/>
          <w:sz w:val="20"/>
          <w:szCs w:val="20"/>
        </w:rPr>
        <w:t xml:space="preserve">V rámci projektu Podpora zdraví v rodinách, reg. </w:t>
      </w:r>
      <w:proofErr w:type="gramStart"/>
      <w:r w:rsidRPr="00EA121C">
        <w:rPr>
          <w:rFonts w:cs="Arial"/>
          <w:color w:val="000000" w:themeColor="text1"/>
          <w:sz w:val="20"/>
          <w:szCs w:val="20"/>
        </w:rPr>
        <w:t>č.</w:t>
      </w:r>
      <w:proofErr w:type="gramEnd"/>
      <w:r w:rsidRPr="00EA121C">
        <w:rPr>
          <w:rFonts w:cs="Arial"/>
          <w:color w:val="000000" w:themeColor="text1"/>
          <w:sz w:val="20"/>
          <w:szCs w:val="20"/>
        </w:rPr>
        <w:t xml:space="preserve"> CZ.03.02.02/00/22_005/0000723 a v rámci projektu Mediátor podpory zdraví, podpořeném UNICEF, spolupracovali ve všech krajích koordinátoři Regionálních center podpory zdraví SZÚ a mediátoři podpory zdraví </w:t>
      </w:r>
      <w:r w:rsidR="00F05211">
        <w:rPr>
          <w:rFonts w:cs="Arial"/>
          <w:color w:val="000000" w:themeColor="text1"/>
          <w:sz w:val="20"/>
          <w:szCs w:val="20"/>
        </w:rPr>
        <w:t>s praktickými lékaři pro děti a </w:t>
      </w:r>
      <w:r w:rsidRPr="00EA121C">
        <w:rPr>
          <w:rFonts w:cs="Arial"/>
          <w:color w:val="000000" w:themeColor="text1"/>
          <w:sz w:val="20"/>
          <w:szCs w:val="20"/>
        </w:rPr>
        <w:t>dorost ve věci registrace klientů a zajištění preventivních prohlídek, a to i pro osoby se zdravotním postižením.</w:t>
      </w:r>
      <w:r w:rsidRPr="00AF276F">
        <w:rPr>
          <w:rFonts w:cs="Arial"/>
          <w:color w:val="000000" w:themeColor="text1"/>
          <w:sz w:val="20"/>
          <w:szCs w:val="20"/>
        </w:rPr>
        <w:t xml:space="preserve"> </w:t>
      </w:r>
    </w:p>
    <w:p w14:paraId="02407675" w14:textId="2B1D3BC2" w:rsidR="00E45E38" w:rsidRPr="00AF276F" w:rsidRDefault="00E45E38" w:rsidP="00AF276F">
      <w:pPr>
        <w:keepNext/>
        <w:tabs>
          <w:tab w:val="left" w:pos="720"/>
        </w:tabs>
        <w:rPr>
          <w:rFonts w:cs="Arial"/>
          <w:b/>
          <w:bCs/>
          <w:sz w:val="20"/>
          <w:szCs w:val="20"/>
          <w:lang w:eastAsia="cs-CZ"/>
        </w:rPr>
      </w:pPr>
      <w:r w:rsidRPr="00AF276F">
        <w:rPr>
          <w:rFonts w:cs="Arial"/>
          <w:b/>
          <w:bCs/>
          <w:sz w:val="20"/>
          <w:szCs w:val="20"/>
          <w:lang w:eastAsia="cs-CZ"/>
        </w:rPr>
        <w:t>STANOVISKO K PLNĚNÍ:</w:t>
      </w:r>
      <w:r w:rsidR="00AB1FF7" w:rsidRPr="00AF276F">
        <w:rPr>
          <w:rFonts w:cs="Arial"/>
          <w:b/>
          <w:sz w:val="20"/>
          <w:szCs w:val="20"/>
        </w:rPr>
        <w:t xml:space="preserve"> Plněno.</w:t>
      </w:r>
    </w:p>
    <w:p w14:paraId="32AEFBF0" w14:textId="77777777" w:rsidR="00E45E38" w:rsidRPr="00DF7365" w:rsidRDefault="00E45E38" w:rsidP="00DF7365">
      <w:pPr>
        <w:rPr>
          <w:rFonts w:cs="Arial"/>
          <w:sz w:val="20"/>
          <w:szCs w:val="20"/>
        </w:rPr>
      </w:pPr>
    </w:p>
    <w:p w14:paraId="24000083" w14:textId="77777777" w:rsidR="00F17E74" w:rsidRPr="00831152" w:rsidRDefault="00F17E74" w:rsidP="003D1EB5">
      <w:pPr>
        <w:rPr>
          <w:rFonts w:cs="Arial"/>
          <w:b/>
          <w:bCs/>
          <w:szCs w:val="20"/>
        </w:rPr>
      </w:pPr>
      <w:r>
        <w:rPr>
          <w:rFonts w:cs="Arial"/>
          <w:b/>
          <w:bCs/>
          <w:szCs w:val="20"/>
        </w:rPr>
        <w:t xml:space="preserve">1.6 </w:t>
      </w:r>
      <w:r w:rsidRPr="00831152">
        <w:rPr>
          <w:rFonts w:cs="Arial"/>
          <w:b/>
          <w:bCs/>
          <w:szCs w:val="20"/>
        </w:rPr>
        <w:t xml:space="preserve">Cíl: Předcházet násilí na </w:t>
      </w:r>
      <w:r>
        <w:rPr>
          <w:rFonts w:cs="Arial"/>
          <w:b/>
          <w:bCs/>
          <w:szCs w:val="20"/>
        </w:rPr>
        <w:t xml:space="preserve">osobách </w:t>
      </w:r>
      <w:r w:rsidRPr="00831152">
        <w:rPr>
          <w:rFonts w:cs="Arial"/>
          <w:b/>
          <w:bCs/>
          <w:szCs w:val="20"/>
        </w:rPr>
        <w:t xml:space="preserve">se zdravotním postižením. </w:t>
      </w:r>
    </w:p>
    <w:p w14:paraId="07693379" w14:textId="06052C3D" w:rsidR="00F17E74" w:rsidRDefault="00F17E74" w:rsidP="00F17E74">
      <w:pPr>
        <w:rPr>
          <w:rFonts w:cs="Arial"/>
          <w:szCs w:val="20"/>
        </w:rPr>
      </w:pPr>
      <w:r w:rsidRPr="0035060D">
        <w:rPr>
          <w:rFonts w:cs="Arial"/>
          <w:bCs/>
          <w:szCs w:val="20"/>
        </w:rPr>
        <w:t xml:space="preserve">Opatření </w:t>
      </w:r>
      <w:r>
        <w:rPr>
          <w:rFonts w:cs="Arial"/>
          <w:szCs w:val="20"/>
        </w:rPr>
        <w:t>1.6</w:t>
      </w:r>
      <w:r w:rsidRPr="0035060D">
        <w:rPr>
          <w:rFonts w:cs="Arial"/>
          <w:szCs w:val="20"/>
        </w:rPr>
        <w:t>.</w:t>
      </w:r>
      <w:r>
        <w:rPr>
          <w:rFonts w:cs="Arial"/>
          <w:szCs w:val="20"/>
        </w:rPr>
        <w:t>1</w:t>
      </w:r>
      <w:r w:rsidRPr="0035060D">
        <w:rPr>
          <w:rFonts w:cs="Arial"/>
          <w:szCs w:val="20"/>
        </w:rPr>
        <w:t xml:space="preserve"> </w:t>
      </w:r>
      <w:r>
        <w:rPr>
          <w:rFonts w:cs="Arial"/>
          <w:szCs w:val="20"/>
        </w:rPr>
        <w:t xml:space="preserve">Zaměřit se v </w:t>
      </w:r>
      <w:r w:rsidRPr="00831152">
        <w:rPr>
          <w:rFonts w:cs="Arial"/>
          <w:szCs w:val="20"/>
        </w:rPr>
        <w:t xml:space="preserve">rámci systému pomoci osobám ohroženým </w:t>
      </w:r>
      <w:r w:rsidR="003B5E9A">
        <w:rPr>
          <w:rFonts w:cs="Arial"/>
          <w:szCs w:val="20"/>
        </w:rPr>
        <w:t>zneužíváním a </w:t>
      </w:r>
      <w:r w:rsidRPr="00831152">
        <w:rPr>
          <w:rFonts w:cs="Arial"/>
          <w:szCs w:val="20"/>
        </w:rPr>
        <w:t>násilím na pr</w:t>
      </w:r>
      <w:r>
        <w:rPr>
          <w:rFonts w:cs="Arial"/>
          <w:szCs w:val="20"/>
        </w:rPr>
        <w:t>evenci a</w:t>
      </w:r>
      <w:r w:rsidR="00251C70">
        <w:rPr>
          <w:rFonts w:cs="Arial"/>
          <w:szCs w:val="20"/>
        </w:rPr>
        <w:t> </w:t>
      </w:r>
      <w:r>
        <w:rPr>
          <w:rFonts w:cs="Arial"/>
          <w:szCs w:val="20"/>
        </w:rPr>
        <w:t xml:space="preserve">osvětu týkající se osob se zdravotním postižením. </w:t>
      </w:r>
    </w:p>
    <w:p w14:paraId="69E84A99" w14:textId="77777777" w:rsidR="00F17E74" w:rsidRPr="00831152" w:rsidRDefault="00F17E74" w:rsidP="00F17E74">
      <w:pPr>
        <w:rPr>
          <w:rFonts w:cs="Arial"/>
          <w:szCs w:val="20"/>
        </w:rPr>
      </w:pPr>
      <w:r w:rsidRPr="00831152">
        <w:rPr>
          <w:rFonts w:cs="Arial"/>
          <w:szCs w:val="20"/>
        </w:rPr>
        <w:t>Termín: průběžně</w:t>
      </w:r>
    </w:p>
    <w:p w14:paraId="0F82BEC7" w14:textId="77777777" w:rsidR="00F17E74" w:rsidRPr="00831152" w:rsidRDefault="00F17E74" w:rsidP="00F17E74">
      <w:pPr>
        <w:rPr>
          <w:rFonts w:cs="Arial"/>
          <w:szCs w:val="20"/>
        </w:rPr>
      </w:pPr>
      <w:r w:rsidRPr="00831152">
        <w:rPr>
          <w:rFonts w:cs="Arial"/>
          <w:szCs w:val="20"/>
        </w:rPr>
        <w:t xml:space="preserve">Gestor: MPSV, </w:t>
      </w:r>
      <w:r>
        <w:rPr>
          <w:rFonts w:cs="Arial"/>
          <w:szCs w:val="20"/>
        </w:rPr>
        <w:t>MSp</w:t>
      </w:r>
      <w:r w:rsidRPr="00831152">
        <w:rPr>
          <w:rFonts w:cs="Arial"/>
          <w:szCs w:val="20"/>
        </w:rPr>
        <w:t>, MŠMT, MV, MZ</w:t>
      </w:r>
    </w:p>
    <w:p w14:paraId="25DDA10D" w14:textId="0EFA3046" w:rsidR="00F17E74" w:rsidRDefault="00F17E74" w:rsidP="009A4C3A">
      <w:pPr>
        <w:rPr>
          <w:rFonts w:cs="Arial"/>
          <w:szCs w:val="20"/>
        </w:rPr>
      </w:pPr>
      <w:r w:rsidRPr="007A148F">
        <w:rPr>
          <w:rFonts w:cs="Arial"/>
          <w:szCs w:val="20"/>
        </w:rPr>
        <w:t>Indikátor: V daném období b</w:t>
      </w:r>
      <w:r>
        <w:rPr>
          <w:rFonts w:cs="Arial"/>
          <w:szCs w:val="20"/>
        </w:rPr>
        <w:t>yly</w:t>
      </w:r>
      <w:r w:rsidRPr="007A148F">
        <w:rPr>
          <w:rFonts w:cs="Arial"/>
          <w:szCs w:val="20"/>
        </w:rPr>
        <w:t xml:space="preserve"> realizovány uvedené aktivity.  </w:t>
      </w:r>
    </w:p>
    <w:p w14:paraId="2F1AAF98" w14:textId="77777777" w:rsidR="009A4C3A" w:rsidRPr="00271494" w:rsidRDefault="009A4C3A" w:rsidP="00271494">
      <w:pPr>
        <w:rPr>
          <w:rFonts w:cs="Arial"/>
          <w:sz w:val="20"/>
          <w:szCs w:val="20"/>
        </w:rPr>
      </w:pPr>
    </w:p>
    <w:p w14:paraId="4E7B38AB" w14:textId="14371D94" w:rsidR="00790EA6" w:rsidRPr="008135D9" w:rsidRDefault="00790EA6" w:rsidP="008135D9">
      <w:pPr>
        <w:keepNext/>
        <w:tabs>
          <w:tab w:val="left" w:pos="720"/>
        </w:tabs>
        <w:rPr>
          <w:rFonts w:cs="Arial"/>
          <w:b/>
          <w:bCs/>
          <w:sz w:val="20"/>
          <w:szCs w:val="20"/>
          <w:lang w:eastAsia="cs-CZ"/>
        </w:rPr>
      </w:pPr>
      <w:r w:rsidRPr="008135D9">
        <w:rPr>
          <w:rFonts w:cs="Arial"/>
          <w:b/>
          <w:bCs/>
          <w:sz w:val="20"/>
          <w:szCs w:val="20"/>
          <w:lang w:eastAsia="cs-CZ"/>
        </w:rPr>
        <w:t>PLNĚNÍ MPSV:</w:t>
      </w:r>
    </w:p>
    <w:p w14:paraId="1095FF6B" w14:textId="15E16C0D" w:rsidR="008135D9" w:rsidRPr="008135D9" w:rsidRDefault="008135D9" w:rsidP="008135D9">
      <w:pPr>
        <w:rPr>
          <w:rFonts w:cs="Arial"/>
          <w:sz w:val="20"/>
          <w:szCs w:val="20"/>
        </w:rPr>
      </w:pPr>
      <w:r w:rsidRPr="008135D9">
        <w:rPr>
          <w:rFonts w:cs="Arial"/>
          <w:bCs/>
          <w:sz w:val="20"/>
          <w:szCs w:val="20"/>
        </w:rPr>
        <w:t xml:space="preserve">V rámci dotací ze státního rozpočtu, ale i prostředků z ESF financuje MPSV provoz sociálních služeb, služeb pro rodiny a osoby se ZP. Cílem podpory jsou převážně rodiny, ať funkční, v rámci kterých je zájem působit preventivně a předcházet tak problémům, tak rodiny se zhoršenou situací, v rámci kterých je třeba řešit problémy (chudoba, nezaměstnanost, </w:t>
      </w:r>
      <w:r w:rsidR="00F05211">
        <w:rPr>
          <w:rFonts w:cs="Arial"/>
          <w:bCs/>
          <w:sz w:val="20"/>
          <w:szCs w:val="20"/>
        </w:rPr>
        <w:t>domácí násilí, náročnost péče a </w:t>
      </w:r>
      <w:r w:rsidRPr="008135D9">
        <w:rPr>
          <w:rFonts w:cs="Arial"/>
          <w:bCs/>
          <w:sz w:val="20"/>
          <w:szCs w:val="20"/>
        </w:rPr>
        <w:t>mezilidské vztahy). V rámci dotačních titulů na podporu rodin jsou podporovány neziskové organizace, které nabízejí aktivity směřující jak k obecnému zvyšování</w:t>
      </w:r>
      <w:r w:rsidR="00F05211">
        <w:rPr>
          <w:rFonts w:cs="Arial"/>
          <w:bCs/>
          <w:sz w:val="20"/>
          <w:szCs w:val="20"/>
        </w:rPr>
        <w:t xml:space="preserve"> rodičovských kompetencí, tak k </w:t>
      </w:r>
      <w:r w:rsidRPr="008135D9">
        <w:rPr>
          <w:rFonts w:cs="Arial"/>
          <w:bCs/>
          <w:sz w:val="20"/>
          <w:szCs w:val="20"/>
        </w:rPr>
        <w:t xml:space="preserve">řešení konkrétních problémů skrze osvětu, vzdělávání či konkrétní právní, psychologické či sociální poradenství. Součástí jejich činnosti je i prevence v oblasti </w:t>
      </w:r>
      <w:r w:rsidRPr="008135D9">
        <w:rPr>
          <w:rFonts w:cs="Arial"/>
          <w:sz w:val="20"/>
          <w:szCs w:val="20"/>
        </w:rPr>
        <w:t>zneužívání a násilí na osobách se ZP.</w:t>
      </w:r>
    </w:p>
    <w:p w14:paraId="65745E25" w14:textId="77777777" w:rsidR="008135D9" w:rsidRPr="008135D9" w:rsidRDefault="008135D9" w:rsidP="008135D9">
      <w:pPr>
        <w:keepNext/>
        <w:rPr>
          <w:rFonts w:cs="Arial"/>
          <w:bCs/>
          <w:sz w:val="20"/>
          <w:szCs w:val="20"/>
        </w:rPr>
      </w:pPr>
      <w:r w:rsidRPr="008135D9">
        <w:rPr>
          <w:rFonts w:cs="Arial"/>
          <w:bCs/>
          <w:sz w:val="20"/>
          <w:szCs w:val="20"/>
        </w:rPr>
        <w:t>Přehled sociálních služeb pro osoby se ZP, které se staly obětí trestného činu.</w:t>
      </w:r>
    </w:p>
    <w:tbl>
      <w:tblPr>
        <w:tblStyle w:val="Mkatabulky"/>
        <w:tblW w:w="0" w:type="auto"/>
        <w:tblLook w:val="04A0" w:firstRow="1" w:lastRow="0" w:firstColumn="1" w:lastColumn="0" w:noHBand="0" w:noVBand="1"/>
      </w:tblPr>
      <w:tblGrid>
        <w:gridCol w:w="2122"/>
        <w:gridCol w:w="2551"/>
        <w:gridCol w:w="2977"/>
      </w:tblGrid>
      <w:tr w:rsidR="008135D9" w:rsidRPr="008135D9" w14:paraId="4C457F74" w14:textId="77777777" w:rsidTr="00A3204F">
        <w:tc>
          <w:tcPr>
            <w:tcW w:w="2122" w:type="dxa"/>
          </w:tcPr>
          <w:p w14:paraId="3C4CAD13" w14:textId="77777777" w:rsidR="008135D9" w:rsidRPr="008135D9" w:rsidRDefault="008135D9" w:rsidP="008135D9">
            <w:pPr>
              <w:rPr>
                <w:rFonts w:cs="Arial"/>
                <w:b/>
                <w:bCs/>
                <w:sz w:val="20"/>
                <w:szCs w:val="20"/>
              </w:rPr>
            </w:pPr>
            <w:r w:rsidRPr="008135D9">
              <w:rPr>
                <w:rFonts w:cs="Arial"/>
                <w:b/>
                <w:bCs/>
                <w:sz w:val="20"/>
                <w:szCs w:val="20"/>
              </w:rPr>
              <w:t>Druh soc. služby</w:t>
            </w:r>
          </w:p>
        </w:tc>
        <w:tc>
          <w:tcPr>
            <w:tcW w:w="2551" w:type="dxa"/>
          </w:tcPr>
          <w:p w14:paraId="64988080" w14:textId="77777777" w:rsidR="008135D9" w:rsidRPr="008135D9" w:rsidRDefault="008135D9" w:rsidP="008135D9">
            <w:pPr>
              <w:rPr>
                <w:rFonts w:cs="Arial"/>
                <w:b/>
                <w:bCs/>
                <w:sz w:val="20"/>
                <w:szCs w:val="20"/>
              </w:rPr>
            </w:pPr>
            <w:r w:rsidRPr="008135D9">
              <w:rPr>
                <w:rFonts w:cs="Arial"/>
                <w:b/>
                <w:bCs/>
                <w:sz w:val="20"/>
                <w:szCs w:val="20"/>
              </w:rPr>
              <w:t>Počet služeb v ČR</w:t>
            </w:r>
          </w:p>
        </w:tc>
        <w:tc>
          <w:tcPr>
            <w:tcW w:w="2977" w:type="dxa"/>
          </w:tcPr>
          <w:p w14:paraId="49869D18" w14:textId="77777777" w:rsidR="008135D9" w:rsidRPr="008135D9" w:rsidRDefault="008135D9" w:rsidP="008135D9">
            <w:pPr>
              <w:rPr>
                <w:rFonts w:cs="Arial"/>
                <w:b/>
                <w:bCs/>
                <w:sz w:val="20"/>
                <w:szCs w:val="20"/>
              </w:rPr>
            </w:pPr>
            <w:r w:rsidRPr="008135D9">
              <w:rPr>
                <w:rFonts w:cs="Arial"/>
                <w:b/>
                <w:bCs/>
                <w:sz w:val="20"/>
                <w:szCs w:val="20"/>
              </w:rPr>
              <w:t xml:space="preserve">Kapacita celkem </w:t>
            </w:r>
          </w:p>
        </w:tc>
      </w:tr>
      <w:tr w:rsidR="008135D9" w:rsidRPr="008135D9" w14:paraId="53D076A1" w14:textId="77777777" w:rsidTr="00A3204F">
        <w:tc>
          <w:tcPr>
            <w:tcW w:w="2122" w:type="dxa"/>
          </w:tcPr>
          <w:p w14:paraId="213767E6" w14:textId="77777777" w:rsidR="008135D9" w:rsidRPr="008135D9" w:rsidRDefault="008135D9" w:rsidP="008135D9">
            <w:pPr>
              <w:rPr>
                <w:rFonts w:cs="Arial"/>
                <w:sz w:val="20"/>
                <w:szCs w:val="20"/>
              </w:rPr>
            </w:pPr>
            <w:r w:rsidRPr="008135D9">
              <w:rPr>
                <w:rFonts w:cs="Arial"/>
                <w:sz w:val="20"/>
                <w:szCs w:val="20"/>
              </w:rPr>
              <w:lastRenderedPageBreak/>
              <w:t>Odborné sociální poradenství*</w:t>
            </w:r>
          </w:p>
        </w:tc>
        <w:tc>
          <w:tcPr>
            <w:tcW w:w="2551" w:type="dxa"/>
          </w:tcPr>
          <w:p w14:paraId="6599A577" w14:textId="77777777" w:rsidR="008135D9" w:rsidRPr="008135D9" w:rsidRDefault="008135D9" w:rsidP="008135D9">
            <w:pPr>
              <w:rPr>
                <w:rFonts w:cs="Arial"/>
                <w:sz w:val="20"/>
                <w:szCs w:val="20"/>
              </w:rPr>
            </w:pPr>
            <w:r w:rsidRPr="008135D9">
              <w:rPr>
                <w:rFonts w:cs="Arial"/>
                <w:sz w:val="20"/>
                <w:szCs w:val="20"/>
              </w:rPr>
              <w:t>98</w:t>
            </w:r>
          </w:p>
        </w:tc>
        <w:tc>
          <w:tcPr>
            <w:tcW w:w="2977" w:type="dxa"/>
          </w:tcPr>
          <w:p w14:paraId="526DA7F0" w14:textId="77777777" w:rsidR="008135D9" w:rsidRPr="008135D9" w:rsidRDefault="008135D9" w:rsidP="008135D9">
            <w:pPr>
              <w:rPr>
                <w:rFonts w:cs="Arial"/>
                <w:sz w:val="20"/>
                <w:szCs w:val="20"/>
              </w:rPr>
            </w:pPr>
            <w:r w:rsidRPr="008135D9">
              <w:rPr>
                <w:rFonts w:cs="Arial"/>
                <w:sz w:val="20"/>
                <w:szCs w:val="20"/>
              </w:rPr>
              <w:t>885 klientů</w:t>
            </w:r>
          </w:p>
        </w:tc>
      </w:tr>
      <w:tr w:rsidR="008135D9" w:rsidRPr="008135D9" w14:paraId="3E96AEB7" w14:textId="77777777" w:rsidTr="00A3204F">
        <w:trPr>
          <w:trHeight w:val="565"/>
        </w:trPr>
        <w:tc>
          <w:tcPr>
            <w:tcW w:w="2122" w:type="dxa"/>
          </w:tcPr>
          <w:p w14:paraId="7F63F386" w14:textId="77777777" w:rsidR="008135D9" w:rsidRPr="008135D9" w:rsidRDefault="008135D9" w:rsidP="008135D9">
            <w:pPr>
              <w:rPr>
                <w:rFonts w:cs="Arial"/>
                <w:color w:val="000000"/>
                <w:sz w:val="20"/>
                <w:szCs w:val="20"/>
              </w:rPr>
            </w:pPr>
            <w:r w:rsidRPr="008135D9">
              <w:rPr>
                <w:rFonts w:cs="Arial"/>
                <w:color w:val="000000"/>
                <w:sz w:val="20"/>
                <w:szCs w:val="20"/>
              </w:rPr>
              <w:t>Telefonická krizová pomoc*</w:t>
            </w:r>
          </w:p>
        </w:tc>
        <w:tc>
          <w:tcPr>
            <w:tcW w:w="2551" w:type="dxa"/>
          </w:tcPr>
          <w:p w14:paraId="3882513E" w14:textId="77777777" w:rsidR="008135D9" w:rsidRPr="008135D9" w:rsidRDefault="008135D9" w:rsidP="008135D9">
            <w:pPr>
              <w:rPr>
                <w:rFonts w:cs="Arial"/>
                <w:sz w:val="20"/>
                <w:szCs w:val="20"/>
              </w:rPr>
            </w:pPr>
            <w:r w:rsidRPr="008135D9">
              <w:rPr>
                <w:rFonts w:cs="Arial"/>
                <w:sz w:val="20"/>
                <w:szCs w:val="20"/>
              </w:rPr>
              <w:t>15</w:t>
            </w:r>
          </w:p>
        </w:tc>
        <w:tc>
          <w:tcPr>
            <w:tcW w:w="2977" w:type="dxa"/>
          </w:tcPr>
          <w:p w14:paraId="7A739136" w14:textId="77777777" w:rsidR="008135D9" w:rsidRPr="008135D9" w:rsidRDefault="008135D9" w:rsidP="008135D9">
            <w:pPr>
              <w:rPr>
                <w:rFonts w:cs="Arial"/>
                <w:sz w:val="20"/>
                <w:szCs w:val="20"/>
              </w:rPr>
            </w:pPr>
            <w:r w:rsidRPr="008135D9">
              <w:rPr>
                <w:rFonts w:cs="Arial"/>
                <w:sz w:val="20"/>
                <w:szCs w:val="20"/>
              </w:rPr>
              <w:t>9304 klientů</w:t>
            </w:r>
          </w:p>
        </w:tc>
      </w:tr>
    </w:tbl>
    <w:p w14:paraId="35B9841D" w14:textId="77777777" w:rsidR="008135D9" w:rsidRPr="008135D9" w:rsidRDefault="008135D9" w:rsidP="00640D89">
      <w:pPr>
        <w:contextualSpacing/>
        <w:rPr>
          <w:rFonts w:cs="Arial"/>
          <w:bCs/>
          <w:sz w:val="20"/>
          <w:szCs w:val="20"/>
        </w:rPr>
      </w:pPr>
      <w:r w:rsidRPr="008135D9">
        <w:rPr>
          <w:rFonts w:cs="Arial"/>
          <w:bCs/>
          <w:sz w:val="20"/>
          <w:szCs w:val="20"/>
        </w:rPr>
        <w:t>Zdroj: Registr poskytovatelů sociálních služeb</w:t>
      </w:r>
    </w:p>
    <w:p w14:paraId="290E1A03" w14:textId="77777777" w:rsidR="008135D9" w:rsidRPr="008135D9" w:rsidRDefault="008135D9" w:rsidP="00640D89">
      <w:pPr>
        <w:contextualSpacing/>
        <w:rPr>
          <w:rFonts w:cs="Arial"/>
          <w:bCs/>
          <w:sz w:val="20"/>
          <w:szCs w:val="20"/>
        </w:rPr>
      </w:pPr>
      <w:r w:rsidRPr="008135D9">
        <w:rPr>
          <w:rFonts w:cs="Arial"/>
          <w:bCs/>
          <w:sz w:val="20"/>
          <w:szCs w:val="20"/>
        </w:rPr>
        <w:t>Informace k 8. 12. 2023</w:t>
      </w:r>
    </w:p>
    <w:p w14:paraId="2176678C" w14:textId="230E8465" w:rsidR="008135D9" w:rsidRPr="008135D9" w:rsidRDefault="008135D9" w:rsidP="008135D9">
      <w:pPr>
        <w:rPr>
          <w:rFonts w:cs="Arial"/>
          <w:bCs/>
          <w:sz w:val="20"/>
          <w:szCs w:val="20"/>
        </w:rPr>
      </w:pPr>
      <w:r w:rsidRPr="008135D9">
        <w:rPr>
          <w:rFonts w:cs="Arial"/>
          <w:bCs/>
          <w:sz w:val="20"/>
          <w:szCs w:val="20"/>
        </w:rPr>
        <w:t xml:space="preserve">* uvedené druhy sociálních služeb se týkají cílové skupiny „oběti domácího násilí“, mezi kterými se vyskytují i osoby se ZP. Registr poskytovatelů sociálních služeb však neumožňuje vyfiltrovat přesnější údaje, které by se týkaly jen osob se ZP. </w:t>
      </w:r>
    </w:p>
    <w:p w14:paraId="0EF06841" w14:textId="3A0E1464" w:rsidR="00790EA6" w:rsidRPr="008135D9" w:rsidRDefault="00790EA6" w:rsidP="008135D9">
      <w:pPr>
        <w:keepNext/>
        <w:tabs>
          <w:tab w:val="left" w:pos="720"/>
        </w:tabs>
        <w:rPr>
          <w:rFonts w:cs="Arial"/>
          <w:b/>
          <w:bCs/>
          <w:sz w:val="20"/>
          <w:szCs w:val="20"/>
          <w:lang w:eastAsia="cs-CZ"/>
        </w:rPr>
      </w:pPr>
      <w:r w:rsidRPr="008135D9">
        <w:rPr>
          <w:rFonts w:cs="Arial"/>
          <w:b/>
          <w:bCs/>
          <w:sz w:val="20"/>
          <w:szCs w:val="20"/>
          <w:lang w:eastAsia="cs-CZ"/>
        </w:rPr>
        <w:t>STANOVISKO K PLNĚNÍ:</w:t>
      </w:r>
      <w:r w:rsidR="007C4B82" w:rsidRPr="008135D9">
        <w:rPr>
          <w:rFonts w:cs="Arial"/>
          <w:b/>
          <w:bCs/>
          <w:sz w:val="20"/>
          <w:szCs w:val="20"/>
          <w:lang w:eastAsia="cs-CZ"/>
        </w:rPr>
        <w:t xml:space="preserve"> Plněno.</w:t>
      </w:r>
    </w:p>
    <w:p w14:paraId="6F53224F" w14:textId="0176C55F" w:rsidR="00790EA6" w:rsidRPr="001F6937" w:rsidRDefault="00790EA6" w:rsidP="001F6937">
      <w:pPr>
        <w:rPr>
          <w:rFonts w:cs="Arial"/>
          <w:sz w:val="20"/>
          <w:szCs w:val="20"/>
        </w:rPr>
      </w:pPr>
    </w:p>
    <w:p w14:paraId="538901C1" w14:textId="43FE548F" w:rsidR="004B01B3" w:rsidRPr="00DA7C87" w:rsidRDefault="004B01B3" w:rsidP="00DA7C87">
      <w:pPr>
        <w:tabs>
          <w:tab w:val="left" w:pos="720"/>
        </w:tabs>
        <w:rPr>
          <w:rFonts w:cs="Arial"/>
          <w:b/>
          <w:bCs/>
          <w:sz w:val="20"/>
          <w:szCs w:val="20"/>
          <w:lang w:eastAsia="cs-CZ"/>
        </w:rPr>
      </w:pPr>
      <w:r w:rsidRPr="00DA7C87">
        <w:rPr>
          <w:rFonts w:cs="Arial"/>
          <w:b/>
          <w:bCs/>
          <w:sz w:val="20"/>
          <w:szCs w:val="20"/>
          <w:lang w:eastAsia="cs-CZ"/>
        </w:rPr>
        <w:t xml:space="preserve">PLNĚNÍ </w:t>
      </w:r>
      <w:r w:rsidR="00004CE0" w:rsidRPr="00DA7C87">
        <w:rPr>
          <w:rFonts w:cs="Arial"/>
          <w:b/>
          <w:bCs/>
          <w:sz w:val="20"/>
          <w:szCs w:val="20"/>
          <w:lang w:eastAsia="cs-CZ"/>
        </w:rPr>
        <w:t>MSp</w:t>
      </w:r>
      <w:r w:rsidRPr="00DA7C87">
        <w:rPr>
          <w:rFonts w:cs="Arial"/>
          <w:b/>
          <w:bCs/>
          <w:sz w:val="20"/>
          <w:szCs w:val="20"/>
          <w:lang w:eastAsia="cs-CZ"/>
        </w:rPr>
        <w:t>:</w:t>
      </w:r>
    </w:p>
    <w:p w14:paraId="1A9C8DB3" w14:textId="4729AF39" w:rsidR="00DA7C87" w:rsidRPr="00DA7C87" w:rsidRDefault="00DA7C87" w:rsidP="00DA7C87">
      <w:pPr>
        <w:rPr>
          <w:rFonts w:cs="Arial"/>
          <w:sz w:val="20"/>
          <w:szCs w:val="20"/>
        </w:rPr>
      </w:pPr>
      <w:r w:rsidRPr="00DA7C87">
        <w:rPr>
          <w:rFonts w:cs="Arial"/>
          <w:sz w:val="20"/>
          <w:szCs w:val="20"/>
        </w:rPr>
        <w:t xml:space="preserve">V roce 2023 byl v tzv. „Otevřené věznici“ v Jiřicích již šestým rokem úspěšně realizován projekt „Tlapka v dlani“, v rámci něhož se odsouzení podílejí na socializaci budoucích vodících psů. Cílem projektu je podpora získávání nových dovedností, kompetencí a posílení zodpovědnosti odsouzených, což má pozitivní vliv na jejich sociální rehabilitaci a také snižuje napětí mezi vězni. V uplynulém roce 2023 se podařilo tento projekt rozšířit o další aktivity. Byla navázána spolupráce s Městskou knihovnou Milovice za účelem participace na projektu s názvem „Čtení pro psy“, jehož účelem je s pomocí asistenčních psů vytvořit bezpečné nehodnotící prostředí, kde mohou klienti knihovny rozvíjet své čtenářské dovednosti. U odsouzených je cílem posílení samostatnosti, odpovědnosti, komunikačních dovedností a příprava na výstup z výkonu trestu. Pro štěňata asistenčních psů je očekávaným přínosem posun v socializaci, seznámení se s novým prostředím, nároky a získání nových dovedností. Dne 27. 4. 2023 proběhla první společná akce určená pro děti ZŠ v Milovicích, které se dozvěděly, kde všude může pes pomáhat, být záchranářem, asistentem, ochráncem nebo terapeutem. Přišla za nimi psí slečna Cheron v doprovodu svého pečovatele – odsouzeného, který se podílí na její socializaci ve věznici. Poté se děti </w:t>
      </w:r>
      <w:r w:rsidRPr="00DA7C87">
        <w:rPr>
          <w:rFonts w:cs="Arial"/>
          <w:sz w:val="20"/>
          <w:szCs w:val="20"/>
          <w:shd w:val="clear" w:color="auto" w:fill="FFFFFF"/>
        </w:rPr>
        <w:t>s Cheron seznámily, mohly si jí pohladit a společně si vyslechly krásný čtený příběh o přátelství mezi psem a člověkem.</w:t>
      </w:r>
    </w:p>
    <w:p w14:paraId="0EFECCEA" w14:textId="0011B889" w:rsidR="00DA7C87" w:rsidRPr="00DA7C87" w:rsidRDefault="007C49CB" w:rsidP="00DA7C87">
      <w:pPr>
        <w:rPr>
          <w:rFonts w:cs="Arial"/>
          <w:sz w:val="20"/>
          <w:szCs w:val="20"/>
        </w:rPr>
      </w:pPr>
      <w:hyperlink r:id="rId22" w:history="1">
        <w:r w:rsidR="00DA7C87" w:rsidRPr="00DA7C87">
          <w:rPr>
            <w:rStyle w:val="Hypertextovodkaz"/>
            <w:rFonts w:cs="Arial"/>
            <w:color w:val="auto"/>
            <w:sz w:val="20"/>
            <w:szCs w:val="20"/>
          </w:rPr>
          <w:t>https://www.vscr.cz/organizacni-jednotky/veznice-jirice/clanky/detail/tlapka-v-dlani-cteni-pro-psy</w:t>
        </w:r>
      </w:hyperlink>
    </w:p>
    <w:p w14:paraId="2AED19A8" w14:textId="7F62A4AF" w:rsidR="004B01B3" w:rsidRPr="00DA7C87" w:rsidRDefault="004B01B3" w:rsidP="00DA7C87">
      <w:pPr>
        <w:keepNext/>
        <w:tabs>
          <w:tab w:val="left" w:pos="720"/>
        </w:tabs>
        <w:rPr>
          <w:rFonts w:cs="Arial"/>
          <w:b/>
          <w:bCs/>
          <w:sz w:val="20"/>
          <w:szCs w:val="20"/>
          <w:lang w:eastAsia="cs-CZ"/>
        </w:rPr>
      </w:pPr>
      <w:r w:rsidRPr="00DA7C87">
        <w:rPr>
          <w:rFonts w:cs="Arial"/>
          <w:b/>
          <w:bCs/>
          <w:sz w:val="20"/>
          <w:szCs w:val="20"/>
          <w:lang w:eastAsia="cs-CZ"/>
        </w:rPr>
        <w:t>STANOVISKO K PLNĚNÍ:</w:t>
      </w:r>
      <w:r w:rsidR="00CA21A1" w:rsidRPr="00DA7C87">
        <w:rPr>
          <w:rFonts w:cs="Arial"/>
          <w:b/>
          <w:bCs/>
          <w:sz w:val="20"/>
          <w:szCs w:val="20"/>
          <w:lang w:eastAsia="cs-CZ"/>
        </w:rPr>
        <w:t xml:space="preserve"> Plněno.</w:t>
      </w:r>
    </w:p>
    <w:p w14:paraId="447E7DC4" w14:textId="6FC9A5A8" w:rsidR="004B01B3" w:rsidRPr="001A6159" w:rsidRDefault="004B01B3" w:rsidP="001A6159">
      <w:pPr>
        <w:rPr>
          <w:rFonts w:cs="Arial"/>
          <w:sz w:val="20"/>
          <w:szCs w:val="20"/>
        </w:rPr>
      </w:pPr>
    </w:p>
    <w:p w14:paraId="5EA2E2C3" w14:textId="75F48DF3" w:rsidR="00B82EF5" w:rsidRPr="00F9068F" w:rsidRDefault="00B82EF5" w:rsidP="001A6159">
      <w:pPr>
        <w:tabs>
          <w:tab w:val="left" w:pos="720"/>
        </w:tabs>
        <w:rPr>
          <w:rFonts w:cs="Arial"/>
          <w:b/>
          <w:bCs/>
          <w:sz w:val="20"/>
          <w:szCs w:val="20"/>
          <w:lang w:eastAsia="cs-CZ"/>
        </w:rPr>
      </w:pPr>
      <w:r w:rsidRPr="00F9068F">
        <w:rPr>
          <w:rFonts w:cs="Arial"/>
          <w:b/>
          <w:bCs/>
          <w:sz w:val="20"/>
          <w:szCs w:val="20"/>
          <w:lang w:eastAsia="cs-CZ"/>
        </w:rPr>
        <w:t>PLNĚNÍ MŠMT:</w:t>
      </w:r>
    </w:p>
    <w:p w14:paraId="184A4E59" w14:textId="77777777" w:rsidR="00F9068F" w:rsidRPr="00F9068F" w:rsidRDefault="00F9068F" w:rsidP="00F9068F">
      <w:pPr>
        <w:rPr>
          <w:rFonts w:ascii="Calibri" w:hAnsi="Calibri"/>
          <w:sz w:val="20"/>
          <w:szCs w:val="20"/>
        </w:rPr>
      </w:pPr>
      <w:r w:rsidRPr="00F9068F">
        <w:rPr>
          <w:sz w:val="20"/>
          <w:szCs w:val="20"/>
        </w:rPr>
        <w:t xml:space="preserve">MŠMT vydalo </w:t>
      </w:r>
      <w:hyperlink r:id="rId23" w:history="1">
        <w:r w:rsidRPr="00F9068F">
          <w:rPr>
            <w:rStyle w:val="Hypertextovodkaz"/>
            <w:sz w:val="20"/>
            <w:szCs w:val="20"/>
          </w:rPr>
          <w:t>Národní strategii primární prevence rizikového chování u dětí a mládeže na období 2019 – 2027</w:t>
        </w:r>
      </w:hyperlink>
      <w:r w:rsidRPr="00F9068F">
        <w:rPr>
          <w:sz w:val="20"/>
          <w:szCs w:val="20"/>
        </w:rPr>
        <w:t xml:space="preserve"> zveřejněnou na webových stránkách MŠMT. Opatření strategie jsou plněna průběžně.</w:t>
      </w:r>
    </w:p>
    <w:p w14:paraId="75AC6952" w14:textId="321F8632" w:rsidR="00F9068F" w:rsidRPr="00F9068F" w:rsidRDefault="00F9068F" w:rsidP="00F9068F">
      <w:pPr>
        <w:rPr>
          <w:sz w:val="20"/>
          <w:szCs w:val="20"/>
        </w:rPr>
      </w:pPr>
      <w:r w:rsidRPr="00F9068F">
        <w:rPr>
          <w:sz w:val="20"/>
          <w:szCs w:val="20"/>
        </w:rPr>
        <w:t xml:space="preserve">Vláda ČR na svém jednání dne 19. července 2023 schválila usnesením č. 548 </w:t>
      </w:r>
      <w:hyperlink r:id="rId24" w:history="1">
        <w:r w:rsidRPr="00F9068F">
          <w:rPr>
            <w:rStyle w:val="Hypertextovodkaz"/>
            <w:sz w:val="20"/>
            <w:szCs w:val="20"/>
          </w:rPr>
          <w:t>Akční plán realizace Národní strategie primární prevence rizikového chování dětí a mládeže na období 2023-2025</w:t>
        </w:r>
      </w:hyperlink>
      <w:r w:rsidRPr="00F9068F">
        <w:rPr>
          <w:sz w:val="20"/>
          <w:szCs w:val="20"/>
        </w:rPr>
        <w:t>. Cílem je prostřednictvím naplánovaných úkolů zajistit bezpečné prostředí pro žáky ve školách a příznivě ovlivnit well-being žáků, ale také pedagogických pracovníků. Akční plán počítá s obnovením kontroly kvality programů primární prevence v obměněné podobě a s rozšiřováním nástr</w:t>
      </w:r>
      <w:r w:rsidR="0064214B">
        <w:rPr>
          <w:sz w:val="20"/>
          <w:szCs w:val="20"/>
        </w:rPr>
        <w:t>oje pro sběr a </w:t>
      </w:r>
      <w:r w:rsidRPr="00F9068F">
        <w:rPr>
          <w:sz w:val="20"/>
          <w:szCs w:val="20"/>
        </w:rPr>
        <w:t xml:space="preserve">vyhodnocování dat na školách (systém SEPA, který je součástí elektronického systému iPREV spravovaným Klinikou adiktologie 1. Lékařské fakulty Univerzity Karlovy). </w:t>
      </w:r>
    </w:p>
    <w:p w14:paraId="72516972" w14:textId="77777777" w:rsidR="00F9068F" w:rsidRPr="00F9068F" w:rsidRDefault="00F9068F" w:rsidP="00F9068F">
      <w:pPr>
        <w:rPr>
          <w:sz w:val="20"/>
          <w:szCs w:val="20"/>
        </w:rPr>
      </w:pPr>
      <w:r w:rsidRPr="00F9068F">
        <w:rPr>
          <w:sz w:val="20"/>
          <w:szCs w:val="20"/>
        </w:rPr>
        <w:t>Pro rok 2023 byla vyhlášena Výzva pro podávání žádostí o poskytnutí neinvestiční dotace ze státního rozpočtu na aktivity v oblasti primární prevence rizikového chování a podpory duševního zdraví ve školách a školských zařízeních. Alokována byla částka bezmála 40 mil. Kč.</w:t>
      </w:r>
    </w:p>
    <w:p w14:paraId="38472197" w14:textId="35603671" w:rsidR="00F9068F" w:rsidRPr="00F9068F" w:rsidRDefault="00F9068F" w:rsidP="00F9068F">
      <w:pPr>
        <w:rPr>
          <w:sz w:val="20"/>
          <w:szCs w:val="20"/>
        </w:rPr>
      </w:pPr>
      <w:r w:rsidRPr="00F9068F">
        <w:rPr>
          <w:sz w:val="20"/>
          <w:szCs w:val="20"/>
        </w:rPr>
        <w:t xml:space="preserve">MŠMT v roce 2023 </w:t>
      </w:r>
      <w:r w:rsidRPr="00553793">
        <w:rPr>
          <w:sz w:val="20"/>
          <w:szCs w:val="20"/>
        </w:rPr>
        <w:t xml:space="preserve">vydalo </w:t>
      </w:r>
      <w:hyperlink r:id="rId25" w:history="1">
        <w:r w:rsidRPr="00553793">
          <w:rPr>
            <w:rStyle w:val="Hypertextovodkaz"/>
            <w:color w:val="auto"/>
            <w:sz w:val="20"/>
            <w:szCs w:val="20"/>
            <w:u w:val="none"/>
          </w:rPr>
          <w:t>tři nové přílohy Metodického doporučení k primární prevenci rizikového chování</w:t>
        </w:r>
      </w:hyperlink>
      <w:r w:rsidRPr="00F9068F">
        <w:rPr>
          <w:sz w:val="20"/>
          <w:szCs w:val="20"/>
        </w:rPr>
        <w:t xml:space="preserve">  k tématům sebevražedného chování, psychické kr</w:t>
      </w:r>
      <w:r w:rsidR="0064214B">
        <w:rPr>
          <w:sz w:val="20"/>
          <w:szCs w:val="20"/>
        </w:rPr>
        <w:t>izi/duševnímu onemocnění žáka a </w:t>
      </w:r>
      <w:r w:rsidRPr="00F9068F">
        <w:rPr>
          <w:sz w:val="20"/>
          <w:szCs w:val="20"/>
        </w:rPr>
        <w:t>poruchám příjmu potravy.</w:t>
      </w:r>
    </w:p>
    <w:p w14:paraId="1BE07C58" w14:textId="77777777" w:rsidR="00F9068F" w:rsidRPr="00F9068F" w:rsidRDefault="00F9068F" w:rsidP="00F9068F">
      <w:pPr>
        <w:rPr>
          <w:sz w:val="20"/>
          <w:szCs w:val="20"/>
        </w:rPr>
      </w:pPr>
      <w:r w:rsidRPr="00F9068F">
        <w:rPr>
          <w:sz w:val="20"/>
          <w:szCs w:val="20"/>
        </w:rPr>
        <w:t>V rámci činnosti NPI ČR je realizováno vzdělávání pro pedagogické pracovníky k tématům primární prevence rizikového chování. V roce 2023 byli proškolováni pedagogičtí a další pracovníci v oblastech prevence domácího násilí a zneužívání. V rámci deskripce nejzranitelnějších skupin byly zmíněny i ohrožené skupiny osob se zdravotním postižením.</w:t>
      </w:r>
    </w:p>
    <w:p w14:paraId="6AD8136B" w14:textId="47E9A36D" w:rsidR="00F9068F" w:rsidRPr="00F9068F" w:rsidRDefault="00F9068F" w:rsidP="00F9068F">
      <w:pPr>
        <w:rPr>
          <w:sz w:val="20"/>
          <w:szCs w:val="20"/>
        </w:rPr>
      </w:pPr>
      <w:r w:rsidRPr="00F9068F">
        <w:rPr>
          <w:sz w:val="20"/>
          <w:szCs w:val="20"/>
        </w:rPr>
        <w:t>MŠMT průběžně metodicky vede také krajské školské koordinátory prevence.</w:t>
      </w:r>
    </w:p>
    <w:p w14:paraId="64D04145" w14:textId="0A7A7C42" w:rsidR="00B82EF5" w:rsidRPr="00F9068F" w:rsidRDefault="00B82EF5" w:rsidP="00522BD4">
      <w:pPr>
        <w:keepNext/>
        <w:tabs>
          <w:tab w:val="left" w:pos="720"/>
        </w:tabs>
        <w:rPr>
          <w:rFonts w:cs="Arial"/>
          <w:b/>
          <w:bCs/>
          <w:sz w:val="20"/>
          <w:szCs w:val="20"/>
          <w:lang w:eastAsia="cs-CZ"/>
        </w:rPr>
      </w:pPr>
      <w:r w:rsidRPr="00F9068F">
        <w:rPr>
          <w:rFonts w:cs="Arial"/>
          <w:b/>
          <w:bCs/>
          <w:sz w:val="20"/>
          <w:szCs w:val="20"/>
          <w:lang w:eastAsia="cs-CZ"/>
        </w:rPr>
        <w:lastRenderedPageBreak/>
        <w:t>STANOVISKO K PLNĚNÍ:</w:t>
      </w:r>
      <w:r w:rsidR="00004CE0" w:rsidRPr="00F9068F">
        <w:rPr>
          <w:rFonts w:cs="Arial"/>
          <w:b/>
          <w:sz w:val="20"/>
          <w:szCs w:val="20"/>
        </w:rPr>
        <w:t xml:space="preserve"> Plněno.</w:t>
      </w:r>
    </w:p>
    <w:p w14:paraId="061D461E" w14:textId="77777777" w:rsidR="0023492D" w:rsidRPr="00661831" w:rsidRDefault="0023492D" w:rsidP="00522BD4">
      <w:pPr>
        <w:keepNext/>
        <w:tabs>
          <w:tab w:val="left" w:pos="720"/>
        </w:tabs>
        <w:rPr>
          <w:rFonts w:cs="Arial"/>
          <w:b/>
          <w:bCs/>
          <w:sz w:val="20"/>
          <w:szCs w:val="20"/>
          <w:lang w:eastAsia="cs-CZ"/>
        </w:rPr>
      </w:pPr>
    </w:p>
    <w:p w14:paraId="59F526AE" w14:textId="770384E1" w:rsidR="0023492D" w:rsidRPr="00200D63" w:rsidRDefault="0023492D" w:rsidP="00200D63">
      <w:pPr>
        <w:tabs>
          <w:tab w:val="left" w:pos="720"/>
        </w:tabs>
        <w:rPr>
          <w:rFonts w:cs="Arial"/>
          <w:b/>
          <w:bCs/>
          <w:sz w:val="20"/>
          <w:szCs w:val="20"/>
          <w:lang w:eastAsia="cs-CZ"/>
        </w:rPr>
      </w:pPr>
      <w:r w:rsidRPr="00200D63">
        <w:rPr>
          <w:rFonts w:cs="Arial"/>
          <w:b/>
          <w:bCs/>
          <w:sz w:val="20"/>
          <w:szCs w:val="20"/>
          <w:lang w:eastAsia="cs-CZ"/>
        </w:rPr>
        <w:t>PLNĚNÍ MV:</w:t>
      </w:r>
    </w:p>
    <w:p w14:paraId="1A485B3E" w14:textId="77777777" w:rsidR="00200D63" w:rsidRPr="00200D63" w:rsidRDefault="00200D63" w:rsidP="00200D63">
      <w:pPr>
        <w:rPr>
          <w:rFonts w:cs="Arial"/>
          <w:sz w:val="20"/>
          <w:szCs w:val="20"/>
        </w:rPr>
      </w:pPr>
      <w:r w:rsidRPr="00200D63">
        <w:rPr>
          <w:rFonts w:cs="Arial"/>
          <w:sz w:val="20"/>
          <w:szCs w:val="20"/>
        </w:rPr>
        <w:t>Nestátní neziskové organizace (dále jen „NNO“), které jsou podporovány v rámci dotačních titulů Ministerstva vnitra, informují o pomoci v případech domácího násilí na svých webových stránkách.</w:t>
      </w:r>
    </w:p>
    <w:p w14:paraId="64E12772" w14:textId="77777777" w:rsidR="00200D63" w:rsidRPr="00200D63" w:rsidRDefault="00200D63" w:rsidP="00200D63">
      <w:pPr>
        <w:rPr>
          <w:rFonts w:cs="Arial"/>
          <w:b/>
          <w:bCs/>
          <w:sz w:val="20"/>
          <w:szCs w:val="20"/>
        </w:rPr>
      </w:pPr>
      <w:r w:rsidRPr="00200D63">
        <w:rPr>
          <w:rFonts w:cs="Arial"/>
          <w:sz w:val="20"/>
          <w:szCs w:val="20"/>
        </w:rPr>
        <w:t>V rámci preventivních aktivit jsou Ministerstvem vnitra podporovány různé dotační programy s dopady na OZP, např. Program podpory evropských krizových a asistenčních linek 116 XXX, Program prevence sociálně patologických jevů a Rozvoj dobrovolnické služby. U těchto dotačních programů byla v roce 2023 vyhlášena i mimořádná výzva v souvislosti se zvládáním dopadů uprchlické vlny související s invazí Ruské federace na Ukrajinu</w:t>
      </w:r>
      <w:r w:rsidRPr="00200D63">
        <w:rPr>
          <w:rFonts w:cs="Arial"/>
          <w:b/>
          <w:bCs/>
          <w:sz w:val="20"/>
          <w:szCs w:val="20"/>
        </w:rPr>
        <w:t>.</w:t>
      </w:r>
    </w:p>
    <w:p w14:paraId="2CB33D05" w14:textId="77777777" w:rsidR="00200D63" w:rsidRPr="00200D63" w:rsidRDefault="00200D63" w:rsidP="00200D63">
      <w:pPr>
        <w:rPr>
          <w:rFonts w:cs="Arial"/>
          <w:sz w:val="20"/>
          <w:szCs w:val="20"/>
        </w:rPr>
      </w:pPr>
      <w:r w:rsidRPr="00200D63">
        <w:rPr>
          <w:rFonts w:cs="Arial"/>
          <w:sz w:val="20"/>
          <w:szCs w:val="20"/>
        </w:rPr>
        <w:t xml:space="preserve">V roce 2023 byly podpořeny v klasickém dotačním programu: </w:t>
      </w:r>
    </w:p>
    <w:p w14:paraId="7338C546" w14:textId="77777777" w:rsidR="00200D63" w:rsidRPr="00200D63" w:rsidRDefault="00200D63" w:rsidP="00200D63">
      <w:pPr>
        <w:pStyle w:val="Odstavecseseznamem"/>
        <w:numPr>
          <w:ilvl w:val="0"/>
          <w:numId w:val="23"/>
        </w:numPr>
        <w:contextualSpacing w:val="0"/>
        <w:rPr>
          <w:rFonts w:cs="Arial"/>
          <w:sz w:val="20"/>
          <w:szCs w:val="20"/>
        </w:rPr>
      </w:pPr>
      <w:r w:rsidRPr="00200D63">
        <w:rPr>
          <w:rFonts w:cs="Arial"/>
          <w:sz w:val="20"/>
          <w:szCs w:val="20"/>
        </w:rPr>
        <w:t xml:space="preserve">v dotačním programu SPJ - prevence a eliminace domácího násilí NNO realizující nově vznikající anebo již existující terapeutické či resocializační programy pro násilné osoby a osoby, které nezvládají svoji agresi v mezilidských vztazích, kterým byla soudem nebo v řízení o přestupku pravomocně uložena povinnost podrobit se terapeutickému nebo resocializačnímu programu pro násilné osoby a osoby, které nezvládají svoji agresi v mezilidských vztazích, v celkové výši 2 miliony Kč, </w:t>
      </w:r>
    </w:p>
    <w:p w14:paraId="63F5142D" w14:textId="77777777" w:rsidR="00200D63" w:rsidRPr="00200D63" w:rsidRDefault="00200D63" w:rsidP="00200D63">
      <w:pPr>
        <w:pStyle w:val="Odstavecseseznamem"/>
        <w:numPr>
          <w:ilvl w:val="0"/>
          <w:numId w:val="23"/>
        </w:numPr>
        <w:contextualSpacing w:val="0"/>
        <w:rPr>
          <w:rFonts w:cs="Arial"/>
          <w:sz w:val="20"/>
          <w:szCs w:val="20"/>
        </w:rPr>
      </w:pPr>
      <w:r w:rsidRPr="00200D63">
        <w:rPr>
          <w:rFonts w:cs="Arial"/>
          <w:sz w:val="20"/>
          <w:szCs w:val="20"/>
        </w:rPr>
        <w:t xml:space="preserve">v dotačním programu pro krizové a asistenční Linky 116XXX - NNO provozující linky </w:t>
      </w:r>
      <w:r w:rsidRPr="00200D63">
        <w:rPr>
          <w:rFonts w:cs="Arial"/>
          <w:sz w:val="20"/>
          <w:szCs w:val="20"/>
        </w:rPr>
        <w:br/>
        <w:t xml:space="preserve">116  000 - Linka pro rodinu a školu, 116 006 - Linka pomoci obětem kriminality, 116 111 – Linka bezpečí v celkové výši 1 930 000 Kč, </w:t>
      </w:r>
    </w:p>
    <w:p w14:paraId="32461FDA" w14:textId="12C20EF2" w:rsidR="00200D63" w:rsidRPr="00200D63" w:rsidRDefault="00200D63" w:rsidP="00200D63">
      <w:pPr>
        <w:pStyle w:val="Odstavecseseznamem"/>
        <w:numPr>
          <w:ilvl w:val="0"/>
          <w:numId w:val="23"/>
        </w:numPr>
        <w:contextualSpacing w:val="0"/>
        <w:rPr>
          <w:rFonts w:cs="Arial"/>
          <w:sz w:val="20"/>
          <w:szCs w:val="20"/>
        </w:rPr>
      </w:pPr>
      <w:r w:rsidRPr="00200D63">
        <w:rPr>
          <w:rFonts w:cs="Arial"/>
          <w:sz w:val="20"/>
          <w:szCs w:val="20"/>
        </w:rPr>
        <w:t xml:space="preserve">v dotačním programu Dobrovolnictví na rozvoj dobrovolnické služby byly podpořeny NNO, které realizují dobrovolnickou činnost podle zákona o dobrovolnické službě a mají pravomocně platnou akreditaci, v celkové výši 14 milionů Kč. </w:t>
      </w:r>
    </w:p>
    <w:p w14:paraId="17530078" w14:textId="2894AEC2" w:rsidR="00200D63" w:rsidRPr="00200D63" w:rsidRDefault="00200D63" w:rsidP="00200D63">
      <w:pPr>
        <w:rPr>
          <w:rFonts w:cs="Arial"/>
          <w:sz w:val="20"/>
          <w:szCs w:val="20"/>
        </w:rPr>
      </w:pPr>
      <w:r w:rsidRPr="00200D63">
        <w:rPr>
          <w:rFonts w:cs="Arial"/>
          <w:sz w:val="20"/>
          <w:szCs w:val="20"/>
        </w:rPr>
        <w:t xml:space="preserve">V mimořádných dotačních programech byly podpořeny v programu SPJ 2 projekty ve výši </w:t>
      </w:r>
      <w:r w:rsidRPr="00200D63">
        <w:rPr>
          <w:rFonts w:cs="Arial"/>
          <w:bCs/>
          <w:sz w:val="20"/>
          <w:szCs w:val="20"/>
        </w:rPr>
        <w:t>564 960 korun</w:t>
      </w:r>
      <w:r w:rsidRPr="00200D63">
        <w:rPr>
          <w:rFonts w:cs="Arial"/>
          <w:b/>
          <w:sz w:val="20"/>
          <w:szCs w:val="20"/>
        </w:rPr>
        <w:t xml:space="preserve"> </w:t>
      </w:r>
      <w:r w:rsidRPr="00200D63">
        <w:rPr>
          <w:rFonts w:cs="Arial"/>
          <w:sz w:val="20"/>
          <w:szCs w:val="20"/>
        </w:rPr>
        <w:t>a v Linkách dvě linky ve výši 2 212 470 Kč. V Dobrovolnictví byly podpořeny organizace ve výši 5 300 000 Kč.</w:t>
      </w:r>
    </w:p>
    <w:p w14:paraId="1934E468" w14:textId="4B057B2F" w:rsidR="00200D63" w:rsidRPr="00200D63" w:rsidRDefault="00200D63" w:rsidP="00200D63">
      <w:pPr>
        <w:rPr>
          <w:rFonts w:cs="Arial"/>
          <w:sz w:val="20"/>
          <w:szCs w:val="20"/>
        </w:rPr>
      </w:pPr>
      <w:r w:rsidRPr="00200D63">
        <w:rPr>
          <w:rFonts w:cs="Arial"/>
          <w:sz w:val="20"/>
          <w:szCs w:val="20"/>
        </w:rPr>
        <w:t>Dále jsou podporovány dotační programy Program prevence krimi</w:t>
      </w:r>
      <w:r w:rsidR="00223C9E">
        <w:rPr>
          <w:rFonts w:cs="Arial"/>
          <w:sz w:val="20"/>
          <w:szCs w:val="20"/>
        </w:rPr>
        <w:t>nality na místní úrovni (PPK) a </w:t>
      </w:r>
      <w:r w:rsidRPr="00200D63">
        <w:rPr>
          <w:rFonts w:cs="Arial"/>
          <w:sz w:val="20"/>
          <w:szCs w:val="20"/>
        </w:rPr>
        <w:t>Rezortní program v oblasti prevence kriminality (tzv. vnitrorezort). V obou programech se žadatelé mohou zaměřit na prevenci viktimizace zvlášť zranitelných obětí a snížení páchání trestné činnosti na této skupině obětí. I v programu PPK byly vyhlášeny mimořádné dotace v souvislosti s Ukrajinou, a to ke konci roku 2023, termín podávání žádostí byl do 15. února 2024.</w:t>
      </w:r>
    </w:p>
    <w:p w14:paraId="64FEB3E6" w14:textId="725EA041" w:rsidR="00200D63" w:rsidRPr="00200D63" w:rsidRDefault="00200D63" w:rsidP="00200D63">
      <w:pPr>
        <w:tabs>
          <w:tab w:val="left" w:pos="720"/>
        </w:tabs>
        <w:rPr>
          <w:rFonts w:cs="Arial"/>
          <w:b/>
          <w:bCs/>
          <w:sz w:val="20"/>
          <w:szCs w:val="20"/>
          <w:lang w:eastAsia="cs-CZ"/>
        </w:rPr>
      </w:pPr>
      <w:r w:rsidRPr="00200D63">
        <w:rPr>
          <w:rFonts w:cs="Arial"/>
          <w:sz w:val="20"/>
          <w:szCs w:val="20"/>
        </w:rPr>
        <w:t>Ročně se na území ČR ze strany Policie ČR realizují desítky besed s osobami se zdravotním postižením. Nejčastější témata jsou dopravní výchova, bezpečnost v kyberprostoru, osobní bezpečí.</w:t>
      </w:r>
    </w:p>
    <w:p w14:paraId="5CD8D5C2" w14:textId="7F6D3EAD" w:rsidR="0023492D" w:rsidRPr="00200D63" w:rsidRDefault="0023492D" w:rsidP="00200D63">
      <w:pPr>
        <w:keepNext/>
        <w:tabs>
          <w:tab w:val="left" w:pos="720"/>
        </w:tabs>
        <w:rPr>
          <w:rFonts w:cs="Arial"/>
          <w:b/>
          <w:bCs/>
          <w:sz w:val="20"/>
          <w:szCs w:val="20"/>
          <w:lang w:eastAsia="cs-CZ"/>
        </w:rPr>
      </w:pPr>
      <w:r w:rsidRPr="00200D63">
        <w:rPr>
          <w:rFonts w:cs="Arial"/>
          <w:b/>
          <w:bCs/>
          <w:sz w:val="20"/>
          <w:szCs w:val="20"/>
          <w:lang w:eastAsia="cs-CZ"/>
        </w:rPr>
        <w:t>STANOVISKO K PLNĚNÍ:</w:t>
      </w:r>
      <w:r w:rsidR="00EB14E9" w:rsidRPr="00200D63">
        <w:rPr>
          <w:rFonts w:cs="Arial"/>
          <w:b/>
          <w:bCs/>
          <w:sz w:val="20"/>
          <w:szCs w:val="20"/>
          <w:lang w:eastAsia="cs-CZ"/>
        </w:rPr>
        <w:t xml:space="preserve"> Plněno.</w:t>
      </w:r>
    </w:p>
    <w:p w14:paraId="25E51EAF" w14:textId="7EDB0538" w:rsidR="00B82EF5" w:rsidRPr="00084854" w:rsidRDefault="00B82EF5" w:rsidP="00084854">
      <w:pPr>
        <w:rPr>
          <w:rFonts w:cs="Arial"/>
          <w:sz w:val="20"/>
          <w:szCs w:val="20"/>
        </w:rPr>
      </w:pPr>
    </w:p>
    <w:p w14:paraId="189E24F1" w14:textId="63DFF701" w:rsidR="001329D0" w:rsidRPr="00FD1C54" w:rsidRDefault="001329D0" w:rsidP="00FD1C54">
      <w:pPr>
        <w:tabs>
          <w:tab w:val="left" w:pos="720"/>
        </w:tabs>
        <w:rPr>
          <w:rFonts w:cs="Arial"/>
          <w:b/>
          <w:bCs/>
          <w:sz w:val="20"/>
          <w:szCs w:val="20"/>
          <w:lang w:eastAsia="cs-CZ"/>
        </w:rPr>
      </w:pPr>
      <w:r w:rsidRPr="00FD1C54">
        <w:rPr>
          <w:rFonts w:cs="Arial"/>
          <w:b/>
          <w:bCs/>
          <w:sz w:val="20"/>
          <w:szCs w:val="20"/>
          <w:lang w:eastAsia="cs-CZ"/>
        </w:rPr>
        <w:t>PLNĚNÍ MZ:</w:t>
      </w:r>
    </w:p>
    <w:p w14:paraId="70927F81" w14:textId="77777777" w:rsidR="00FD1C54" w:rsidRPr="00FD1C54" w:rsidRDefault="00FD1C54" w:rsidP="00FD1C54">
      <w:pPr>
        <w:rPr>
          <w:rFonts w:cs="Arial"/>
          <w:color w:val="000000" w:themeColor="text1"/>
          <w:sz w:val="20"/>
          <w:szCs w:val="20"/>
        </w:rPr>
      </w:pPr>
      <w:r w:rsidRPr="00FD1C54">
        <w:rPr>
          <w:rFonts w:cs="Arial"/>
          <w:color w:val="000000" w:themeColor="text1"/>
          <w:sz w:val="20"/>
          <w:szCs w:val="20"/>
        </w:rPr>
        <w:t xml:space="preserve">V rámci dotačního programu </w:t>
      </w:r>
      <w:r w:rsidRPr="003963E9">
        <w:rPr>
          <w:rFonts w:cs="Arial"/>
          <w:bCs/>
          <w:color w:val="000000" w:themeColor="text1"/>
          <w:sz w:val="20"/>
          <w:szCs w:val="20"/>
        </w:rPr>
        <w:t>Podpora zdraví, zvyšování efektivity a kvality zdravotní péče</w:t>
      </w:r>
      <w:r w:rsidRPr="00FD1C54">
        <w:rPr>
          <w:rFonts w:cs="Arial"/>
          <w:color w:val="000000" w:themeColor="text1"/>
          <w:sz w:val="20"/>
          <w:szCs w:val="20"/>
        </w:rPr>
        <w:t xml:space="preserve"> (PPZ) byla vyhlášena priorita A – Prevence kriminality, pod kterou spadala aktivita Edukace v oblasti prevence domácího a genderově podmíněného násilí pro děti, osoby se zdravotním postižením a seniory.</w:t>
      </w:r>
    </w:p>
    <w:p w14:paraId="3F3274C5" w14:textId="7FF03105" w:rsidR="00FD1C54" w:rsidRPr="00FD1C54" w:rsidRDefault="00FD1C54" w:rsidP="00FD1C54">
      <w:pPr>
        <w:rPr>
          <w:rFonts w:cs="Arial"/>
          <w:color w:val="000000" w:themeColor="text1"/>
          <w:sz w:val="20"/>
          <w:szCs w:val="20"/>
        </w:rPr>
      </w:pPr>
      <w:r w:rsidRPr="00FD1C54">
        <w:rPr>
          <w:rFonts w:cs="Arial"/>
          <w:color w:val="000000" w:themeColor="text1"/>
          <w:sz w:val="20"/>
          <w:szCs w:val="20"/>
        </w:rPr>
        <w:t xml:space="preserve">V roce 2023 byl v této aktivitě předložen a podpořen 1 projekt. Jednalo se o projekt </w:t>
      </w:r>
      <w:r w:rsidR="003963E9">
        <w:rPr>
          <w:rFonts w:cs="Arial"/>
          <w:color w:val="000000" w:themeColor="text1"/>
          <w:sz w:val="20"/>
          <w:szCs w:val="20"/>
        </w:rPr>
        <w:t>„</w:t>
      </w:r>
      <w:r w:rsidRPr="003963E9">
        <w:rPr>
          <w:rFonts w:cs="Arial"/>
          <w:color w:val="000000" w:themeColor="text1"/>
          <w:sz w:val="20"/>
          <w:szCs w:val="20"/>
        </w:rPr>
        <w:t>Aby děti byly slyšet! Preventivní vzdělávací aktivity proti domácímu násilí</w:t>
      </w:r>
      <w:r w:rsidR="003963E9">
        <w:rPr>
          <w:rFonts w:cs="Arial"/>
          <w:color w:val="000000" w:themeColor="text1"/>
          <w:sz w:val="20"/>
          <w:szCs w:val="20"/>
        </w:rPr>
        <w:t>“</w:t>
      </w:r>
      <w:r w:rsidRPr="00FD1C54">
        <w:rPr>
          <w:rFonts w:cs="Arial"/>
          <w:color w:val="000000" w:themeColor="text1"/>
          <w:sz w:val="20"/>
          <w:szCs w:val="20"/>
        </w:rPr>
        <w:t xml:space="preserve"> předkladatele Centrum </w:t>
      </w:r>
      <w:proofErr w:type="gramStart"/>
      <w:r w:rsidRPr="00FD1C54">
        <w:rPr>
          <w:rFonts w:cs="Arial"/>
          <w:color w:val="000000" w:themeColor="text1"/>
          <w:sz w:val="20"/>
          <w:szCs w:val="20"/>
        </w:rPr>
        <w:t>LOCIKA, z.ú.</w:t>
      </w:r>
      <w:proofErr w:type="gramEnd"/>
      <w:r w:rsidRPr="00FD1C54">
        <w:rPr>
          <w:rFonts w:cs="Arial"/>
          <w:color w:val="000000" w:themeColor="text1"/>
          <w:sz w:val="20"/>
          <w:szCs w:val="20"/>
        </w:rPr>
        <w:t xml:space="preserve"> Hlavním cílem bylo prostřednictvím vzdělávacích akti</w:t>
      </w:r>
      <w:r w:rsidR="0064214B">
        <w:rPr>
          <w:rFonts w:cs="Arial"/>
          <w:color w:val="000000" w:themeColor="text1"/>
          <w:sz w:val="20"/>
          <w:szCs w:val="20"/>
        </w:rPr>
        <w:t>vit, materiálů a kampaně poučit děti</w:t>
      </w:r>
      <w:r w:rsidRPr="00FD1C54">
        <w:rPr>
          <w:rFonts w:cs="Arial"/>
          <w:color w:val="000000" w:themeColor="text1"/>
          <w:sz w:val="20"/>
          <w:szCs w:val="20"/>
        </w:rPr>
        <w:t xml:space="preserve"> z cílové skupiny (ve věku 6–15 let) o různých formách násilí v rodině, zvýšit schopnost násilí identifikovat, posílit možnosti ochrany a podpořit možnosti řešení nastalé situace a zejména pak prevence přenosu násilného chování na další generaci.</w:t>
      </w:r>
    </w:p>
    <w:p w14:paraId="1F227CE7" w14:textId="3E739499" w:rsidR="00FD1C54" w:rsidRPr="00D63846" w:rsidRDefault="00D63846" w:rsidP="00FD1C54">
      <w:pPr>
        <w:rPr>
          <w:rFonts w:cs="Arial"/>
          <w:color w:val="000000" w:themeColor="text1"/>
          <w:sz w:val="20"/>
          <w:szCs w:val="20"/>
          <w:u w:val="single"/>
        </w:rPr>
      </w:pPr>
      <w:r w:rsidRPr="00D63846">
        <w:rPr>
          <w:rFonts w:cs="Arial"/>
          <w:color w:val="000000" w:themeColor="text1"/>
          <w:sz w:val="20"/>
          <w:szCs w:val="20"/>
        </w:rPr>
        <w:t>Oddělení podpory práv pacientů</w:t>
      </w:r>
      <w:r w:rsidR="00FD1C54" w:rsidRPr="00FD1C54">
        <w:rPr>
          <w:rFonts w:cs="Arial"/>
          <w:color w:val="000000" w:themeColor="text1"/>
          <w:sz w:val="20"/>
          <w:szCs w:val="20"/>
        </w:rPr>
        <w:t xml:space="preserve"> vede přehled pacientských organizací nabízející pomoc pacientům z Ukrajiny </w:t>
      </w:r>
      <w:hyperlink r:id="rId26" w:history="1">
        <w:r w:rsidR="00FD1C54" w:rsidRPr="00FD1C54">
          <w:rPr>
            <w:rStyle w:val="Hypertextovodkaz"/>
            <w:rFonts w:cs="Arial"/>
            <w:color w:val="000000" w:themeColor="text1"/>
            <w:sz w:val="20"/>
            <w:szCs w:val="20"/>
          </w:rPr>
          <w:t>https://pacientskeorganizace.mzcr.cz/index.php?pg=home&amp;aid=159</w:t>
        </w:r>
      </w:hyperlink>
      <w:r w:rsidR="00FD1C54" w:rsidRPr="00FD1C54">
        <w:rPr>
          <w:rFonts w:cs="Arial"/>
          <w:color w:val="000000" w:themeColor="text1"/>
          <w:sz w:val="20"/>
          <w:szCs w:val="20"/>
        </w:rPr>
        <w:t>).</w:t>
      </w:r>
    </w:p>
    <w:p w14:paraId="091E778C" w14:textId="77777777" w:rsidR="00FD1C54" w:rsidRPr="00D63846" w:rsidRDefault="00FD1C54" w:rsidP="00FD1C54">
      <w:pPr>
        <w:rPr>
          <w:rFonts w:cs="Arial"/>
          <w:color w:val="000000" w:themeColor="text1"/>
          <w:sz w:val="20"/>
          <w:szCs w:val="20"/>
        </w:rPr>
      </w:pPr>
      <w:r w:rsidRPr="00D63846">
        <w:rPr>
          <w:rFonts w:cs="Arial"/>
          <w:color w:val="000000" w:themeColor="text1"/>
          <w:sz w:val="20"/>
          <w:szCs w:val="20"/>
        </w:rPr>
        <w:t>Aktivity SZÚ:</w:t>
      </w:r>
    </w:p>
    <w:p w14:paraId="70DCF03A" w14:textId="77777777" w:rsidR="00FD1C54" w:rsidRPr="00FD1C54" w:rsidRDefault="00FD1C54" w:rsidP="00FD1C54">
      <w:pPr>
        <w:rPr>
          <w:rFonts w:cs="Arial"/>
          <w:color w:val="000000" w:themeColor="text1"/>
          <w:sz w:val="20"/>
          <w:szCs w:val="20"/>
        </w:rPr>
      </w:pPr>
      <w:r w:rsidRPr="00FD1C54">
        <w:rPr>
          <w:rFonts w:cs="Arial"/>
          <w:color w:val="000000" w:themeColor="text1"/>
          <w:sz w:val="20"/>
          <w:szCs w:val="20"/>
        </w:rPr>
        <w:lastRenderedPageBreak/>
        <w:t xml:space="preserve">V rámci projektu Podpora zdraví v rodinách, reg. </w:t>
      </w:r>
      <w:proofErr w:type="gramStart"/>
      <w:r w:rsidRPr="00FD1C54">
        <w:rPr>
          <w:rFonts w:cs="Arial"/>
          <w:color w:val="000000" w:themeColor="text1"/>
          <w:sz w:val="20"/>
          <w:szCs w:val="20"/>
        </w:rPr>
        <w:t>č.</w:t>
      </w:r>
      <w:proofErr w:type="gramEnd"/>
      <w:r w:rsidRPr="00FD1C54">
        <w:rPr>
          <w:rFonts w:cs="Arial"/>
          <w:color w:val="000000" w:themeColor="text1"/>
          <w:sz w:val="20"/>
          <w:szCs w:val="20"/>
        </w:rPr>
        <w:t xml:space="preserve"> CZ.03.02.02/00/22_005/0000723 a v rámci projektu Mediátor podpory zdraví, podpořeném UNICEF, je realizován program Prevence domácího násilí, který uvádí, jak poznat a řešit domácí násilí, a to i pro osoby se zdravotním postižením.</w:t>
      </w:r>
    </w:p>
    <w:p w14:paraId="059F96F7" w14:textId="0C6877DE" w:rsidR="00FD1C54" w:rsidRPr="00FD1C54" w:rsidRDefault="00FD1C54" w:rsidP="00FD1C54">
      <w:pPr>
        <w:rPr>
          <w:rFonts w:cs="Arial"/>
          <w:color w:val="000000" w:themeColor="text1"/>
          <w:sz w:val="20"/>
          <w:szCs w:val="20"/>
        </w:rPr>
      </w:pPr>
      <w:r w:rsidRPr="00FD1C54">
        <w:rPr>
          <w:rFonts w:cs="Arial"/>
          <w:color w:val="000000" w:themeColor="text1"/>
          <w:sz w:val="20"/>
          <w:szCs w:val="20"/>
        </w:rPr>
        <w:t>Pokud se s těmito programy znevýhodněné osoby identifikují, pracovníci SZÚ přizpůsobí intervenci na přísluš</w:t>
      </w:r>
      <w:r w:rsidR="00D63846">
        <w:rPr>
          <w:rFonts w:cs="Arial"/>
          <w:color w:val="000000" w:themeColor="text1"/>
          <w:sz w:val="20"/>
          <w:szCs w:val="20"/>
        </w:rPr>
        <w:t>ná krizová centra v krajích.</w:t>
      </w:r>
    </w:p>
    <w:p w14:paraId="2FCC9E55" w14:textId="38B2045F" w:rsidR="001329D0" w:rsidRPr="00FD1C54" w:rsidRDefault="001329D0" w:rsidP="00FD1C54">
      <w:pPr>
        <w:keepNext/>
        <w:tabs>
          <w:tab w:val="left" w:pos="720"/>
        </w:tabs>
        <w:rPr>
          <w:rFonts w:cs="Arial"/>
          <w:b/>
          <w:bCs/>
          <w:sz w:val="20"/>
          <w:szCs w:val="20"/>
          <w:lang w:eastAsia="cs-CZ"/>
        </w:rPr>
      </w:pPr>
      <w:r w:rsidRPr="00FD1C54">
        <w:rPr>
          <w:rFonts w:cs="Arial"/>
          <w:b/>
          <w:bCs/>
          <w:sz w:val="20"/>
          <w:szCs w:val="20"/>
          <w:lang w:eastAsia="cs-CZ"/>
        </w:rPr>
        <w:t>STANOVISKO K PLNĚNÍ:</w:t>
      </w:r>
      <w:r w:rsidR="007F4C1D" w:rsidRPr="00FD1C54">
        <w:rPr>
          <w:rFonts w:cs="Arial"/>
          <w:b/>
          <w:sz w:val="20"/>
          <w:szCs w:val="20"/>
        </w:rPr>
        <w:t xml:space="preserve"> Plněno.</w:t>
      </w:r>
    </w:p>
    <w:p w14:paraId="33643B77" w14:textId="77777777" w:rsidR="001329D0" w:rsidRPr="00084854" w:rsidRDefault="001329D0" w:rsidP="00084854">
      <w:pPr>
        <w:rPr>
          <w:rFonts w:cs="Arial"/>
          <w:sz w:val="20"/>
          <w:szCs w:val="20"/>
        </w:rPr>
      </w:pPr>
    </w:p>
    <w:p w14:paraId="42783183" w14:textId="586BF95B" w:rsidR="00F17E74" w:rsidRPr="00831152" w:rsidRDefault="00F17E74" w:rsidP="00F17E74">
      <w:pPr>
        <w:rPr>
          <w:rFonts w:cs="Arial"/>
          <w:szCs w:val="20"/>
        </w:rPr>
      </w:pPr>
      <w:r w:rsidRPr="0035060D">
        <w:rPr>
          <w:rFonts w:cs="Arial"/>
          <w:bCs/>
          <w:szCs w:val="20"/>
        </w:rPr>
        <w:t xml:space="preserve">Opatření </w:t>
      </w:r>
      <w:r>
        <w:rPr>
          <w:rFonts w:cs="Arial"/>
          <w:szCs w:val="20"/>
        </w:rPr>
        <w:t>1.6</w:t>
      </w:r>
      <w:r w:rsidRPr="0035060D">
        <w:rPr>
          <w:rFonts w:cs="Arial"/>
          <w:szCs w:val="20"/>
        </w:rPr>
        <w:t>.</w:t>
      </w:r>
      <w:r>
        <w:rPr>
          <w:rFonts w:cs="Arial"/>
          <w:szCs w:val="20"/>
        </w:rPr>
        <w:t>2</w:t>
      </w:r>
      <w:r w:rsidRPr="00831152">
        <w:rPr>
          <w:rFonts w:cs="Arial"/>
          <w:szCs w:val="20"/>
        </w:rPr>
        <w:t xml:space="preserve"> </w:t>
      </w:r>
      <w:r>
        <w:rPr>
          <w:rFonts w:cs="Arial"/>
          <w:szCs w:val="20"/>
        </w:rPr>
        <w:t>V rámci preventivních a osvětových aktivit klást zvýšený důraz na osoby se</w:t>
      </w:r>
      <w:r w:rsidR="00251C70">
        <w:rPr>
          <w:rFonts w:cs="Arial"/>
          <w:szCs w:val="20"/>
        </w:rPr>
        <w:t> </w:t>
      </w:r>
      <w:r>
        <w:rPr>
          <w:rFonts w:cs="Arial"/>
          <w:szCs w:val="20"/>
        </w:rPr>
        <w:t xml:space="preserve">zdravotním postižením jako na subjekty ohrožené </w:t>
      </w:r>
      <w:r w:rsidR="00CA5493">
        <w:rPr>
          <w:rFonts w:cs="Arial"/>
          <w:szCs w:val="20"/>
        </w:rPr>
        <w:t xml:space="preserve">zneužíváním a </w:t>
      </w:r>
      <w:r>
        <w:rPr>
          <w:rFonts w:cs="Arial"/>
          <w:szCs w:val="20"/>
        </w:rPr>
        <w:t>domácím násilím.</w:t>
      </w:r>
      <w:r w:rsidRPr="00831152">
        <w:rPr>
          <w:rFonts w:cs="Arial"/>
          <w:szCs w:val="20"/>
        </w:rPr>
        <w:t xml:space="preserve"> </w:t>
      </w:r>
    </w:p>
    <w:p w14:paraId="18103480" w14:textId="77777777" w:rsidR="00F17E74" w:rsidRPr="00831152" w:rsidRDefault="00F17E74" w:rsidP="00F17E74">
      <w:pPr>
        <w:rPr>
          <w:rFonts w:cs="Arial"/>
          <w:szCs w:val="20"/>
        </w:rPr>
      </w:pPr>
      <w:r w:rsidRPr="00831152">
        <w:rPr>
          <w:rFonts w:cs="Arial"/>
          <w:szCs w:val="20"/>
        </w:rPr>
        <w:t xml:space="preserve">Termín: </w:t>
      </w:r>
      <w:r>
        <w:rPr>
          <w:rFonts w:cs="Arial"/>
          <w:szCs w:val="20"/>
        </w:rPr>
        <w:t>průběžně</w:t>
      </w:r>
    </w:p>
    <w:p w14:paraId="651C739A" w14:textId="77777777" w:rsidR="00EB6FAD" w:rsidRDefault="00F17E74" w:rsidP="00EB6FAD">
      <w:pPr>
        <w:rPr>
          <w:rFonts w:cs="Arial"/>
          <w:szCs w:val="20"/>
        </w:rPr>
      </w:pPr>
      <w:r w:rsidRPr="00831152">
        <w:rPr>
          <w:rFonts w:cs="Arial"/>
          <w:szCs w:val="20"/>
        </w:rPr>
        <w:t>Gestor: MV</w:t>
      </w:r>
    </w:p>
    <w:p w14:paraId="5AFE9A53" w14:textId="62AB5A06" w:rsidR="00F17E74" w:rsidRDefault="00F17E74" w:rsidP="00EB6FAD">
      <w:pPr>
        <w:rPr>
          <w:rFonts w:cs="Arial"/>
          <w:szCs w:val="20"/>
        </w:rPr>
      </w:pPr>
      <w:r w:rsidRPr="007A148F">
        <w:rPr>
          <w:rFonts w:cs="Arial"/>
          <w:szCs w:val="20"/>
        </w:rPr>
        <w:t xml:space="preserve">Indikátor: </w:t>
      </w:r>
      <w:r>
        <w:rPr>
          <w:rFonts w:cs="Arial"/>
          <w:szCs w:val="20"/>
        </w:rPr>
        <w:t xml:space="preserve">Součástí </w:t>
      </w:r>
      <w:r w:rsidRPr="007A148F">
        <w:rPr>
          <w:rFonts w:cs="Arial"/>
          <w:szCs w:val="20"/>
        </w:rPr>
        <w:t>preventivní</w:t>
      </w:r>
      <w:r>
        <w:rPr>
          <w:rFonts w:cs="Arial"/>
          <w:szCs w:val="20"/>
        </w:rPr>
        <w:t>ch</w:t>
      </w:r>
      <w:r w:rsidRPr="007A148F">
        <w:rPr>
          <w:rFonts w:cs="Arial"/>
          <w:szCs w:val="20"/>
        </w:rPr>
        <w:t xml:space="preserve"> a osvětov</w:t>
      </w:r>
      <w:r>
        <w:rPr>
          <w:rFonts w:cs="Arial"/>
          <w:szCs w:val="20"/>
        </w:rPr>
        <w:t>ých</w:t>
      </w:r>
      <w:r w:rsidRPr="007A148F">
        <w:rPr>
          <w:rFonts w:cs="Arial"/>
          <w:szCs w:val="20"/>
        </w:rPr>
        <w:t xml:space="preserve"> aktivit</w:t>
      </w:r>
      <w:r>
        <w:rPr>
          <w:rFonts w:cs="Arial"/>
          <w:szCs w:val="20"/>
        </w:rPr>
        <w:t xml:space="preserve"> je i uvedená problematika</w:t>
      </w:r>
      <w:r w:rsidRPr="007A148F">
        <w:rPr>
          <w:rFonts w:cs="Arial"/>
          <w:szCs w:val="20"/>
        </w:rPr>
        <w:t>.</w:t>
      </w:r>
    </w:p>
    <w:p w14:paraId="1C98EE68" w14:textId="6E3C815B" w:rsidR="008C6CE6" w:rsidRPr="00A4362E" w:rsidRDefault="008C6CE6" w:rsidP="00CF0543">
      <w:pPr>
        <w:rPr>
          <w:rFonts w:cs="Arial"/>
          <w:sz w:val="20"/>
          <w:szCs w:val="20"/>
        </w:rPr>
      </w:pPr>
    </w:p>
    <w:p w14:paraId="4D4A2D84" w14:textId="788E7E66" w:rsidR="006C4C23" w:rsidRPr="000B1910" w:rsidRDefault="006C4C23" w:rsidP="000B1910">
      <w:pPr>
        <w:tabs>
          <w:tab w:val="left" w:pos="720"/>
        </w:tabs>
        <w:rPr>
          <w:rFonts w:cs="Arial"/>
          <w:b/>
          <w:bCs/>
          <w:sz w:val="20"/>
          <w:szCs w:val="20"/>
          <w:lang w:eastAsia="cs-CZ"/>
        </w:rPr>
      </w:pPr>
      <w:r w:rsidRPr="000B1910">
        <w:rPr>
          <w:rFonts w:cs="Arial"/>
          <w:b/>
          <w:bCs/>
          <w:sz w:val="20"/>
          <w:szCs w:val="20"/>
          <w:lang w:eastAsia="cs-CZ"/>
        </w:rPr>
        <w:t>PLNĚNÍ MV:</w:t>
      </w:r>
    </w:p>
    <w:p w14:paraId="420EFCF1" w14:textId="2ABEDBB3" w:rsidR="000B1910" w:rsidRPr="000B1910" w:rsidRDefault="000B1910" w:rsidP="000B1910">
      <w:pPr>
        <w:rPr>
          <w:rFonts w:cs="Arial"/>
          <w:sz w:val="20"/>
          <w:szCs w:val="20"/>
        </w:rPr>
      </w:pPr>
      <w:r w:rsidRPr="000B1910">
        <w:rPr>
          <w:rFonts w:cs="Arial"/>
          <w:sz w:val="20"/>
          <w:szCs w:val="20"/>
        </w:rPr>
        <w:t>Ministerstvo vnitra se v roce 2023 svým podpisem připojilo k Chartě proti domácímu násilí. V současné chvíli probíhají v rámci ministerstva práce na zapracování obsahu Charty s ohledem na možnosti státní správy. Jedná se o preventivní aktivitu (kdy obětí dom</w:t>
      </w:r>
      <w:r w:rsidR="00223C9E">
        <w:rPr>
          <w:rFonts w:cs="Arial"/>
          <w:sz w:val="20"/>
          <w:szCs w:val="20"/>
        </w:rPr>
        <w:t>ácího násilí mohou být i OZP) a </w:t>
      </w:r>
      <w:r w:rsidRPr="000B1910">
        <w:rPr>
          <w:rFonts w:cs="Arial"/>
          <w:sz w:val="20"/>
          <w:szCs w:val="20"/>
        </w:rPr>
        <w:t xml:space="preserve">snahu o vytvoření přívětivějšího a bezpečného prostředí pro zaměstnance ministerstva. </w:t>
      </w:r>
    </w:p>
    <w:p w14:paraId="2F76E67F" w14:textId="5C2DF4AA" w:rsidR="000B1910" w:rsidRPr="000B1910" w:rsidRDefault="000B1910" w:rsidP="000B1910">
      <w:pPr>
        <w:rPr>
          <w:rFonts w:cs="Arial"/>
          <w:sz w:val="20"/>
          <w:szCs w:val="20"/>
        </w:rPr>
      </w:pPr>
      <w:r w:rsidRPr="000B1910">
        <w:rPr>
          <w:rFonts w:cs="Arial"/>
          <w:sz w:val="20"/>
          <w:szCs w:val="20"/>
        </w:rPr>
        <w:t>V roce 2023 realizovala Policie ČR celorepublikový projekt „Mluvme o domácím násilí“, který je zaměřen zejména na pedagogy a dospělou populaci, aby dospělí dokázali u dětí vidět změny chování a mohli nabídnout pomoc, v případě, že se dítě chová posmutněle. Projekt cílí i na komunitu občanů Ukrajiny, kteří u nás aktuálně pobývají.</w:t>
      </w:r>
    </w:p>
    <w:p w14:paraId="37372C00" w14:textId="4217A0CF" w:rsidR="000B1910" w:rsidRPr="000B1910" w:rsidRDefault="0036409B" w:rsidP="000B1910">
      <w:pPr>
        <w:tabs>
          <w:tab w:val="left" w:pos="720"/>
        </w:tabs>
        <w:rPr>
          <w:rFonts w:cs="Arial"/>
          <w:b/>
          <w:bCs/>
          <w:sz w:val="20"/>
          <w:szCs w:val="20"/>
          <w:lang w:eastAsia="cs-CZ"/>
        </w:rPr>
      </w:pPr>
      <w:r>
        <w:rPr>
          <w:rFonts w:cs="Arial"/>
          <w:sz w:val="20"/>
          <w:szCs w:val="20"/>
        </w:rPr>
        <w:t>Podrobný přehled aktivit byl sekretariátu VVOZP zaslán v samostatných přílohách.</w:t>
      </w:r>
    </w:p>
    <w:p w14:paraId="223B734D" w14:textId="7DC88BDA" w:rsidR="006C4C23" w:rsidRPr="000B1910" w:rsidRDefault="006C4C23" w:rsidP="000B1910">
      <w:pPr>
        <w:keepNext/>
        <w:tabs>
          <w:tab w:val="left" w:pos="720"/>
        </w:tabs>
        <w:rPr>
          <w:rFonts w:cs="Arial"/>
          <w:b/>
          <w:bCs/>
          <w:sz w:val="20"/>
          <w:szCs w:val="20"/>
          <w:lang w:eastAsia="cs-CZ"/>
        </w:rPr>
      </w:pPr>
      <w:r w:rsidRPr="000B1910">
        <w:rPr>
          <w:rFonts w:cs="Arial"/>
          <w:b/>
          <w:bCs/>
          <w:sz w:val="20"/>
          <w:szCs w:val="20"/>
          <w:lang w:eastAsia="cs-CZ"/>
        </w:rPr>
        <w:t>STANOVISKO K PLNĚNÍ:</w:t>
      </w:r>
      <w:r w:rsidR="00C95D7B" w:rsidRPr="000B1910">
        <w:rPr>
          <w:rFonts w:cs="Arial"/>
          <w:b/>
          <w:bCs/>
          <w:sz w:val="20"/>
          <w:szCs w:val="20"/>
          <w:lang w:eastAsia="cs-CZ"/>
        </w:rPr>
        <w:t xml:space="preserve"> Plněno.</w:t>
      </w:r>
    </w:p>
    <w:p w14:paraId="11D7EEA8" w14:textId="77777777" w:rsidR="008C6CE6" w:rsidRPr="00A4362E" w:rsidRDefault="008C6CE6" w:rsidP="00CF0543">
      <w:pPr>
        <w:rPr>
          <w:rFonts w:cs="Arial"/>
          <w:sz w:val="20"/>
          <w:szCs w:val="20"/>
        </w:rPr>
      </w:pPr>
    </w:p>
    <w:p w14:paraId="74733FCF" w14:textId="77777777" w:rsidR="00F17E74" w:rsidRPr="00CD658D" w:rsidRDefault="00F17E74" w:rsidP="00F17E74">
      <w:pPr>
        <w:rPr>
          <w:rFonts w:cs="Arial"/>
          <w:szCs w:val="20"/>
        </w:rPr>
      </w:pPr>
      <w:r w:rsidRPr="0035060D">
        <w:rPr>
          <w:rFonts w:cs="Arial"/>
          <w:bCs/>
          <w:szCs w:val="20"/>
        </w:rPr>
        <w:t xml:space="preserve">Opatření </w:t>
      </w:r>
      <w:r>
        <w:rPr>
          <w:rFonts w:cs="Arial"/>
          <w:szCs w:val="20"/>
        </w:rPr>
        <w:t>1.6</w:t>
      </w:r>
      <w:r w:rsidRPr="0035060D">
        <w:rPr>
          <w:rFonts w:cs="Arial"/>
          <w:szCs w:val="20"/>
        </w:rPr>
        <w:t>.</w:t>
      </w:r>
      <w:r>
        <w:rPr>
          <w:rFonts w:cs="Arial"/>
          <w:szCs w:val="20"/>
        </w:rPr>
        <w:t>3</w:t>
      </w:r>
      <w:r w:rsidRPr="0035060D">
        <w:rPr>
          <w:rFonts w:cs="Arial"/>
          <w:szCs w:val="20"/>
        </w:rPr>
        <w:t xml:space="preserve"> </w:t>
      </w:r>
      <w:r>
        <w:rPr>
          <w:rFonts w:cs="Arial"/>
          <w:szCs w:val="20"/>
        </w:rPr>
        <w:t>Zaměřit se v rámci provádění kontrol pobytových zařízení sociálních služeb na</w:t>
      </w:r>
      <w:r w:rsidR="00251C70">
        <w:rPr>
          <w:rFonts w:cs="Arial"/>
          <w:szCs w:val="20"/>
        </w:rPr>
        <w:t> </w:t>
      </w:r>
      <w:r>
        <w:rPr>
          <w:rFonts w:cs="Arial"/>
          <w:szCs w:val="20"/>
        </w:rPr>
        <w:t xml:space="preserve">oblast </w:t>
      </w:r>
      <w:r w:rsidRPr="00CD658D">
        <w:rPr>
          <w:rFonts w:cs="Arial"/>
          <w:szCs w:val="20"/>
        </w:rPr>
        <w:t>násilí na osobách se zdravotním postižení</w:t>
      </w:r>
      <w:r w:rsidR="0002667F">
        <w:rPr>
          <w:rFonts w:cs="Arial"/>
          <w:szCs w:val="20"/>
        </w:rPr>
        <w:t>m</w:t>
      </w:r>
      <w:r w:rsidRPr="00CD658D">
        <w:rPr>
          <w:rFonts w:cs="Arial"/>
          <w:szCs w:val="20"/>
        </w:rPr>
        <w:t>.</w:t>
      </w:r>
    </w:p>
    <w:p w14:paraId="0463EA5B" w14:textId="77777777" w:rsidR="00F17E74" w:rsidRPr="00831152" w:rsidRDefault="00F17E74" w:rsidP="00F17E74">
      <w:pPr>
        <w:rPr>
          <w:rFonts w:cs="Arial"/>
          <w:szCs w:val="20"/>
        </w:rPr>
      </w:pPr>
      <w:r w:rsidRPr="00831152">
        <w:rPr>
          <w:rFonts w:cs="Arial"/>
          <w:szCs w:val="20"/>
        </w:rPr>
        <w:t xml:space="preserve">Termín: </w:t>
      </w:r>
      <w:r>
        <w:rPr>
          <w:rFonts w:cs="Arial"/>
          <w:szCs w:val="20"/>
        </w:rPr>
        <w:t>průběžně</w:t>
      </w:r>
    </w:p>
    <w:p w14:paraId="082245CE" w14:textId="77777777" w:rsidR="00F17E74" w:rsidRPr="00831152" w:rsidRDefault="00F17E74" w:rsidP="00F17E74">
      <w:pPr>
        <w:rPr>
          <w:rFonts w:cs="Arial"/>
          <w:szCs w:val="20"/>
        </w:rPr>
      </w:pPr>
      <w:r w:rsidRPr="00831152">
        <w:rPr>
          <w:rFonts w:cs="Arial"/>
          <w:szCs w:val="20"/>
        </w:rPr>
        <w:t>Gestor: MPSV</w:t>
      </w:r>
    </w:p>
    <w:p w14:paraId="25DCB1C6" w14:textId="0DC04073" w:rsidR="00F17E74" w:rsidRDefault="00F17E74" w:rsidP="006854A4">
      <w:pPr>
        <w:rPr>
          <w:rFonts w:cs="Arial"/>
          <w:szCs w:val="20"/>
        </w:rPr>
      </w:pPr>
      <w:r w:rsidRPr="007A148F">
        <w:rPr>
          <w:rFonts w:cs="Arial"/>
          <w:szCs w:val="20"/>
        </w:rPr>
        <w:t>Indikátor:</w:t>
      </w:r>
      <w:r>
        <w:rPr>
          <w:rFonts w:cs="Arial"/>
          <w:szCs w:val="20"/>
        </w:rPr>
        <w:t xml:space="preserve"> </w:t>
      </w:r>
      <w:r w:rsidRPr="007A148F">
        <w:rPr>
          <w:rFonts w:cs="Arial"/>
          <w:szCs w:val="20"/>
        </w:rPr>
        <w:t>V daném období b</w:t>
      </w:r>
      <w:r>
        <w:rPr>
          <w:rFonts w:cs="Arial"/>
          <w:szCs w:val="20"/>
        </w:rPr>
        <w:t>yly</w:t>
      </w:r>
      <w:r w:rsidRPr="007A148F">
        <w:rPr>
          <w:rFonts w:cs="Arial"/>
          <w:szCs w:val="20"/>
        </w:rPr>
        <w:t xml:space="preserve"> realizovány uvedené aktivity</w:t>
      </w:r>
      <w:r>
        <w:rPr>
          <w:rFonts w:cs="Arial"/>
          <w:szCs w:val="20"/>
        </w:rPr>
        <w:t>.</w:t>
      </w:r>
    </w:p>
    <w:p w14:paraId="23754489" w14:textId="77777777" w:rsidR="006854A4" w:rsidRPr="00F32FBE" w:rsidRDefault="006854A4" w:rsidP="00F32FBE">
      <w:pPr>
        <w:rPr>
          <w:rFonts w:cs="Arial"/>
          <w:sz w:val="20"/>
          <w:szCs w:val="20"/>
        </w:rPr>
      </w:pPr>
    </w:p>
    <w:p w14:paraId="75408AEB" w14:textId="6B1B411C" w:rsidR="008C6CE6" w:rsidRPr="00F71A09" w:rsidRDefault="008C6CE6" w:rsidP="00F71A09">
      <w:pPr>
        <w:keepNext/>
        <w:tabs>
          <w:tab w:val="left" w:pos="720"/>
        </w:tabs>
        <w:rPr>
          <w:rFonts w:cs="Arial"/>
          <w:b/>
          <w:bCs/>
          <w:sz w:val="20"/>
          <w:szCs w:val="20"/>
          <w:lang w:eastAsia="cs-CZ"/>
        </w:rPr>
      </w:pPr>
      <w:r w:rsidRPr="00F71A09">
        <w:rPr>
          <w:rFonts w:cs="Arial"/>
          <w:b/>
          <w:bCs/>
          <w:sz w:val="20"/>
          <w:szCs w:val="20"/>
          <w:lang w:eastAsia="cs-CZ"/>
        </w:rPr>
        <w:t>PLNĚNÍ MPSV:</w:t>
      </w:r>
    </w:p>
    <w:p w14:paraId="4EEE66D3" w14:textId="39DC0200" w:rsidR="00F71A09" w:rsidRPr="00F71A09" w:rsidRDefault="00F71A09" w:rsidP="00F71A09">
      <w:pPr>
        <w:rPr>
          <w:rFonts w:cs="Arial"/>
          <w:sz w:val="20"/>
          <w:szCs w:val="20"/>
        </w:rPr>
      </w:pPr>
      <w:r w:rsidRPr="00F71A09">
        <w:rPr>
          <w:rFonts w:cs="Arial"/>
          <w:sz w:val="20"/>
          <w:szCs w:val="20"/>
        </w:rPr>
        <w:t>Inspekce poskytování sociálních služeb se na základě výkonu předmětu inspekce dle § 97 odst. 2 zákona č. 108/2006 Sb., o sociálních službách, ve znění pozdějš</w:t>
      </w:r>
      <w:r w:rsidR="00223C9E">
        <w:rPr>
          <w:rFonts w:cs="Arial"/>
          <w:sz w:val="20"/>
          <w:szCs w:val="20"/>
        </w:rPr>
        <w:t>ích předpisů (dále jen „zákon o </w:t>
      </w:r>
      <w:r w:rsidRPr="00F71A09">
        <w:rPr>
          <w:rFonts w:cs="Arial"/>
          <w:sz w:val="20"/>
          <w:szCs w:val="20"/>
        </w:rPr>
        <w:t>sociálních službách“) zaměřuje jako orgán oprávněný provádět kontrolu poskytování sociálních služeb na problematiku násilí na osobách se ZP především v rámci šetření plnění povinnosti poskytovatelů sociálních služeb:</w:t>
      </w:r>
    </w:p>
    <w:p w14:paraId="2AEB9148" w14:textId="77777777" w:rsidR="00F71A09" w:rsidRPr="00F71A09" w:rsidRDefault="00F71A09" w:rsidP="00F71A09">
      <w:pPr>
        <w:numPr>
          <w:ilvl w:val="0"/>
          <w:numId w:val="20"/>
        </w:numPr>
        <w:rPr>
          <w:rFonts w:cs="Arial"/>
          <w:sz w:val="20"/>
          <w:szCs w:val="20"/>
        </w:rPr>
      </w:pPr>
      <w:r w:rsidRPr="00F71A09">
        <w:rPr>
          <w:rFonts w:cs="Arial"/>
          <w:sz w:val="20"/>
          <w:szCs w:val="20"/>
        </w:rPr>
        <w:t>vytvářet při poskytování sociálních služeb takové podmínky, které umožní osobám, kterým poskytují sociální služby, naplňovat jejich lidská i občanská práva, a které zamezí střetům zájmů těchto osob se zájmy poskytovatele sociální služby a zpracovat vnitřní pravidla zajištění poskytované sociální služby, včetně stanovení pravidel pro uplatnění oprávněných zájmů osob, a to ve formě srozumitelné pro všechny osoby</w:t>
      </w:r>
    </w:p>
    <w:p w14:paraId="2A314ED3" w14:textId="77777777" w:rsidR="00F71A09" w:rsidRPr="00F71A09" w:rsidRDefault="00F71A09" w:rsidP="00F71A09">
      <w:pPr>
        <w:numPr>
          <w:ilvl w:val="0"/>
          <w:numId w:val="20"/>
        </w:numPr>
        <w:rPr>
          <w:rFonts w:cs="Arial"/>
          <w:sz w:val="20"/>
          <w:szCs w:val="20"/>
        </w:rPr>
      </w:pPr>
      <w:r w:rsidRPr="00F71A09">
        <w:rPr>
          <w:rFonts w:cs="Arial"/>
          <w:sz w:val="20"/>
          <w:szCs w:val="20"/>
        </w:rPr>
        <w:t>zpracovat vnitřní pravidla pro podávání a vyřizování stížností osob, kterým poskytují sociální služby, na úroveň služeb, a to ve formě srozumitelné pro všechny osoby</w:t>
      </w:r>
    </w:p>
    <w:p w14:paraId="40A9BC0F" w14:textId="77777777" w:rsidR="00F71A09" w:rsidRPr="00F71A09" w:rsidRDefault="00F71A09" w:rsidP="00F71A09">
      <w:pPr>
        <w:numPr>
          <w:ilvl w:val="0"/>
          <w:numId w:val="20"/>
        </w:numPr>
        <w:rPr>
          <w:rFonts w:cs="Arial"/>
          <w:sz w:val="20"/>
          <w:szCs w:val="20"/>
        </w:rPr>
      </w:pPr>
      <w:r w:rsidRPr="00F71A09">
        <w:rPr>
          <w:rFonts w:cs="Arial"/>
          <w:sz w:val="20"/>
          <w:szCs w:val="20"/>
        </w:rPr>
        <w:lastRenderedPageBreak/>
        <w:t>plánovat průběh poskytování sociální služby podle osobních cílů, potřeb a schopností osob, kterým poskytují sociální služby, včetně vedení průběžných záznamů o průběhu poskytování sociální služby</w:t>
      </w:r>
    </w:p>
    <w:p w14:paraId="4AA06942" w14:textId="7008B744" w:rsidR="00F71A09" w:rsidRPr="00F71A09" w:rsidRDefault="00F71A09" w:rsidP="00F71A09">
      <w:pPr>
        <w:numPr>
          <w:ilvl w:val="0"/>
          <w:numId w:val="20"/>
        </w:numPr>
        <w:rPr>
          <w:rFonts w:cs="Arial"/>
          <w:sz w:val="20"/>
          <w:szCs w:val="20"/>
        </w:rPr>
      </w:pPr>
      <w:r w:rsidRPr="00F71A09">
        <w:rPr>
          <w:rFonts w:cs="Arial"/>
          <w:sz w:val="20"/>
          <w:szCs w:val="20"/>
        </w:rPr>
        <w:t>uzavřít s osobou smlouvu o poskytnutí sociální služby, poku</w:t>
      </w:r>
      <w:r w:rsidR="00223C9E">
        <w:rPr>
          <w:rFonts w:cs="Arial"/>
          <w:sz w:val="20"/>
          <w:szCs w:val="20"/>
        </w:rPr>
        <w:t>d tomu nebrání důvody uvedené v </w:t>
      </w:r>
      <w:r w:rsidRPr="00F71A09">
        <w:rPr>
          <w:rFonts w:cs="Arial"/>
          <w:sz w:val="20"/>
          <w:szCs w:val="20"/>
        </w:rPr>
        <w:t>§ 91 odst. 3 a vést příslušnou evidenci o žadatelích o sociální službu, se kterými nemohl uzavřít smlouvu o poskytnutí sociální služby</w:t>
      </w:r>
    </w:p>
    <w:p w14:paraId="06F2F2B4" w14:textId="01A952CA" w:rsidR="00F71A09" w:rsidRPr="00F71A09" w:rsidRDefault="00F71A09" w:rsidP="00F71A09">
      <w:pPr>
        <w:numPr>
          <w:ilvl w:val="0"/>
          <w:numId w:val="20"/>
        </w:numPr>
        <w:rPr>
          <w:rFonts w:cs="Arial"/>
          <w:sz w:val="20"/>
          <w:szCs w:val="20"/>
        </w:rPr>
      </w:pPr>
      <w:r w:rsidRPr="00F71A09">
        <w:rPr>
          <w:rFonts w:cs="Arial"/>
          <w:sz w:val="20"/>
          <w:szCs w:val="20"/>
        </w:rPr>
        <w:t>konat dle zákona o sociálních službách v případě, kdy osoba, která není schopna vypovědět smlouvu o poskytování pobytové sociální služby, p</w:t>
      </w:r>
      <w:r w:rsidR="00223C9E">
        <w:rPr>
          <w:rFonts w:cs="Arial"/>
          <w:sz w:val="20"/>
          <w:szCs w:val="20"/>
        </w:rPr>
        <w:t>rojeví vážně míněný nesouhlas s </w:t>
      </w:r>
      <w:r w:rsidRPr="00F71A09">
        <w:rPr>
          <w:rFonts w:cs="Arial"/>
          <w:sz w:val="20"/>
          <w:szCs w:val="20"/>
        </w:rPr>
        <w:t>poskytováním pobytové sociální služby</w:t>
      </w:r>
    </w:p>
    <w:p w14:paraId="3155A22F" w14:textId="77777777" w:rsidR="00F71A09" w:rsidRPr="00F71A09" w:rsidRDefault="00F71A09" w:rsidP="00F71A09">
      <w:pPr>
        <w:numPr>
          <w:ilvl w:val="0"/>
          <w:numId w:val="20"/>
        </w:numPr>
        <w:rPr>
          <w:rFonts w:cs="Arial"/>
          <w:sz w:val="20"/>
          <w:szCs w:val="20"/>
        </w:rPr>
      </w:pPr>
      <w:r w:rsidRPr="00F71A09">
        <w:rPr>
          <w:rFonts w:cs="Arial"/>
          <w:sz w:val="20"/>
          <w:szCs w:val="20"/>
        </w:rPr>
        <w:t>dodržovat standardy kvality sociálních služeb.</w:t>
      </w:r>
    </w:p>
    <w:p w14:paraId="33945CAB" w14:textId="66207AA9" w:rsidR="00F71A09" w:rsidRPr="00F71A09" w:rsidRDefault="00F71A09" w:rsidP="00F71A09">
      <w:pPr>
        <w:rPr>
          <w:rFonts w:cs="Arial"/>
          <w:sz w:val="20"/>
          <w:szCs w:val="20"/>
        </w:rPr>
      </w:pPr>
      <w:r w:rsidRPr="00F71A09">
        <w:rPr>
          <w:rFonts w:cs="Arial"/>
          <w:sz w:val="20"/>
          <w:szCs w:val="20"/>
        </w:rPr>
        <w:t>Při provádění inspekce poskytování sociálních služeb jde v uvedených obl</w:t>
      </w:r>
      <w:r w:rsidR="00223C9E">
        <w:rPr>
          <w:rFonts w:cs="Arial"/>
          <w:sz w:val="20"/>
          <w:szCs w:val="20"/>
        </w:rPr>
        <w:t>astech o zkoumání a </w:t>
      </w:r>
      <w:r w:rsidRPr="00F71A09">
        <w:rPr>
          <w:rFonts w:cs="Arial"/>
          <w:sz w:val="20"/>
          <w:szCs w:val="20"/>
        </w:rPr>
        <w:t>zjišťování takového nastavení procesu poskytování sociální služby, které nebude umožňovat žádnou formu násilí na klientech sociální služby, tedy o posouzení, zda:</w:t>
      </w:r>
    </w:p>
    <w:p w14:paraId="5DB3EC8D" w14:textId="77777777" w:rsidR="00F71A09" w:rsidRPr="00F71A09" w:rsidRDefault="00F71A09" w:rsidP="00F71A09">
      <w:pPr>
        <w:rPr>
          <w:rFonts w:cs="Arial"/>
          <w:sz w:val="20"/>
          <w:szCs w:val="20"/>
        </w:rPr>
      </w:pPr>
      <w:r w:rsidRPr="00F71A09">
        <w:rPr>
          <w:rFonts w:cs="Arial"/>
          <w:sz w:val="20"/>
          <w:szCs w:val="20"/>
        </w:rPr>
        <w:t>1/ proces poskytování sociální služby je nastaven tak, aby bylo zajištěno:</w:t>
      </w:r>
    </w:p>
    <w:p w14:paraId="5A86D4A8" w14:textId="77777777" w:rsidR="00F71A09" w:rsidRPr="00F71A09" w:rsidRDefault="00F71A09" w:rsidP="00F71A09">
      <w:pPr>
        <w:pStyle w:val="Seznamsodrkami"/>
        <w:rPr>
          <w:rFonts w:cs="Arial"/>
          <w:sz w:val="20"/>
          <w:szCs w:val="20"/>
        </w:rPr>
      </w:pPr>
      <w:r w:rsidRPr="00F71A09">
        <w:rPr>
          <w:rFonts w:cs="Arial"/>
          <w:sz w:val="20"/>
          <w:szCs w:val="20"/>
        </w:rPr>
        <w:t xml:space="preserve">dodržování, umožnění naplňování a respekt ke všem základním lidským právům a svobodách klientů sociální služby </w:t>
      </w:r>
    </w:p>
    <w:p w14:paraId="01991F68" w14:textId="77777777" w:rsidR="00F71A09" w:rsidRPr="00F71A09" w:rsidRDefault="00F71A09" w:rsidP="00F71A09">
      <w:pPr>
        <w:pStyle w:val="Seznamsodrkami"/>
        <w:rPr>
          <w:rFonts w:cs="Arial"/>
          <w:sz w:val="20"/>
          <w:szCs w:val="20"/>
        </w:rPr>
      </w:pPr>
      <w:r w:rsidRPr="00F71A09">
        <w:rPr>
          <w:rFonts w:cs="Arial"/>
          <w:sz w:val="20"/>
          <w:szCs w:val="20"/>
        </w:rPr>
        <w:t>důsledné vytváření podmínek pro naplňování vlastní vůle klientů sociální služby při řešení své vlastní nepříznivé sociální situace</w:t>
      </w:r>
    </w:p>
    <w:p w14:paraId="6A567B3F" w14:textId="06AACD4B" w:rsidR="00F71A09" w:rsidRPr="00F71A09" w:rsidRDefault="00F71A09" w:rsidP="00F71A09">
      <w:pPr>
        <w:pStyle w:val="Seznamsodrkami"/>
        <w:rPr>
          <w:rFonts w:cs="Arial"/>
          <w:sz w:val="20"/>
          <w:szCs w:val="20"/>
        </w:rPr>
      </w:pPr>
      <w:r w:rsidRPr="00F71A09">
        <w:rPr>
          <w:rFonts w:cs="Arial"/>
          <w:sz w:val="20"/>
          <w:szCs w:val="20"/>
        </w:rPr>
        <w:t>nastavení poskytování sociální služby a její realizace tak, aby byla ve všech oblastech naplňování potřeb a přání klienta v procesu využívání sociální služby důsledně nastavena podpora a pomoc tak, aby v žádné oblasti nebyla potlačována, ovlivňována nebo ner</w:t>
      </w:r>
      <w:r w:rsidR="00223C9E">
        <w:rPr>
          <w:rFonts w:cs="Arial"/>
          <w:sz w:val="20"/>
          <w:szCs w:val="20"/>
        </w:rPr>
        <w:t>espektována vůle klienta a </w:t>
      </w:r>
      <w:r w:rsidRPr="00F71A09">
        <w:rPr>
          <w:rFonts w:cs="Arial"/>
          <w:sz w:val="20"/>
          <w:szCs w:val="20"/>
        </w:rPr>
        <w:t>nerespektován jeho zájem.</w:t>
      </w:r>
    </w:p>
    <w:p w14:paraId="12C30F02" w14:textId="77777777" w:rsidR="00F71A09" w:rsidRPr="00F71A09" w:rsidRDefault="00F71A09" w:rsidP="00F71A09">
      <w:pPr>
        <w:rPr>
          <w:rFonts w:cs="Arial"/>
          <w:sz w:val="20"/>
          <w:szCs w:val="20"/>
        </w:rPr>
      </w:pPr>
      <w:r w:rsidRPr="00F71A09">
        <w:rPr>
          <w:rFonts w:cs="Arial"/>
          <w:sz w:val="20"/>
          <w:szCs w:val="20"/>
        </w:rPr>
        <w:t>2/ klienti sociální služby nejsou jakoukoliv formou nuceni do realizace činností v rámci poskytování sociální služby.</w:t>
      </w:r>
    </w:p>
    <w:p w14:paraId="60238CFA" w14:textId="77777777" w:rsidR="00F71A09" w:rsidRPr="00F71A09" w:rsidRDefault="00F71A09" w:rsidP="00F71A09">
      <w:pPr>
        <w:rPr>
          <w:rFonts w:cs="Arial"/>
          <w:sz w:val="20"/>
          <w:szCs w:val="20"/>
        </w:rPr>
      </w:pPr>
      <w:r w:rsidRPr="00F71A09">
        <w:rPr>
          <w:rFonts w:cs="Arial"/>
          <w:sz w:val="20"/>
          <w:szCs w:val="20"/>
        </w:rPr>
        <w:t>Ve výše uvedených oblastech se jedná převážně o zjišťování možného výskytu formy psychického násilí na osobách se ZP.</w:t>
      </w:r>
    </w:p>
    <w:p w14:paraId="4EE43713" w14:textId="555060F8" w:rsidR="00F71A09" w:rsidRPr="00F71A09" w:rsidRDefault="00F71A09" w:rsidP="00F71A09">
      <w:pPr>
        <w:rPr>
          <w:rFonts w:cs="Arial"/>
          <w:sz w:val="20"/>
          <w:szCs w:val="20"/>
        </w:rPr>
      </w:pPr>
      <w:r w:rsidRPr="00F71A09">
        <w:rPr>
          <w:rFonts w:cs="Arial"/>
          <w:sz w:val="20"/>
          <w:szCs w:val="20"/>
        </w:rPr>
        <w:t>Oblast, kde by mohla být zjištěna situace možného výskytu formy fyzického násilí na osobách se ZP, je v předmětu inspekce kontrola naplňování požadavků § 89 zákona o sociálních službách, tj. možnost používat opatření omezující pohyb osob, jimž jsou sociální služby poskytovány v případech přímého ohrožení jejich zdraví a života nebo zdraví a života jiných fyzických osob, a to za stanovených podmínek pouze po dobu nezbytně nutnou, která postačuje k odstranění přímého ohrožení jejich zdraví a života a života jiných fyzických osob. Zde je důsledně ko</w:t>
      </w:r>
      <w:r w:rsidR="00223C9E">
        <w:rPr>
          <w:rFonts w:cs="Arial"/>
          <w:sz w:val="20"/>
          <w:szCs w:val="20"/>
        </w:rPr>
        <w:t>ntrolováno nastavení podmínek a </w:t>
      </w:r>
      <w:r w:rsidRPr="00F71A09">
        <w:rPr>
          <w:rFonts w:cs="Arial"/>
          <w:sz w:val="20"/>
          <w:szCs w:val="20"/>
        </w:rPr>
        <w:t xml:space="preserve">vedení evidence případných situací, kdy k použití opatření omezující pohyb osob v rámci poskytování sociální služby došlo. </w:t>
      </w:r>
    </w:p>
    <w:p w14:paraId="2421AF18" w14:textId="77777777" w:rsidR="00F71A09" w:rsidRPr="00F71A09" w:rsidRDefault="00F71A09" w:rsidP="00F71A09">
      <w:pPr>
        <w:rPr>
          <w:rFonts w:cs="Arial"/>
          <w:sz w:val="20"/>
          <w:szCs w:val="20"/>
        </w:rPr>
      </w:pPr>
      <w:r w:rsidRPr="00F71A09">
        <w:rPr>
          <w:rFonts w:cs="Arial"/>
          <w:sz w:val="20"/>
          <w:szCs w:val="20"/>
        </w:rPr>
        <w:t>Je-li procesem výkonu inspekce odhaleno takové nastavení vnitřních pravidel a postupů poskytovatele, které umožňuje omezování vůle klienta, popř. manipulaci s klientem v rámci vnucování mu vůle poskytovatele tzv. „v dobré víře, že konání poskytovatele vede ku prospěchu klienta“, je přistoupeno k uložení opatření k odstranění zjištěných nedostatků Protokolem o inspekci, jehož splnění je vůči poskytovateli vymahatelné.</w:t>
      </w:r>
    </w:p>
    <w:p w14:paraId="3B46E15E" w14:textId="77777777" w:rsidR="00F71A09" w:rsidRPr="00F71A09" w:rsidRDefault="00F71A09" w:rsidP="00F71A09">
      <w:pPr>
        <w:rPr>
          <w:rFonts w:cs="Arial"/>
          <w:sz w:val="20"/>
          <w:szCs w:val="20"/>
        </w:rPr>
      </w:pPr>
      <w:r w:rsidRPr="00F71A09">
        <w:rPr>
          <w:rFonts w:cs="Arial"/>
          <w:sz w:val="20"/>
          <w:szCs w:val="20"/>
        </w:rPr>
        <w:t xml:space="preserve">Dojde-li procesem výkonu inspekce ke zjištění porušování práv a svobod klienta sociální služby ve formě psychického nebo fyzického násilí, je ze strany inspekce bezodkladně přistoupeno formou Usnesení k postoupení tohoto zjištění orgánům činným v trestním řízení. </w:t>
      </w:r>
    </w:p>
    <w:p w14:paraId="0F9DC377" w14:textId="0F798E81" w:rsidR="00F71A09" w:rsidRPr="00F71A09" w:rsidRDefault="00F71A09" w:rsidP="00F71A09">
      <w:pPr>
        <w:rPr>
          <w:rFonts w:cs="Arial"/>
          <w:bCs/>
          <w:sz w:val="20"/>
          <w:szCs w:val="20"/>
        </w:rPr>
      </w:pPr>
      <w:r w:rsidRPr="00F71A09">
        <w:rPr>
          <w:rFonts w:cs="Arial"/>
          <w:sz w:val="20"/>
          <w:szCs w:val="20"/>
        </w:rPr>
        <w:t>V roce 2023 byla inspekcí poskytování sociálních služeb zjištěna u jednoho poskytovatele sociálních služeb situace možného zanedbání poskytování zdravotní péče a  z předložených záznamů průběhu poskytování sociální služby vzniklo zároveň podezření na hrubé a nedůstojné zacházení některých zaměstnanců poskytovatele s klienty. Tato zjištění byla formou výzvy k prošetření předána Okresnímu státnímu zastupitelství a formou oznámení o podezření na spáchání trestného činu Krajskému státnímu zastupitelství. V tuto chvíli probíhá v dané věci řízení.</w:t>
      </w:r>
    </w:p>
    <w:p w14:paraId="0BA016B5" w14:textId="5BB2CF8B" w:rsidR="00AB189E" w:rsidRPr="00F71A09" w:rsidRDefault="008C6CE6" w:rsidP="00F71A09">
      <w:pPr>
        <w:keepNext/>
        <w:tabs>
          <w:tab w:val="left" w:pos="720"/>
        </w:tabs>
        <w:rPr>
          <w:rFonts w:cs="Arial"/>
          <w:b/>
          <w:bCs/>
          <w:sz w:val="20"/>
          <w:szCs w:val="20"/>
          <w:lang w:eastAsia="cs-CZ"/>
        </w:rPr>
      </w:pPr>
      <w:r w:rsidRPr="00F71A09">
        <w:rPr>
          <w:rFonts w:cs="Arial"/>
          <w:b/>
          <w:bCs/>
          <w:sz w:val="20"/>
          <w:szCs w:val="20"/>
          <w:lang w:eastAsia="cs-CZ"/>
        </w:rPr>
        <w:t>STANOVISKO K </w:t>
      </w:r>
      <w:r w:rsidRPr="004727C3">
        <w:rPr>
          <w:rFonts w:cs="Arial"/>
          <w:b/>
          <w:bCs/>
          <w:sz w:val="20"/>
          <w:szCs w:val="20"/>
          <w:lang w:eastAsia="cs-CZ"/>
        </w:rPr>
        <w:t>PLNĚNÍ:</w:t>
      </w:r>
      <w:r w:rsidR="00F073A6" w:rsidRPr="004727C3">
        <w:rPr>
          <w:rFonts w:cs="Arial"/>
          <w:b/>
          <w:bCs/>
          <w:sz w:val="20"/>
          <w:szCs w:val="20"/>
          <w:lang w:eastAsia="cs-CZ"/>
        </w:rPr>
        <w:t xml:space="preserve"> </w:t>
      </w:r>
      <w:r w:rsidR="004727C3" w:rsidRPr="004727C3">
        <w:rPr>
          <w:rFonts w:cs="Arial"/>
          <w:b/>
          <w:sz w:val="20"/>
          <w:szCs w:val="20"/>
        </w:rPr>
        <w:t xml:space="preserve">Plněno. </w:t>
      </w:r>
    </w:p>
    <w:p w14:paraId="2024A19F" w14:textId="463FDDA0" w:rsidR="0023492D" w:rsidRPr="00F32FBE" w:rsidRDefault="0023492D" w:rsidP="00F32FBE">
      <w:pPr>
        <w:rPr>
          <w:rFonts w:cs="Arial"/>
          <w:sz w:val="20"/>
          <w:szCs w:val="20"/>
        </w:rPr>
      </w:pPr>
    </w:p>
    <w:p w14:paraId="1E9CCCC7" w14:textId="77777777" w:rsidR="00F17E74" w:rsidRPr="0018270E" w:rsidRDefault="0018270E" w:rsidP="00CF0543">
      <w:pPr>
        <w:pStyle w:val="Nadpis2"/>
        <w:numPr>
          <w:ilvl w:val="0"/>
          <w:numId w:val="0"/>
        </w:numPr>
        <w:spacing w:before="0" w:after="120"/>
        <w:ind w:left="576" w:hanging="576"/>
      </w:pPr>
      <w:bookmarkStart w:id="13" w:name="_Toc38548787"/>
      <w:bookmarkStart w:id="14" w:name="_Toc38828884"/>
      <w:bookmarkStart w:id="15" w:name="_Toc101957890"/>
      <w:r>
        <w:lastRenderedPageBreak/>
        <w:t>Oblast č. 2</w:t>
      </w:r>
      <w:r w:rsidR="0002667F">
        <w:t>:</w:t>
      </w:r>
      <w:r>
        <w:t xml:space="preserve"> </w:t>
      </w:r>
      <w:r w:rsidR="00F17E74" w:rsidRPr="0018270E">
        <w:t>Přístupnost staveb, dopravy a pozemních komunikací</w:t>
      </w:r>
      <w:bookmarkEnd w:id="13"/>
      <w:bookmarkEnd w:id="14"/>
      <w:bookmarkEnd w:id="15"/>
      <w:r w:rsidR="00F17E74" w:rsidRPr="0018270E">
        <w:t xml:space="preserve"> </w:t>
      </w:r>
    </w:p>
    <w:p w14:paraId="58066565" w14:textId="0A77BFE3" w:rsidR="00F17E74" w:rsidRPr="00CF0543" w:rsidRDefault="00AE7169" w:rsidP="00AE7169">
      <w:pPr>
        <w:keepNext/>
        <w:keepLines/>
        <w:rPr>
          <w:rFonts w:cs="Arial"/>
          <w:sz w:val="20"/>
          <w:szCs w:val="20"/>
        </w:rPr>
      </w:pPr>
      <w:r>
        <w:rPr>
          <w:rFonts w:cs="Arial"/>
          <w:sz w:val="20"/>
          <w:szCs w:val="20"/>
        </w:rPr>
        <w:t>Tato oblast je zaměřena na přístupnost</w:t>
      </w:r>
      <w:r w:rsidR="00F17E74" w:rsidRPr="00CF0543">
        <w:rPr>
          <w:rFonts w:cs="Arial"/>
          <w:sz w:val="20"/>
          <w:szCs w:val="20"/>
        </w:rPr>
        <w:t xml:space="preserve"> staveb, dopravy a pozemních komunikací </w:t>
      </w:r>
      <w:r w:rsidR="00F17E74" w:rsidRPr="00AE7169">
        <w:rPr>
          <w:rFonts w:cs="Arial"/>
          <w:sz w:val="20"/>
          <w:szCs w:val="20"/>
        </w:rPr>
        <w:t xml:space="preserve">především za pomoci odstraňování překážek a bariér bránících </w:t>
      </w:r>
      <w:r w:rsidRPr="00AE7169">
        <w:rPr>
          <w:rFonts w:cs="Arial"/>
          <w:sz w:val="20"/>
          <w:szCs w:val="20"/>
        </w:rPr>
        <w:t xml:space="preserve">jejich </w:t>
      </w:r>
      <w:r w:rsidR="00F17E74" w:rsidRPr="00AE7169">
        <w:rPr>
          <w:rFonts w:cs="Arial"/>
          <w:sz w:val="20"/>
          <w:szCs w:val="20"/>
        </w:rPr>
        <w:t>přístupnosti</w:t>
      </w:r>
      <w:r w:rsidRPr="00AE7169">
        <w:rPr>
          <w:rFonts w:cs="Arial"/>
          <w:sz w:val="20"/>
          <w:szCs w:val="20"/>
        </w:rPr>
        <w:t>.</w:t>
      </w:r>
    </w:p>
    <w:p w14:paraId="086CC00B" w14:textId="643F07F5" w:rsidR="00F17E74" w:rsidRPr="00CC4AB5" w:rsidRDefault="00F17E74" w:rsidP="00F17E74">
      <w:pPr>
        <w:rPr>
          <w:rFonts w:cs="Arial"/>
          <w:sz w:val="20"/>
          <w:szCs w:val="20"/>
        </w:rPr>
      </w:pPr>
      <w:r w:rsidRPr="00CC4AB5">
        <w:rPr>
          <w:rFonts w:cs="Arial"/>
          <w:sz w:val="20"/>
          <w:szCs w:val="20"/>
        </w:rPr>
        <w:t>V oblasti osobní mobility je nutné zejména systematicky pokračovat v odstraňování bariér a</w:t>
      </w:r>
      <w:r w:rsidR="00251C70" w:rsidRPr="00CC4AB5">
        <w:rPr>
          <w:rFonts w:cs="Arial"/>
          <w:sz w:val="20"/>
          <w:szCs w:val="20"/>
        </w:rPr>
        <w:t> </w:t>
      </w:r>
      <w:r w:rsidRPr="00CC4AB5">
        <w:rPr>
          <w:rFonts w:cs="Arial"/>
          <w:sz w:val="20"/>
          <w:szCs w:val="20"/>
        </w:rPr>
        <w:t xml:space="preserve">zajišťovat přístupnost úřadů, škol, kulturních zařízení, dopravních staveb a dalších veřejných budov. Mnohé z těchto budov byly postaveny ještě před účinností stavebního zákona, který bezbariérovou výstavbu ukládá, nebo u nich oprávněné požadavky nebyly z různých důvodů </w:t>
      </w:r>
      <w:r w:rsidR="00377BB9" w:rsidRPr="00CC4AB5">
        <w:rPr>
          <w:rFonts w:cs="Arial"/>
          <w:sz w:val="20"/>
          <w:szCs w:val="20"/>
        </w:rPr>
        <w:t>realizovány</w:t>
      </w:r>
      <w:r w:rsidRPr="00CC4AB5">
        <w:rPr>
          <w:rFonts w:cs="Arial"/>
          <w:sz w:val="20"/>
          <w:szCs w:val="20"/>
        </w:rPr>
        <w:t>. Je proto nezbytné důsledně dbát a dohlížet na dodržová</w:t>
      </w:r>
      <w:r w:rsidR="00A2789D" w:rsidRPr="00CC4AB5">
        <w:rPr>
          <w:rFonts w:cs="Arial"/>
          <w:sz w:val="20"/>
          <w:szCs w:val="20"/>
        </w:rPr>
        <w:t>ní a </w:t>
      </w:r>
      <w:r w:rsidRPr="00CC4AB5">
        <w:rPr>
          <w:rFonts w:cs="Arial"/>
          <w:sz w:val="20"/>
          <w:szCs w:val="20"/>
        </w:rPr>
        <w:t xml:space="preserve">správnou aplikaci předpisů u novostaveb nebo </w:t>
      </w:r>
      <w:r w:rsidR="00377BB9" w:rsidRPr="00CC4AB5">
        <w:rPr>
          <w:rFonts w:cs="Arial"/>
          <w:sz w:val="20"/>
          <w:szCs w:val="20"/>
        </w:rPr>
        <w:t>u změn dokončených staveb a změn v užívání staveb</w:t>
      </w:r>
      <w:r w:rsidRPr="00CC4AB5">
        <w:rPr>
          <w:rFonts w:cs="Arial"/>
          <w:sz w:val="20"/>
          <w:szCs w:val="20"/>
        </w:rPr>
        <w:t xml:space="preserve">. </w:t>
      </w:r>
    </w:p>
    <w:p w14:paraId="35AE5FA6" w14:textId="6CE0B437" w:rsidR="00F17E74" w:rsidRPr="00CC4AB5" w:rsidRDefault="00F17E74" w:rsidP="00F17E74">
      <w:pPr>
        <w:rPr>
          <w:rFonts w:cs="Arial"/>
          <w:sz w:val="20"/>
          <w:szCs w:val="20"/>
        </w:rPr>
      </w:pPr>
      <w:r w:rsidRPr="00CC4AB5">
        <w:rPr>
          <w:rFonts w:cs="Arial"/>
          <w:sz w:val="20"/>
          <w:szCs w:val="20"/>
        </w:rPr>
        <w:t>Se zajištěním přístupnosti budov a pozemních komunikací souvisí i přístupnost veřejné dopravy, tedy stanic a zastávek, nástupišť, dopravních prostřed</w:t>
      </w:r>
      <w:r w:rsidR="003F4374" w:rsidRPr="00CC4AB5">
        <w:rPr>
          <w:rFonts w:cs="Arial"/>
          <w:sz w:val="20"/>
          <w:szCs w:val="20"/>
        </w:rPr>
        <w:t>ků a také</w:t>
      </w:r>
      <w:r w:rsidRPr="00CC4AB5">
        <w:rPr>
          <w:rFonts w:cs="Arial"/>
          <w:sz w:val="20"/>
          <w:szCs w:val="20"/>
        </w:rPr>
        <w:t xml:space="preserve"> dostupnost a</w:t>
      </w:r>
      <w:r w:rsidR="00251C70" w:rsidRPr="00CC4AB5">
        <w:rPr>
          <w:rFonts w:cs="Arial"/>
          <w:sz w:val="20"/>
          <w:szCs w:val="20"/>
        </w:rPr>
        <w:t> </w:t>
      </w:r>
      <w:r w:rsidRPr="00CC4AB5">
        <w:rPr>
          <w:rFonts w:cs="Arial"/>
          <w:sz w:val="20"/>
          <w:szCs w:val="20"/>
        </w:rPr>
        <w:t>přístupnost</w:t>
      </w:r>
      <w:r w:rsidR="003F4374" w:rsidRPr="00CC4AB5">
        <w:rPr>
          <w:rFonts w:cs="Arial"/>
          <w:sz w:val="20"/>
          <w:szCs w:val="20"/>
        </w:rPr>
        <w:t xml:space="preserve"> </w:t>
      </w:r>
      <w:r w:rsidR="00967353" w:rsidRPr="00CC4AB5">
        <w:rPr>
          <w:rFonts w:cs="Arial"/>
          <w:sz w:val="20"/>
          <w:szCs w:val="20"/>
        </w:rPr>
        <w:t xml:space="preserve">informací poskytovaných </w:t>
      </w:r>
      <w:r w:rsidRPr="00CC4AB5">
        <w:rPr>
          <w:rFonts w:cs="Arial"/>
          <w:sz w:val="20"/>
          <w:szCs w:val="20"/>
        </w:rPr>
        <w:t xml:space="preserve">v dopravě. </w:t>
      </w:r>
      <w:r w:rsidR="00AE7169" w:rsidRPr="00CC4AB5">
        <w:rPr>
          <w:rFonts w:cs="Arial"/>
          <w:sz w:val="20"/>
          <w:szCs w:val="20"/>
        </w:rPr>
        <w:t>J</w:t>
      </w:r>
      <w:r w:rsidRPr="00CC4AB5">
        <w:rPr>
          <w:rFonts w:cs="Arial"/>
          <w:sz w:val="20"/>
          <w:szCs w:val="20"/>
        </w:rPr>
        <w:t>e nezbytné, aby i</w:t>
      </w:r>
      <w:r w:rsidR="00251C70" w:rsidRPr="00CC4AB5">
        <w:rPr>
          <w:rFonts w:cs="Arial"/>
          <w:sz w:val="20"/>
          <w:szCs w:val="20"/>
        </w:rPr>
        <w:t> </w:t>
      </w:r>
      <w:r w:rsidRPr="00CC4AB5">
        <w:rPr>
          <w:rFonts w:cs="Arial"/>
          <w:sz w:val="20"/>
          <w:szCs w:val="20"/>
        </w:rPr>
        <w:t xml:space="preserve">nadále pokračoval proces přijímání a rozšiřování přiměřených opatření a úprav tak, aby veřejná doprava byla osobám se zdravotním postižením co nejvíce přístupná. </w:t>
      </w:r>
    </w:p>
    <w:p w14:paraId="480E3D35" w14:textId="77777777" w:rsidR="009C1631" w:rsidRDefault="00F17E74" w:rsidP="009C1631">
      <w:pPr>
        <w:rPr>
          <w:rFonts w:cs="Arial"/>
          <w:sz w:val="20"/>
          <w:szCs w:val="20"/>
        </w:rPr>
      </w:pPr>
      <w:r w:rsidRPr="00CC4AB5">
        <w:rPr>
          <w:rFonts w:cs="Arial"/>
          <w:sz w:val="20"/>
          <w:szCs w:val="20"/>
        </w:rPr>
        <w:t xml:space="preserve">Snadná orientace v požadavcích na přístupnost staveb, dopravy a pozemních komunikací vyžaduje stanovení přesných podmínek a požadavků na jejich bezbariérové užívání. Nastavená kritéria určující úroveň přístupnosti musí zohledňovat jak potřeby </w:t>
      </w:r>
      <w:r w:rsidR="00EA2A84" w:rsidRPr="00CC4AB5">
        <w:rPr>
          <w:rFonts w:cs="Arial"/>
          <w:sz w:val="20"/>
          <w:szCs w:val="20"/>
        </w:rPr>
        <w:t>osob se </w:t>
      </w:r>
      <w:r w:rsidRPr="00CC4AB5">
        <w:rPr>
          <w:rFonts w:cs="Arial"/>
          <w:sz w:val="20"/>
          <w:szCs w:val="20"/>
        </w:rPr>
        <w:t>sníženou schopností pohybu, tak osob se sníženou schopností orientace. Odstraňování bariér je však důležité i pro další skupiny občanů, jako jsou těhotné ženy, rodiče s kočárkem, starší osoby nebo lidé s dočasným omezením pohyblivosti.</w:t>
      </w:r>
    </w:p>
    <w:p w14:paraId="4D9210F7" w14:textId="77777777" w:rsidR="009C1631" w:rsidRDefault="009C1631" w:rsidP="009C1631">
      <w:pPr>
        <w:rPr>
          <w:rFonts w:cs="Arial"/>
          <w:sz w:val="20"/>
          <w:szCs w:val="20"/>
        </w:rPr>
      </w:pPr>
    </w:p>
    <w:p w14:paraId="134D30D1" w14:textId="2BBFF945" w:rsidR="002C1DC8" w:rsidRDefault="00626B38" w:rsidP="00A46AE2">
      <w:pPr>
        <w:rPr>
          <w:rFonts w:cs="Arial"/>
          <w:sz w:val="20"/>
          <w:szCs w:val="20"/>
        </w:rPr>
      </w:pPr>
      <w:r w:rsidRPr="00514E6F">
        <w:rPr>
          <w:rFonts w:cs="Arial"/>
          <w:b/>
          <w:bCs/>
          <w:szCs w:val="20"/>
        </w:rPr>
        <w:t>2.1 Cíl: Zajištění přístupnosti veřejných</w:t>
      </w:r>
      <w:r>
        <w:rPr>
          <w:rFonts w:cs="Arial"/>
          <w:b/>
          <w:bCs/>
          <w:szCs w:val="20"/>
        </w:rPr>
        <w:t xml:space="preserve"> budov, veřejného</w:t>
      </w:r>
      <w:r w:rsidRPr="00006C58">
        <w:rPr>
          <w:rFonts w:cs="Arial"/>
          <w:b/>
          <w:bCs/>
          <w:szCs w:val="20"/>
        </w:rPr>
        <w:t xml:space="preserve"> prostoru a</w:t>
      </w:r>
      <w:r>
        <w:rPr>
          <w:rFonts w:cs="Arial"/>
          <w:b/>
          <w:bCs/>
          <w:szCs w:val="20"/>
        </w:rPr>
        <w:t> </w:t>
      </w:r>
      <w:r w:rsidRPr="00006C58">
        <w:rPr>
          <w:rFonts w:cs="Arial"/>
          <w:b/>
          <w:bCs/>
          <w:szCs w:val="20"/>
        </w:rPr>
        <w:t>pozemních komunikací.</w:t>
      </w:r>
    </w:p>
    <w:p w14:paraId="4CDAA7F9" w14:textId="77777777" w:rsidR="000531F8" w:rsidRPr="00006C58" w:rsidRDefault="000531F8" w:rsidP="000531F8">
      <w:pPr>
        <w:rPr>
          <w:rFonts w:cs="Arial"/>
          <w:szCs w:val="20"/>
        </w:rPr>
      </w:pPr>
      <w:r w:rsidRPr="0035060D">
        <w:rPr>
          <w:rFonts w:cs="Arial"/>
          <w:bCs/>
          <w:szCs w:val="20"/>
        </w:rPr>
        <w:t xml:space="preserve">Opatření </w:t>
      </w:r>
      <w:r>
        <w:rPr>
          <w:rFonts w:cs="Arial"/>
          <w:szCs w:val="20"/>
        </w:rPr>
        <w:t xml:space="preserve">2.1.2 </w:t>
      </w:r>
      <w:r w:rsidRPr="00006C58">
        <w:rPr>
          <w:rFonts w:cs="Arial"/>
          <w:szCs w:val="20"/>
        </w:rPr>
        <w:t xml:space="preserve">Provést analýzu přístupnosti všech budov ve vlastnictví a pronájmu gestora (včetně přímo řízených organizací). </w:t>
      </w:r>
    </w:p>
    <w:p w14:paraId="7B6ADD16" w14:textId="7CEBCE83" w:rsidR="000531F8" w:rsidRPr="00006C58" w:rsidRDefault="000531F8" w:rsidP="000531F8">
      <w:pPr>
        <w:rPr>
          <w:rFonts w:cs="Arial"/>
          <w:szCs w:val="20"/>
        </w:rPr>
      </w:pPr>
      <w:r>
        <w:rPr>
          <w:rFonts w:cs="Arial"/>
          <w:szCs w:val="20"/>
        </w:rPr>
        <w:t xml:space="preserve">Termín: </w:t>
      </w:r>
      <w:proofErr w:type="gramStart"/>
      <w:r>
        <w:rPr>
          <w:rFonts w:cs="Arial"/>
          <w:szCs w:val="20"/>
        </w:rPr>
        <w:t>31.12.</w:t>
      </w:r>
      <w:r w:rsidR="0033374F">
        <w:rPr>
          <w:rFonts w:cs="Arial"/>
          <w:szCs w:val="20"/>
        </w:rPr>
        <w:t>2023</w:t>
      </w:r>
      <w:proofErr w:type="gramEnd"/>
    </w:p>
    <w:p w14:paraId="4DB088D5" w14:textId="04A543C3" w:rsidR="000531F8" w:rsidRPr="00006C58" w:rsidRDefault="000531F8" w:rsidP="000531F8">
      <w:pPr>
        <w:rPr>
          <w:rFonts w:cs="Arial"/>
          <w:szCs w:val="20"/>
        </w:rPr>
      </w:pPr>
      <w:r w:rsidRPr="00006C58">
        <w:rPr>
          <w:rFonts w:cs="Arial"/>
          <w:szCs w:val="20"/>
        </w:rPr>
        <w:t xml:space="preserve">Gestor: </w:t>
      </w:r>
      <w:r w:rsidR="0099484A">
        <w:rPr>
          <w:rFonts w:cs="Arial"/>
          <w:szCs w:val="20"/>
        </w:rPr>
        <w:t>MPSV, MV, MZ</w:t>
      </w:r>
    </w:p>
    <w:p w14:paraId="0A787773" w14:textId="0FDDAF30" w:rsidR="00DF508E" w:rsidRDefault="000531F8" w:rsidP="00C32F92">
      <w:pPr>
        <w:rPr>
          <w:rFonts w:cs="Arial"/>
          <w:szCs w:val="20"/>
        </w:rPr>
      </w:pPr>
      <w:r w:rsidRPr="006E03EC">
        <w:rPr>
          <w:rFonts w:cs="Arial"/>
          <w:szCs w:val="20"/>
        </w:rPr>
        <w:t>Indikátor: Je provedena analýza</w:t>
      </w:r>
      <w:r>
        <w:rPr>
          <w:rFonts w:cs="Arial"/>
          <w:szCs w:val="20"/>
        </w:rPr>
        <w:t xml:space="preserve"> přístupnosti budov</w:t>
      </w:r>
      <w:r w:rsidRPr="006E03EC">
        <w:rPr>
          <w:rFonts w:cs="Arial"/>
          <w:szCs w:val="20"/>
        </w:rPr>
        <w:t>.</w:t>
      </w:r>
    </w:p>
    <w:p w14:paraId="46967212" w14:textId="77777777" w:rsidR="00C32F92" w:rsidRPr="00176D92" w:rsidRDefault="00C32F92" w:rsidP="00C32F92">
      <w:pPr>
        <w:rPr>
          <w:rFonts w:cs="Arial"/>
          <w:szCs w:val="20"/>
        </w:rPr>
      </w:pPr>
    </w:p>
    <w:p w14:paraId="4A8B387D" w14:textId="37BCDD79" w:rsidR="00DF508E" w:rsidRPr="00BC3DF8" w:rsidRDefault="00DF508E" w:rsidP="00606D58">
      <w:pPr>
        <w:keepNext/>
        <w:tabs>
          <w:tab w:val="left" w:pos="720"/>
        </w:tabs>
        <w:rPr>
          <w:rFonts w:cs="Arial"/>
          <w:b/>
          <w:bCs/>
          <w:sz w:val="20"/>
          <w:szCs w:val="20"/>
          <w:lang w:eastAsia="cs-CZ"/>
        </w:rPr>
      </w:pPr>
      <w:r w:rsidRPr="00BC3DF8">
        <w:rPr>
          <w:rFonts w:cs="Arial"/>
          <w:b/>
          <w:bCs/>
          <w:sz w:val="20"/>
          <w:szCs w:val="20"/>
          <w:lang w:eastAsia="cs-CZ"/>
        </w:rPr>
        <w:t>PLNĚNÍ MPSV:</w:t>
      </w:r>
    </w:p>
    <w:p w14:paraId="63894EFC" w14:textId="09840880" w:rsidR="006B76BF" w:rsidRPr="00BC3DF8" w:rsidRDefault="006B76BF" w:rsidP="006B76BF">
      <w:pPr>
        <w:rPr>
          <w:rFonts w:cs="Arial"/>
          <w:sz w:val="20"/>
          <w:szCs w:val="20"/>
        </w:rPr>
      </w:pPr>
      <w:r w:rsidRPr="00BC3DF8">
        <w:rPr>
          <w:rFonts w:cs="Arial"/>
          <w:sz w:val="20"/>
          <w:szCs w:val="20"/>
        </w:rPr>
        <w:t>V uvedeném období provedlo MPSV analýzu přístupnosti budov v</w:t>
      </w:r>
      <w:r w:rsidR="00005251" w:rsidRPr="00BC3DF8">
        <w:rPr>
          <w:rFonts w:cs="Arial"/>
          <w:sz w:val="20"/>
          <w:szCs w:val="20"/>
        </w:rPr>
        <w:t xml:space="preserve"> </w:t>
      </w:r>
      <w:r w:rsidRPr="00BC3DF8">
        <w:rPr>
          <w:rFonts w:cs="Arial"/>
          <w:sz w:val="20"/>
          <w:szCs w:val="20"/>
        </w:rPr>
        <w:t>resortu. ČSSZ provedla analýzu formou sběru materiálu pro jednotný materiál resortu MPSV o p</w:t>
      </w:r>
      <w:r w:rsidR="002F795C" w:rsidRPr="00BC3DF8">
        <w:rPr>
          <w:rFonts w:cs="Arial"/>
          <w:sz w:val="20"/>
          <w:szCs w:val="20"/>
        </w:rPr>
        <w:t xml:space="preserve">řístupnosti budov k termínu </w:t>
      </w:r>
      <w:proofErr w:type="gramStart"/>
      <w:r w:rsidR="002F795C" w:rsidRPr="00BC3DF8">
        <w:rPr>
          <w:rFonts w:cs="Arial"/>
          <w:sz w:val="20"/>
          <w:szCs w:val="20"/>
        </w:rPr>
        <w:t>31.12.</w:t>
      </w:r>
      <w:r w:rsidRPr="00BC3DF8">
        <w:rPr>
          <w:rFonts w:cs="Arial"/>
          <w:sz w:val="20"/>
          <w:szCs w:val="20"/>
        </w:rPr>
        <w:t>2023</w:t>
      </w:r>
      <w:proofErr w:type="gramEnd"/>
      <w:r w:rsidR="00005251" w:rsidRPr="00BC3DF8">
        <w:rPr>
          <w:rFonts w:cs="Arial"/>
          <w:sz w:val="20"/>
          <w:szCs w:val="20"/>
        </w:rPr>
        <w:t>.</w:t>
      </w:r>
    </w:p>
    <w:p w14:paraId="3F0C4E23" w14:textId="1B947B73" w:rsidR="00DF508E" w:rsidRPr="00606D58" w:rsidRDefault="00DF508E" w:rsidP="00606D58">
      <w:pPr>
        <w:keepNext/>
        <w:tabs>
          <w:tab w:val="left" w:pos="720"/>
        </w:tabs>
        <w:rPr>
          <w:rFonts w:cs="Arial"/>
          <w:b/>
          <w:bCs/>
          <w:sz w:val="20"/>
          <w:szCs w:val="20"/>
          <w:lang w:eastAsia="cs-CZ"/>
        </w:rPr>
      </w:pPr>
      <w:r w:rsidRPr="00BC3DF8">
        <w:rPr>
          <w:rFonts w:cs="Arial"/>
          <w:b/>
          <w:bCs/>
          <w:sz w:val="20"/>
          <w:szCs w:val="20"/>
          <w:lang w:eastAsia="cs-CZ"/>
        </w:rPr>
        <w:t xml:space="preserve">STANOVISKO K PLNĚNÍ: </w:t>
      </w:r>
      <w:r w:rsidR="00072891" w:rsidRPr="00BC3DF8">
        <w:rPr>
          <w:rFonts w:cs="Arial"/>
          <w:b/>
          <w:bCs/>
          <w:sz w:val="20"/>
          <w:szCs w:val="20"/>
          <w:lang w:eastAsia="cs-CZ"/>
        </w:rPr>
        <w:t xml:space="preserve">Nesplněno. </w:t>
      </w:r>
      <w:r w:rsidR="00072891" w:rsidRPr="00BC3DF8">
        <w:rPr>
          <w:rFonts w:cs="Arial"/>
          <w:b/>
          <w:bCs/>
          <w:color w:val="000000" w:themeColor="text1"/>
          <w:sz w:val="20"/>
          <w:szCs w:val="20"/>
        </w:rPr>
        <w:t xml:space="preserve">Chybí analýzy </w:t>
      </w:r>
      <w:r w:rsidR="00072891" w:rsidRPr="00BC3DF8">
        <w:rPr>
          <w:rFonts w:cs="Arial"/>
          <w:b/>
          <w:iCs/>
          <w:color w:val="000000" w:themeColor="text1"/>
          <w:sz w:val="20"/>
          <w:szCs w:val="20"/>
        </w:rPr>
        <w:t xml:space="preserve">přístupnosti budov </w:t>
      </w:r>
      <w:r w:rsidR="00072891" w:rsidRPr="0049068A">
        <w:rPr>
          <w:rFonts w:cs="Arial"/>
          <w:b/>
          <w:iCs/>
          <w:color w:val="000000" w:themeColor="text1"/>
          <w:sz w:val="20"/>
          <w:szCs w:val="20"/>
        </w:rPr>
        <w:t xml:space="preserve">přímo </w:t>
      </w:r>
      <w:r w:rsidR="00A343F5" w:rsidRPr="0049068A">
        <w:rPr>
          <w:rFonts w:cs="Arial"/>
          <w:b/>
          <w:iCs/>
          <w:color w:val="000000" w:themeColor="text1"/>
          <w:sz w:val="20"/>
          <w:szCs w:val="20"/>
        </w:rPr>
        <w:t>řízených organizací MPSV, zejména ČSSZ a ÚP</w:t>
      </w:r>
      <w:r w:rsidR="00072891" w:rsidRPr="0049068A">
        <w:rPr>
          <w:rFonts w:cs="Arial"/>
          <w:b/>
          <w:iCs/>
          <w:color w:val="000000" w:themeColor="text1"/>
          <w:sz w:val="20"/>
          <w:szCs w:val="20"/>
        </w:rPr>
        <w:t>.</w:t>
      </w:r>
      <w:r w:rsidR="00072891" w:rsidRPr="0049068A">
        <w:rPr>
          <w:rFonts w:cs="Arial"/>
          <w:b/>
          <w:bCs/>
          <w:color w:val="000000" w:themeColor="text1"/>
          <w:sz w:val="20"/>
          <w:szCs w:val="20"/>
        </w:rPr>
        <w:t xml:space="preserve"> </w:t>
      </w:r>
      <w:r w:rsidR="00072891" w:rsidRPr="0049068A">
        <w:rPr>
          <w:rFonts w:cs="Arial"/>
          <w:b/>
          <w:bCs/>
          <w:sz w:val="20"/>
          <w:szCs w:val="20"/>
          <w:lang w:eastAsia="cs-CZ"/>
        </w:rPr>
        <w:t>Nav</w:t>
      </w:r>
      <w:r w:rsidR="006B76BF" w:rsidRPr="0049068A">
        <w:rPr>
          <w:rFonts w:cs="Arial"/>
          <w:b/>
          <w:bCs/>
          <w:sz w:val="20"/>
          <w:szCs w:val="20"/>
          <w:lang w:eastAsia="cs-CZ"/>
        </w:rPr>
        <w:t xml:space="preserve">ržen posun termínu do </w:t>
      </w:r>
      <w:proofErr w:type="gramStart"/>
      <w:r w:rsidR="006B76BF" w:rsidRPr="0049068A">
        <w:rPr>
          <w:rFonts w:cs="Arial"/>
          <w:b/>
          <w:bCs/>
          <w:sz w:val="20"/>
          <w:szCs w:val="20"/>
          <w:lang w:eastAsia="cs-CZ"/>
        </w:rPr>
        <w:t>31.12.2024</w:t>
      </w:r>
      <w:proofErr w:type="gramEnd"/>
      <w:r w:rsidR="00072891" w:rsidRPr="0049068A">
        <w:rPr>
          <w:rFonts w:cs="Arial"/>
          <w:b/>
          <w:bCs/>
          <w:sz w:val="20"/>
          <w:szCs w:val="20"/>
          <w:lang w:eastAsia="cs-CZ"/>
        </w:rPr>
        <w:t>.</w:t>
      </w:r>
    </w:p>
    <w:p w14:paraId="4CD550BE" w14:textId="53169D9E" w:rsidR="00DF508E" w:rsidRPr="00B44DD1" w:rsidRDefault="00DF508E" w:rsidP="00DF508E">
      <w:pPr>
        <w:rPr>
          <w:rFonts w:cs="Arial"/>
          <w:sz w:val="20"/>
          <w:szCs w:val="20"/>
        </w:rPr>
      </w:pPr>
    </w:p>
    <w:p w14:paraId="2E8761AA" w14:textId="54ECF95B" w:rsidR="00DF508E" w:rsidRDefault="00DF508E" w:rsidP="00DF508E">
      <w:pPr>
        <w:tabs>
          <w:tab w:val="left" w:pos="720"/>
        </w:tabs>
        <w:rPr>
          <w:rFonts w:cs="Arial"/>
          <w:b/>
          <w:bCs/>
          <w:sz w:val="20"/>
          <w:szCs w:val="20"/>
          <w:lang w:eastAsia="cs-CZ"/>
        </w:rPr>
      </w:pPr>
      <w:r w:rsidRPr="00B44DD1">
        <w:rPr>
          <w:rFonts w:cs="Arial"/>
          <w:b/>
          <w:bCs/>
          <w:sz w:val="20"/>
          <w:szCs w:val="20"/>
          <w:lang w:eastAsia="cs-CZ"/>
        </w:rPr>
        <w:t>PLNĚNÍ MV:</w:t>
      </w:r>
    </w:p>
    <w:p w14:paraId="64CA034A" w14:textId="40D773C1" w:rsidR="0079012A" w:rsidRPr="0079012A" w:rsidRDefault="0079012A" w:rsidP="00DF508E">
      <w:pPr>
        <w:tabs>
          <w:tab w:val="left" w:pos="720"/>
        </w:tabs>
        <w:rPr>
          <w:rFonts w:cs="Arial"/>
          <w:sz w:val="20"/>
          <w:szCs w:val="20"/>
          <w:lang w:eastAsia="cs-CZ"/>
        </w:rPr>
      </w:pPr>
      <w:r w:rsidRPr="0079012A">
        <w:rPr>
          <w:rFonts w:cs="Arial"/>
          <w:sz w:val="20"/>
          <w:szCs w:val="20"/>
          <w:lang w:eastAsia="cs-CZ"/>
        </w:rPr>
        <w:t>Analýza přístupnosti budov byla sekretariátu VVOZP zaslána.</w:t>
      </w:r>
    </w:p>
    <w:p w14:paraId="1ABA8C07" w14:textId="08A6F325" w:rsidR="00DF508E" w:rsidRPr="00246D05" w:rsidRDefault="0066338F" w:rsidP="00246D05">
      <w:pPr>
        <w:keepNext/>
        <w:tabs>
          <w:tab w:val="left" w:pos="720"/>
        </w:tabs>
        <w:rPr>
          <w:rFonts w:cs="Arial"/>
          <w:b/>
          <w:bCs/>
          <w:sz w:val="20"/>
          <w:szCs w:val="20"/>
          <w:lang w:eastAsia="cs-CZ"/>
        </w:rPr>
      </w:pPr>
      <w:r w:rsidRPr="00246D05">
        <w:rPr>
          <w:rFonts w:cs="Arial"/>
          <w:b/>
          <w:bCs/>
          <w:sz w:val="20"/>
          <w:szCs w:val="20"/>
          <w:lang w:eastAsia="cs-CZ"/>
        </w:rPr>
        <w:t xml:space="preserve">STANOVISKO K PLNĚNÍ: </w:t>
      </w:r>
      <w:r w:rsidR="007F5877">
        <w:rPr>
          <w:rFonts w:cs="Arial"/>
          <w:b/>
          <w:bCs/>
          <w:sz w:val="20"/>
          <w:szCs w:val="20"/>
          <w:lang w:eastAsia="cs-CZ"/>
        </w:rPr>
        <w:t>Splněno.</w:t>
      </w:r>
    </w:p>
    <w:p w14:paraId="019AB726" w14:textId="77777777" w:rsidR="00DF508E" w:rsidRPr="00246D05" w:rsidRDefault="00DF508E" w:rsidP="00246D05">
      <w:pPr>
        <w:rPr>
          <w:rFonts w:cs="Arial"/>
          <w:sz w:val="20"/>
          <w:szCs w:val="20"/>
        </w:rPr>
      </w:pPr>
    </w:p>
    <w:p w14:paraId="2770CEAD" w14:textId="7E0F7E3F" w:rsidR="00DF508E" w:rsidRDefault="00DF508E" w:rsidP="00246D05">
      <w:pPr>
        <w:keepNext/>
        <w:tabs>
          <w:tab w:val="left" w:pos="720"/>
        </w:tabs>
        <w:rPr>
          <w:rFonts w:cs="Arial"/>
          <w:b/>
          <w:bCs/>
          <w:sz w:val="20"/>
          <w:szCs w:val="20"/>
          <w:lang w:eastAsia="cs-CZ"/>
        </w:rPr>
      </w:pPr>
      <w:r w:rsidRPr="00246D05">
        <w:rPr>
          <w:rFonts w:cs="Arial"/>
          <w:b/>
          <w:bCs/>
          <w:sz w:val="20"/>
          <w:szCs w:val="20"/>
          <w:lang w:eastAsia="cs-CZ"/>
        </w:rPr>
        <w:t>PLNĚNÍ MZ:</w:t>
      </w:r>
    </w:p>
    <w:p w14:paraId="5A8B0D83" w14:textId="0D41B0FB" w:rsidR="00CE2CEA" w:rsidRPr="00CE2CEA" w:rsidRDefault="00CE2CEA" w:rsidP="00CE2CEA">
      <w:pPr>
        <w:tabs>
          <w:tab w:val="left" w:pos="720"/>
        </w:tabs>
        <w:rPr>
          <w:rFonts w:cs="Arial"/>
          <w:sz w:val="20"/>
          <w:szCs w:val="20"/>
          <w:lang w:eastAsia="cs-CZ"/>
        </w:rPr>
      </w:pPr>
      <w:r w:rsidRPr="0079012A">
        <w:rPr>
          <w:rFonts w:cs="Arial"/>
          <w:sz w:val="20"/>
          <w:szCs w:val="20"/>
          <w:lang w:eastAsia="cs-CZ"/>
        </w:rPr>
        <w:t>Analýza přístupnosti budov byla sekretariátu VVOZP zaslána.</w:t>
      </w:r>
    </w:p>
    <w:p w14:paraId="2DB57A39" w14:textId="3BEA76E5" w:rsidR="00DF508E" w:rsidRPr="00AC00FC" w:rsidRDefault="00DF508E" w:rsidP="00AC00FC">
      <w:pPr>
        <w:rPr>
          <w:rFonts w:cs="Arial"/>
          <w:bCs/>
          <w:color w:val="000000" w:themeColor="text1"/>
          <w:sz w:val="20"/>
          <w:szCs w:val="20"/>
        </w:rPr>
      </w:pPr>
      <w:r w:rsidRPr="000B2C1D">
        <w:rPr>
          <w:rFonts w:cs="Arial"/>
          <w:b/>
          <w:bCs/>
          <w:sz w:val="20"/>
          <w:szCs w:val="20"/>
          <w:lang w:eastAsia="cs-CZ"/>
        </w:rPr>
        <w:t xml:space="preserve">STANOVISKO K PLNĚNÍ: </w:t>
      </w:r>
      <w:r w:rsidR="007F5877">
        <w:rPr>
          <w:rFonts w:cs="Arial"/>
          <w:b/>
          <w:bCs/>
          <w:sz w:val="20"/>
          <w:szCs w:val="20"/>
          <w:lang w:eastAsia="cs-CZ"/>
        </w:rPr>
        <w:t>S</w:t>
      </w:r>
      <w:r w:rsidR="00AC00FC" w:rsidRPr="000B2C1D">
        <w:rPr>
          <w:rFonts w:cs="Arial"/>
          <w:b/>
          <w:bCs/>
          <w:sz w:val="20"/>
          <w:szCs w:val="20"/>
          <w:lang w:eastAsia="cs-CZ"/>
        </w:rPr>
        <w:t xml:space="preserve">plněno. </w:t>
      </w:r>
    </w:p>
    <w:p w14:paraId="7A6500F1" w14:textId="662B25AC" w:rsidR="000531F8" w:rsidRDefault="000531F8" w:rsidP="00CF0543">
      <w:pPr>
        <w:rPr>
          <w:rFonts w:cs="Arial"/>
          <w:sz w:val="20"/>
          <w:szCs w:val="20"/>
        </w:rPr>
      </w:pPr>
    </w:p>
    <w:p w14:paraId="79164CED" w14:textId="77777777" w:rsidR="003A7C59" w:rsidRPr="00006C58" w:rsidRDefault="003A7C59" w:rsidP="003A7C59">
      <w:pPr>
        <w:rPr>
          <w:rFonts w:cs="Arial"/>
          <w:szCs w:val="20"/>
        </w:rPr>
      </w:pPr>
      <w:r w:rsidRPr="0035060D">
        <w:rPr>
          <w:rFonts w:cs="Arial"/>
          <w:bCs/>
          <w:szCs w:val="20"/>
        </w:rPr>
        <w:t xml:space="preserve">Opatření </w:t>
      </w:r>
      <w:r>
        <w:rPr>
          <w:rFonts w:cs="Arial"/>
          <w:szCs w:val="20"/>
        </w:rPr>
        <w:t xml:space="preserve">2.1.3 </w:t>
      </w:r>
      <w:r w:rsidRPr="00006C58">
        <w:rPr>
          <w:rFonts w:cs="Arial"/>
          <w:szCs w:val="20"/>
        </w:rPr>
        <w:t xml:space="preserve">Na základě analýzy přístupnosti budov ve vlastnictví a pronájmu gestora (včetně přímo řízených organizací) zveřejnit na </w:t>
      </w:r>
      <w:r>
        <w:rPr>
          <w:rFonts w:cs="Arial"/>
          <w:szCs w:val="20"/>
        </w:rPr>
        <w:t>internetových</w:t>
      </w:r>
      <w:r w:rsidRPr="00006C58">
        <w:rPr>
          <w:rFonts w:cs="Arial"/>
          <w:szCs w:val="20"/>
        </w:rPr>
        <w:t xml:space="preserve"> stránkách informace o</w:t>
      </w:r>
      <w:r>
        <w:rPr>
          <w:rFonts w:cs="Arial"/>
          <w:szCs w:val="20"/>
        </w:rPr>
        <w:t> přístupnosti daných objektů.</w:t>
      </w:r>
    </w:p>
    <w:p w14:paraId="67920ACB" w14:textId="77777777" w:rsidR="003A7C59" w:rsidRPr="00006C58" w:rsidRDefault="003A7C59" w:rsidP="003A7C59">
      <w:pPr>
        <w:rPr>
          <w:rFonts w:cs="Arial"/>
          <w:szCs w:val="20"/>
        </w:rPr>
      </w:pPr>
      <w:r>
        <w:rPr>
          <w:rFonts w:cs="Arial"/>
          <w:szCs w:val="20"/>
        </w:rPr>
        <w:lastRenderedPageBreak/>
        <w:t xml:space="preserve">Termín: </w:t>
      </w:r>
      <w:proofErr w:type="gramStart"/>
      <w:r>
        <w:rPr>
          <w:rFonts w:cs="Arial"/>
          <w:szCs w:val="20"/>
        </w:rPr>
        <w:t>30.06.</w:t>
      </w:r>
      <w:r w:rsidRPr="00006C58">
        <w:rPr>
          <w:rFonts w:cs="Arial"/>
          <w:szCs w:val="20"/>
        </w:rPr>
        <w:t>2023</w:t>
      </w:r>
      <w:proofErr w:type="gramEnd"/>
    </w:p>
    <w:p w14:paraId="68B500C2" w14:textId="77777777" w:rsidR="003A7C59" w:rsidRPr="00006C58" w:rsidRDefault="003A7C59" w:rsidP="003A7C59">
      <w:pPr>
        <w:rPr>
          <w:rFonts w:cs="Arial"/>
          <w:szCs w:val="20"/>
        </w:rPr>
      </w:pPr>
      <w:r w:rsidRPr="00006C58">
        <w:rPr>
          <w:rFonts w:cs="Arial"/>
          <w:szCs w:val="20"/>
        </w:rPr>
        <w:t>Gestor: všechny resorty</w:t>
      </w:r>
      <w:r>
        <w:rPr>
          <w:rFonts w:cs="Arial"/>
          <w:szCs w:val="20"/>
        </w:rPr>
        <w:t>, ÚV</w:t>
      </w:r>
    </w:p>
    <w:p w14:paraId="20511645" w14:textId="2CAEEBDB" w:rsidR="003A7C59" w:rsidRPr="003A7C59" w:rsidRDefault="003A7C59" w:rsidP="003A7C59">
      <w:pPr>
        <w:rPr>
          <w:rFonts w:cs="Arial"/>
          <w:szCs w:val="20"/>
        </w:rPr>
      </w:pPr>
      <w:r w:rsidRPr="006E03EC">
        <w:rPr>
          <w:rFonts w:cs="Arial"/>
          <w:szCs w:val="20"/>
        </w:rPr>
        <w:t>Indikátor:</w:t>
      </w:r>
      <w:r>
        <w:rPr>
          <w:rFonts w:cs="Arial"/>
          <w:szCs w:val="20"/>
        </w:rPr>
        <w:t xml:space="preserve"> </w:t>
      </w:r>
      <w:r w:rsidRPr="00BC08B2">
        <w:rPr>
          <w:rFonts w:cs="Arial"/>
          <w:szCs w:val="20"/>
        </w:rPr>
        <w:t xml:space="preserve">Na </w:t>
      </w:r>
      <w:r>
        <w:rPr>
          <w:rFonts w:cs="Arial"/>
          <w:szCs w:val="20"/>
        </w:rPr>
        <w:t>internetových</w:t>
      </w:r>
      <w:r w:rsidRPr="00BC08B2">
        <w:rPr>
          <w:rFonts w:cs="Arial"/>
          <w:szCs w:val="20"/>
        </w:rPr>
        <w:t xml:space="preserve"> stránkách gestora </w:t>
      </w:r>
      <w:r>
        <w:rPr>
          <w:rFonts w:cs="Arial"/>
          <w:szCs w:val="20"/>
        </w:rPr>
        <w:t>a jeho přímo řízených organizací</w:t>
      </w:r>
      <w:r w:rsidRPr="00BC08B2">
        <w:rPr>
          <w:rFonts w:cs="Arial"/>
          <w:szCs w:val="20"/>
        </w:rPr>
        <w:t xml:space="preserve"> </w:t>
      </w:r>
      <w:r>
        <w:rPr>
          <w:rFonts w:cs="Arial"/>
          <w:szCs w:val="20"/>
        </w:rPr>
        <w:t>jsou zpřístupněny</w:t>
      </w:r>
      <w:r w:rsidRPr="00BC08B2">
        <w:rPr>
          <w:rFonts w:cs="Arial"/>
          <w:szCs w:val="20"/>
        </w:rPr>
        <w:t xml:space="preserve"> informace o přístupnosti objektů, ve kterých gestor </w:t>
      </w:r>
      <w:r>
        <w:rPr>
          <w:rFonts w:cs="Arial"/>
          <w:szCs w:val="20"/>
        </w:rPr>
        <w:t xml:space="preserve">či jeho přímo řízená organizace </w:t>
      </w:r>
      <w:r w:rsidRPr="00BC08B2">
        <w:rPr>
          <w:rFonts w:cs="Arial"/>
          <w:szCs w:val="20"/>
        </w:rPr>
        <w:t>sídlí.</w:t>
      </w:r>
    </w:p>
    <w:p w14:paraId="04E0E635" w14:textId="77777777" w:rsidR="003B327A" w:rsidRDefault="003B327A" w:rsidP="003B327A">
      <w:pPr>
        <w:tabs>
          <w:tab w:val="left" w:pos="720"/>
        </w:tabs>
        <w:rPr>
          <w:rFonts w:cs="Arial"/>
          <w:b/>
          <w:bCs/>
          <w:sz w:val="20"/>
          <w:szCs w:val="20"/>
          <w:lang w:eastAsia="cs-CZ"/>
        </w:rPr>
      </w:pPr>
    </w:p>
    <w:p w14:paraId="292C4EB5" w14:textId="2818D372" w:rsidR="003B327A" w:rsidRPr="00617D66" w:rsidRDefault="003B327A" w:rsidP="003B327A">
      <w:pPr>
        <w:tabs>
          <w:tab w:val="left" w:pos="720"/>
        </w:tabs>
        <w:rPr>
          <w:rFonts w:cs="Arial"/>
          <w:b/>
          <w:bCs/>
          <w:sz w:val="20"/>
          <w:szCs w:val="20"/>
          <w:lang w:eastAsia="cs-CZ"/>
        </w:rPr>
      </w:pPr>
      <w:r w:rsidRPr="00617D66">
        <w:rPr>
          <w:rFonts w:cs="Arial"/>
          <w:b/>
          <w:bCs/>
          <w:sz w:val="20"/>
          <w:szCs w:val="20"/>
          <w:lang w:eastAsia="cs-CZ"/>
        </w:rPr>
        <w:t>PLNĚNÍ MD:</w:t>
      </w:r>
    </w:p>
    <w:p w14:paraId="5B749640" w14:textId="3ACB5397" w:rsidR="00617D66" w:rsidRPr="003B3607" w:rsidRDefault="00617D66" w:rsidP="00617D66">
      <w:pPr>
        <w:rPr>
          <w:sz w:val="20"/>
          <w:szCs w:val="20"/>
        </w:rPr>
      </w:pPr>
      <w:r w:rsidRPr="00617D66">
        <w:rPr>
          <w:sz w:val="20"/>
          <w:szCs w:val="20"/>
        </w:rPr>
        <w:t xml:space="preserve">Analýza přístupnosti budovy MD byla zaslána úřadu vlády dopisem jednacím čj.: MD-5095/2023-425/33 ze dne 27. 06. 2023 a je uveřejněna zde: </w:t>
      </w:r>
      <w:hyperlink r:id="rId27" w:history="1">
        <w:r w:rsidRPr="00617D66">
          <w:rPr>
            <w:rStyle w:val="Hypertextovodkaz"/>
            <w:sz w:val="20"/>
            <w:szCs w:val="20"/>
          </w:rPr>
          <w:t>Ministerstvo dopravy ČR - Ministerstvo (mdcr.cz)</w:t>
        </w:r>
      </w:hyperlink>
    </w:p>
    <w:p w14:paraId="23D435D2" w14:textId="35085F45" w:rsidR="003B327A" w:rsidRPr="00617D66" w:rsidRDefault="0060333F" w:rsidP="003B327A">
      <w:pPr>
        <w:keepNext/>
        <w:tabs>
          <w:tab w:val="left" w:pos="720"/>
        </w:tabs>
        <w:rPr>
          <w:rFonts w:cs="Arial"/>
          <w:b/>
          <w:bCs/>
          <w:sz w:val="20"/>
          <w:szCs w:val="20"/>
          <w:lang w:eastAsia="cs-CZ"/>
        </w:rPr>
      </w:pPr>
      <w:r>
        <w:rPr>
          <w:rFonts w:cs="Arial"/>
          <w:b/>
          <w:bCs/>
          <w:sz w:val="20"/>
          <w:szCs w:val="20"/>
          <w:lang w:eastAsia="cs-CZ"/>
        </w:rPr>
        <w:t>STANOVISKO K PLNĚNÍ: Sp</w:t>
      </w:r>
      <w:r w:rsidR="003B327A" w:rsidRPr="00617D66">
        <w:rPr>
          <w:rFonts w:cs="Arial"/>
          <w:b/>
          <w:bCs/>
          <w:sz w:val="20"/>
          <w:szCs w:val="20"/>
          <w:lang w:eastAsia="cs-CZ"/>
        </w:rPr>
        <w:t>lněno.</w:t>
      </w:r>
    </w:p>
    <w:p w14:paraId="1F217862" w14:textId="77777777" w:rsidR="003B327A" w:rsidRPr="00D91018" w:rsidRDefault="003B327A" w:rsidP="003B327A">
      <w:pPr>
        <w:tabs>
          <w:tab w:val="left" w:pos="720"/>
        </w:tabs>
        <w:rPr>
          <w:rFonts w:cs="Arial"/>
          <w:b/>
          <w:bCs/>
          <w:sz w:val="20"/>
          <w:szCs w:val="20"/>
          <w:lang w:eastAsia="cs-CZ"/>
        </w:rPr>
      </w:pPr>
    </w:p>
    <w:p w14:paraId="6213F8D4" w14:textId="1364AE7A" w:rsidR="003B327A" w:rsidRPr="00B55D2C" w:rsidRDefault="003B327A" w:rsidP="00B55D2C">
      <w:pPr>
        <w:tabs>
          <w:tab w:val="left" w:pos="720"/>
        </w:tabs>
        <w:rPr>
          <w:rFonts w:cs="Arial"/>
          <w:b/>
          <w:bCs/>
          <w:sz w:val="20"/>
          <w:szCs w:val="20"/>
          <w:lang w:eastAsia="cs-CZ"/>
        </w:rPr>
      </w:pPr>
      <w:r w:rsidRPr="00B55D2C">
        <w:rPr>
          <w:rFonts w:cs="Arial"/>
          <w:b/>
          <w:bCs/>
          <w:sz w:val="20"/>
          <w:szCs w:val="20"/>
          <w:lang w:eastAsia="cs-CZ"/>
        </w:rPr>
        <w:t>PLNĚNÍ MF:</w:t>
      </w:r>
    </w:p>
    <w:p w14:paraId="1886426F" w14:textId="3086FDCF" w:rsidR="00B55D2C" w:rsidRPr="00B55D2C" w:rsidRDefault="007C49CB" w:rsidP="00B55D2C">
      <w:pPr>
        <w:rPr>
          <w:rFonts w:cs="Arial"/>
          <w:sz w:val="20"/>
          <w:szCs w:val="20"/>
        </w:rPr>
      </w:pPr>
      <w:hyperlink r:id="rId28" w:history="1">
        <w:r w:rsidR="00C72F90" w:rsidRPr="001F148D">
          <w:rPr>
            <w:rStyle w:val="Hypertextovodkaz"/>
            <w:rFonts w:cs="Arial"/>
            <w:sz w:val="20"/>
            <w:szCs w:val="20"/>
          </w:rPr>
          <w:t>I</w:t>
        </w:r>
        <w:r w:rsidR="00B55D2C" w:rsidRPr="001F148D">
          <w:rPr>
            <w:rStyle w:val="Hypertextovodkaz"/>
            <w:rFonts w:cs="Arial"/>
            <w:sz w:val="20"/>
            <w:szCs w:val="20"/>
          </w:rPr>
          <w:t>nformace o přístupnosti objektů</w:t>
        </w:r>
      </w:hyperlink>
      <w:r w:rsidR="00B55D2C" w:rsidRPr="00B55D2C">
        <w:rPr>
          <w:rFonts w:cs="Arial"/>
          <w:sz w:val="20"/>
          <w:szCs w:val="20"/>
        </w:rPr>
        <w:t xml:space="preserve"> byly zveřejněny k datu </w:t>
      </w:r>
      <w:proofErr w:type="gramStart"/>
      <w:r w:rsidR="00B55D2C" w:rsidRPr="00B55D2C">
        <w:rPr>
          <w:rFonts w:cs="Arial"/>
          <w:sz w:val="20"/>
          <w:szCs w:val="20"/>
        </w:rPr>
        <w:t>vyžadovaném</w:t>
      </w:r>
      <w:proofErr w:type="gramEnd"/>
      <w:r w:rsidR="00B55D2C" w:rsidRPr="00B55D2C">
        <w:rPr>
          <w:rFonts w:cs="Arial"/>
          <w:sz w:val="20"/>
          <w:szCs w:val="20"/>
        </w:rPr>
        <w:t xml:space="preserve"> Národním plánem podpory rovných příležitostí na internetových stránkách Ministerstva financí a jeho přímo řízených organizací.</w:t>
      </w:r>
    </w:p>
    <w:p w14:paraId="333DC3D1" w14:textId="2ED24BE0" w:rsidR="003B327A" w:rsidRPr="00B55D2C" w:rsidRDefault="003B327A" w:rsidP="00B55D2C">
      <w:pPr>
        <w:keepNext/>
        <w:tabs>
          <w:tab w:val="left" w:pos="720"/>
        </w:tabs>
        <w:rPr>
          <w:rFonts w:cs="Arial"/>
          <w:b/>
          <w:bCs/>
          <w:sz w:val="20"/>
          <w:szCs w:val="20"/>
          <w:lang w:eastAsia="cs-CZ"/>
        </w:rPr>
      </w:pPr>
      <w:r w:rsidRPr="00B55D2C">
        <w:rPr>
          <w:rFonts w:cs="Arial"/>
          <w:b/>
          <w:bCs/>
          <w:sz w:val="20"/>
          <w:szCs w:val="20"/>
          <w:lang w:eastAsia="cs-CZ"/>
        </w:rPr>
        <w:t>STANOVISKO K PLNĚNÍ</w:t>
      </w:r>
      <w:r w:rsidRPr="00765721">
        <w:rPr>
          <w:rFonts w:cs="Arial"/>
          <w:b/>
          <w:bCs/>
          <w:sz w:val="20"/>
          <w:szCs w:val="20"/>
          <w:lang w:eastAsia="cs-CZ"/>
        </w:rPr>
        <w:t xml:space="preserve">: </w:t>
      </w:r>
      <w:r w:rsidR="001F148D" w:rsidRPr="00765721">
        <w:rPr>
          <w:rFonts w:cs="Arial"/>
          <w:b/>
          <w:sz w:val="20"/>
          <w:szCs w:val="20"/>
        </w:rPr>
        <w:t xml:space="preserve">Splněno. </w:t>
      </w:r>
    </w:p>
    <w:p w14:paraId="638E0ADB" w14:textId="77777777" w:rsidR="003B327A" w:rsidRPr="00D91018" w:rsidRDefault="003B327A" w:rsidP="003B327A">
      <w:pPr>
        <w:rPr>
          <w:rFonts w:cs="Arial"/>
          <w:sz w:val="20"/>
          <w:szCs w:val="20"/>
        </w:rPr>
      </w:pPr>
    </w:p>
    <w:p w14:paraId="5B435CE8" w14:textId="3830D1F4" w:rsidR="003B327A" w:rsidRPr="004C727F" w:rsidRDefault="003B327A" w:rsidP="003B327A">
      <w:pPr>
        <w:tabs>
          <w:tab w:val="left" w:pos="720"/>
        </w:tabs>
        <w:rPr>
          <w:rFonts w:cs="Arial"/>
          <w:b/>
          <w:bCs/>
          <w:sz w:val="20"/>
          <w:szCs w:val="20"/>
          <w:lang w:eastAsia="cs-CZ"/>
        </w:rPr>
      </w:pPr>
      <w:r w:rsidRPr="004C727F">
        <w:rPr>
          <w:rFonts w:cs="Arial"/>
          <w:b/>
          <w:bCs/>
          <w:sz w:val="20"/>
          <w:szCs w:val="20"/>
          <w:lang w:eastAsia="cs-CZ"/>
        </w:rPr>
        <w:t>PLNĚNÍ MK:</w:t>
      </w:r>
    </w:p>
    <w:p w14:paraId="1C3C0541" w14:textId="64C74B61" w:rsidR="00F05C88" w:rsidRPr="008B748F" w:rsidRDefault="00F05C88" w:rsidP="00F05C88">
      <w:pPr>
        <w:rPr>
          <w:sz w:val="20"/>
          <w:szCs w:val="20"/>
        </w:rPr>
      </w:pPr>
      <w:r w:rsidRPr="008B748F">
        <w:rPr>
          <w:rFonts w:eastAsia="Calibri"/>
          <w:sz w:val="20"/>
          <w:szCs w:val="20"/>
        </w:rPr>
        <w:t>V roce 2023 Ministerstvo kultury zveřejnilo informace o</w:t>
      </w:r>
      <w:r w:rsidRPr="008B748F">
        <w:rPr>
          <w:sz w:val="20"/>
          <w:szCs w:val="20"/>
        </w:rPr>
        <w:t xml:space="preserve"> přístupnosti pro jednotlivé objekty ministerstva (Nosticův palác, budova v ul. Milad</w:t>
      </w:r>
      <w:r w:rsidR="008B748F" w:rsidRPr="008B748F">
        <w:rPr>
          <w:sz w:val="20"/>
          <w:szCs w:val="20"/>
        </w:rPr>
        <w:t xml:space="preserve">y Horákové a K Starému Bubenči): </w:t>
      </w:r>
      <w:hyperlink r:id="rId29" w:history="1">
        <w:r w:rsidR="008B748F" w:rsidRPr="008B748F">
          <w:rPr>
            <w:color w:val="0563C1"/>
            <w:sz w:val="20"/>
            <w:szCs w:val="20"/>
            <w:u w:val="single"/>
          </w:rPr>
          <w:t>Informace o přístupnosti objektů | mkcr.cz (gov.cz)</w:t>
        </w:r>
      </w:hyperlink>
      <w:r w:rsidR="008B748F" w:rsidRPr="008B748F">
        <w:rPr>
          <w:color w:val="0563C1"/>
          <w:sz w:val="20"/>
          <w:szCs w:val="20"/>
          <w:u w:val="single"/>
        </w:rPr>
        <w:t>.</w:t>
      </w:r>
      <w:r w:rsidR="008B748F" w:rsidRPr="008B748F">
        <w:rPr>
          <w:sz w:val="20"/>
          <w:szCs w:val="20"/>
        </w:rPr>
        <w:t xml:space="preserve"> </w:t>
      </w:r>
      <w:r w:rsidRPr="008B748F">
        <w:rPr>
          <w:sz w:val="20"/>
          <w:szCs w:val="20"/>
        </w:rPr>
        <w:t xml:space="preserve">Informační karty jsou volně ke stažení na webu ministerstva. </w:t>
      </w:r>
    </w:p>
    <w:p w14:paraId="45A24AC8" w14:textId="77777777" w:rsidR="00F05C88" w:rsidRPr="008B748F" w:rsidRDefault="00F05C88" w:rsidP="00F05C88">
      <w:pPr>
        <w:rPr>
          <w:sz w:val="20"/>
          <w:szCs w:val="20"/>
        </w:rPr>
      </w:pPr>
      <w:r w:rsidRPr="008B748F">
        <w:rPr>
          <w:sz w:val="20"/>
          <w:szCs w:val="20"/>
        </w:rPr>
        <w:t>Informace o přístupnosti zveřejnily i příspěvkové organizace MK.</w:t>
      </w:r>
    </w:p>
    <w:p w14:paraId="425018F5" w14:textId="4D92131A" w:rsidR="003B327A" w:rsidRPr="004C727F" w:rsidRDefault="003B327A" w:rsidP="003B327A">
      <w:pPr>
        <w:rPr>
          <w:rFonts w:cs="Arial"/>
          <w:sz w:val="20"/>
          <w:szCs w:val="20"/>
        </w:rPr>
      </w:pPr>
      <w:r w:rsidRPr="004C727F">
        <w:rPr>
          <w:rFonts w:cs="Arial"/>
          <w:b/>
          <w:bCs/>
          <w:sz w:val="20"/>
          <w:szCs w:val="20"/>
          <w:lang w:eastAsia="cs-CZ"/>
        </w:rPr>
        <w:t xml:space="preserve">STANOVISKO K PLNĚNÍ: </w:t>
      </w:r>
      <w:r w:rsidR="00F05C88" w:rsidRPr="004C727F">
        <w:rPr>
          <w:rFonts w:cs="Arial"/>
          <w:b/>
          <w:bCs/>
          <w:sz w:val="20"/>
          <w:szCs w:val="20"/>
          <w:lang w:eastAsia="cs-CZ"/>
        </w:rPr>
        <w:t>Sp</w:t>
      </w:r>
      <w:r w:rsidRPr="004C727F">
        <w:rPr>
          <w:rFonts w:cs="Arial"/>
          <w:b/>
          <w:bCs/>
          <w:sz w:val="20"/>
          <w:szCs w:val="20"/>
          <w:lang w:eastAsia="cs-CZ"/>
        </w:rPr>
        <w:t>lněno.</w:t>
      </w:r>
    </w:p>
    <w:p w14:paraId="15DA3F54" w14:textId="77777777" w:rsidR="003B327A" w:rsidRPr="00A44CDD" w:rsidRDefault="003B327A" w:rsidP="003B327A">
      <w:pPr>
        <w:tabs>
          <w:tab w:val="left" w:pos="720"/>
        </w:tabs>
        <w:rPr>
          <w:rFonts w:cs="Arial"/>
          <w:b/>
          <w:bCs/>
          <w:sz w:val="20"/>
          <w:szCs w:val="20"/>
          <w:lang w:eastAsia="cs-CZ"/>
        </w:rPr>
      </w:pPr>
    </w:p>
    <w:p w14:paraId="70BC4890" w14:textId="372503EA" w:rsidR="003B327A" w:rsidRPr="003A69C9" w:rsidRDefault="003B327A" w:rsidP="003A69C9">
      <w:pPr>
        <w:tabs>
          <w:tab w:val="left" w:pos="720"/>
        </w:tabs>
        <w:rPr>
          <w:rFonts w:cs="Arial"/>
          <w:b/>
          <w:bCs/>
          <w:sz w:val="20"/>
          <w:szCs w:val="20"/>
          <w:lang w:eastAsia="cs-CZ"/>
        </w:rPr>
      </w:pPr>
      <w:r w:rsidRPr="003A69C9">
        <w:rPr>
          <w:rFonts w:cs="Arial"/>
          <w:b/>
          <w:bCs/>
          <w:sz w:val="20"/>
          <w:szCs w:val="20"/>
          <w:lang w:eastAsia="cs-CZ"/>
        </w:rPr>
        <w:t>PLNĚNÍ MMR:</w:t>
      </w:r>
    </w:p>
    <w:p w14:paraId="2213F616" w14:textId="2B54DE55" w:rsidR="003A69C9" w:rsidRPr="003A69C9" w:rsidRDefault="003A69C9" w:rsidP="003A69C9">
      <w:pPr>
        <w:rPr>
          <w:rFonts w:cs="Arial"/>
          <w:iCs/>
          <w:sz w:val="20"/>
          <w:szCs w:val="20"/>
        </w:rPr>
      </w:pPr>
      <w:r w:rsidRPr="003A69C9">
        <w:rPr>
          <w:rFonts w:cs="Arial"/>
          <w:iCs/>
          <w:sz w:val="20"/>
          <w:szCs w:val="20"/>
        </w:rPr>
        <w:t xml:space="preserve">Základní přehled přístupnosti objektů MMR je na internetových stránkách MMR na následující URL: </w:t>
      </w:r>
      <w:hyperlink r:id="rId30" w:history="1">
        <w:r w:rsidRPr="003A69C9">
          <w:rPr>
            <w:rStyle w:val="Hypertextovodkaz"/>
            <w:rFonts w:cs="Arial"/>
            <w:iCs/>
            <w:color w:val="4472C4" w:themeColor="accent5"/>
            <w:sz w:val="20"/>
            <w:szCs w:val="20"/>
          </w:rPr>
          <w:t>https://mmr.gov.cz/cs/ministerstvo/urad/povinne-zverejnene-informace/zakladni-prehled-pristupnosti-objektu-mmr</w:t>
        </w:r>
      </w:hyperlink>
      <w:r w:rsidRPr="003A69C9">
        <w:rPr>
          <w:rFonts w:cs="Arial"/>
          <w:iCs/>
          <w:sz w:val="20"/>
          <w:szCs w:val="20"/>
        </w:rPr>
        <w:t xml:space="preserve">. Přímý odkaz na dokument: </w:t>
      </w:r>
      <w:hyperlink r:id="rId31" w:history="1">
        <w:r w:rsidRPr="003A69C9">
          <w:rPr>
            <w:rStyle w:val="Hypertextovodkaz"/>
            <w:rFonts w:cs="Arial"/>
            <w:iCs/>
            <w:sz w:val="20"/>
            <w:szCs w:val="20"/>
          </w:rPr>
          <w:t>https://mmr.gov.cz/getmedia/b79e98de-7136-4243-855a-70d9654badf8/Zakladni-prehled-pristupnosti-budov-Ministerstva-pro-mistni-rozvoj.pdf.aspx?ext=.pdf</w:t>
        </w:r>
      </w:hyperlink>
      <w:r w:rsidRPr="003A69C9">
        <w:rPr>
          <w:rFonts w:cs="Arial"/>
          <w:iCs/>
          <w:sz w:val="20"/>
          <w:szCs w:val="20"/>
        </w:rPr>
        <w:t>.</w:t>
      </w:r>
    </w:p>
    <w:p w14:paraId="0238AE5C" w14:textId="564F165C" w:rsidR="003B327A" w:rsidRPr="003A69C9" w:rsidRDefault="001F148D" w:rsidP="003A69C9">
      <w:pPr>
        <w:keepNext/>
        <w:tabs>
          <w:tab w:val="left" w:pos="720"/>
        </w:tabs>
        <w:rPr>
          <w:rFonts w:cs="Arial"/>
          <w:b/>
          <w:bCs/>
          <w:sz w:val="20"/>
          <w:szCs w:val="20"/>
          <w:lang w:eastAsia="cs-CZ"/>
        </w:rPr>
      </w:pPr>
      <w:r>
        <w:rPr>
          <w:rFonts w:cs="Arial"/>
          <w:b/>
          <w:bCs/>
          <w:sz w:val="20"/>
          <w:szCs w:val="20"/>
          <w:lang w:eastAsia="cs-CZ"/>
        </w:rPr>
        <w:t>STANOVISKO K PLNĚNÍ: Sp</w:t>
      </w:r>
      <w:r w:rsidR="003B327A" w:rsidRPr="003A69C9">
        <w:rPr>
          <w:rFonts w:cs="Arial"/>
          <w:b/>
          <w:bCs/>
          <w:sz w:val="20"/>
          <w:szCs w:val="20"/>
          <w:lang w:eastAsia="cs-CZ"/>
        </w:rPr>
        <w:t>lněno.</w:t>
      </w:r>
    </w:p>
    <w:p w14:paraId="53859E37" w14:textId="77777777" w:rsidR="003B327A" w:rsidRPr="00881BC6" w:rsidRDefault="003B327A" w:rsidP="00881BC6">
      <w:pPr>
        <w:rPr>
          <w:rFonts w:cs="Arial"/>
          <w:sz w:val="20"/>
          <w:szCs w:val="20"/>
        </w:rPr>
      </w:pPr>
    </w:p>
    <w:p w14:paraId="481396EC" w14:textId="6EC5F08F" w:rsidR="003B327A" w:rsidRPr="00881BC6" w:rsidRDefault="003B327A" w:rsidP="00881BC6">
      <w:pPr>
        <w:tabs>
          <w:tab w:val="left" w:pos="720"/>
        </w:tabs>
        <w:rPr>
          <w:rFonts w:cs="Arial"/>
          <w:b/>
          <w:bCs/>
          <w:sz w:val="20"/>
          <w:szCs w:val="20"/>
          <w:lang w:eastAsia="cs-CZ"/>
        </w:rPr>
      </w:pPr>
      <w:r w:rsidRPr="00881BC6">
        <w:rPr>
          <w:rFonts w:cs="Arial"/>
          <w:b/>
          <w:bCs/>
          <w:sz w:val="20"/>
          <w:szCs w:val="20"/>
          <w:lang w:eastAsia="cs-CZ"/>
        </w:rPr>
        <w:t>PLNĚNÍ MO:</w:t>
      </w:r>
    </w:p>
    <w:p w14:paraId="3AAA8008" w14:textId="4C953640" w:rsidR="00DD17FA" w:rsidRPr="00416E1B" w:rsidRDefault="001E519F" w:rsidP="00881BC6">
      <w:pPr>
        <w:rPr>
          <w:rFonts w:cs="Arial"/>
          <w:bCs/>
          <w:sz w:val="20"/>
          <w:szCs w:val="20"/>
        </w:rPr>
      </w:pPr>
      <w:r w:rsidRPr="00881BC6">
        <w:rPr>
          <w:rFonts w:cs="Arial"/>
          <w:bCs/>
          <w:sz w:val="20"/>
          <w:szCs w:val="20"/>
        </w:rPr>
        <w:t xml:space="preserve">V oblasti zveřejňování informací o přístupnosti budov MO zatím došlo ke zpoždění realizace opatření z důvodu celkové rekonstrukce internetových stránek věcně určené sekce majetkové Ministerstva obrany, které v současné době prochází úplnou úpravou jak struktury, obsahu informací, tak také grafickým nastavením. Po dokončení úprav bude na </w:t>
      </w:r>
      <w:r w:rsidRPr="00416E1B">
        <w:rPr>
          <w:rFonts w:cs="Arial"/>
          <w:bCs/>
          <w:sz w:val="20"/>
          <w:szCs w:val="20"/>
        </w:rPr>
        <w:t xml:space="preserve">těchto internetových stránkách zaveden funkční odkaz. Realizace proběhne nejpozději k 30. červnu 2024. </w:t>
      </w:r>
    </w:p>
    <w:p w14:paraId="3291BEA4" w14:textId="509DA925" w:rsidR="003B327A" w:rsidRPr="00881BC6" w:rsidRDefault="003B327A" w:rsidP="00881BC6">
      <w:pPr>
        <w:keepNext/>
        <w:tabs>
          <w:tab w:val="left" w:pos="720"/>
        </w:tabs>
        <w:rPr>
          <w:rFonts w:cs="Arial"/>
          <w:sz w:val="20"/>
          <w:szCs w:val="20"/>
        </w:rPr>
      </w:pPr>
      <w:r w:rsidRPr="00416E1B">
        <w:rPr>
          <w:rFonts w:cs="Arial"/>
          <w:b/>
          <w:bCs/>
          <w:sz w:val="20"/>
          <w:szCs w:val="20"/>
          <w:lang w:eastAsia="cs-CZ"/>
        </w:rPr>
        <w:t xml:space="preserve">STANOVISKO K PLNĚNÍ: </w:t>
      </w:r>
      <w:r w:rsidR="001E519F" w:rsidRPr="00416E1B">
        <w:rPr>
          <w:rFonts w:cs="Arial"/>
          <w:b/>
          <w:bCs/>
          <w:sz w:val="20"/>
          <w:szCs w:val="20"/>
          <w:lang w:eastAsia="cs-CZ"/>
        </w:rPr>
        <w:t>Nesplněno</w:t>
      </w:r>
      <w:r w:rsidR="001E519F" w:rsidRPr="00416E1B">
        <w:rPr>
          <w:rFonts w:cs="Arial"/>
          <w:b/>
          <w:sz w:val="20"/>
          <w:szCs w:val="20"/>
        </w:rPr>
        <w:t xml:space="preserve">. Navržen posun termínu do </w:t>
      </w:r>
      <w:proofErr w:type="gramStart"/>
      <w:r w:rsidR="001E519F" w:rsidRPr="00416E1B">
        <w:rPr>
          <w:rFonts w:cs="Arial"/>
          <w:b/>
          <w:sz w:val="20"/>
          <w:szCs w:val="20"/>
        </w:rPr>
        <w:t>31.12.2024</w:t>
      </w:r>
      <w:proofErr w:type="gramEnd"/>
      <w:r w:rsidR="001E519F" w:rsidRPr="00416E1B">
        <w:rPr>
          <w:rFonts w:cs="Arial"/>
          <w:b/>
          <w:sz w:val="20"/>
          <w:szCs w:val="20"/>
        </w:rPr>
        <w:t>.</w:t>
      </w:r>
    </w:p>
    <w:p w14:paraId="1C4B6A6E" w14:textId="77777777" w:rsidR="003B327A" w:rsidRPr="00690063" w:rsidRDefault="003B327A" w:rsidP="00690063">
      <w:pPr>
        <w:rPr>
          <w:rFonts w:cs="Arial"/>
          <w:sz w:val="20"/>
          <w:szCs w:val="20"/>
        </w:rPr>
      </w:pPr>
    </w:p>
    <w:p w14:paraId="143EB111" w14:textId="4FAEEB52" w:rsidR="003B327A" w:rsidRPr="00690063" w:rsidRDefault="003B327A" w:rsidP="00690063">
      <w:pPr>
        <w:tabs>
          <w:tab w:val="left" w:pos="720"/>
        </w:tabs>
        <w:rPr>
          <w:rFonts w:cs="Arial"/>
          <w:b/>
          <w:bCs/>
          <w:sz w:val="20"/>
          <w:szCs w:val="20"/>
          <w:lang w:eastAsia="cs-CZ"/>
        </w:rPr>
      </w:pPr>
      <w:r w:rsidRPr="00690063">
        <w:rPr>
          <w:rFonts w:cs="Arial"/>
          <w:b/>
          <w:bCs/>
          <w:sz w:val="20"/>
          <w:szCs w:val="20"/>
          <w:lang w:eastAsia="cs-CZ"/>
        </w:rPr>
        <w:t>PLNĚNÍ MPO:</w:t>
      </w:r>
    </w:p>
    <w:p w14:paraId="2626B3D0" w14:textId="2A83339E" w:rsidR="00690063" w:rsidRPr="00690063" w:rsidRDefault="00690063" w:rsidP="00690063">
      <w:pPr>
        <w:rPr>
          <w:rFonts w:cs="Arial"/>
          <w:sz w:val="20"/>
          <w:szCs w:val="20"/>
        </w:rPr>
      </w:pPr>
      <w:r w:rsidRPr="00690063">
        <w:rPr>
          <w:rFonts w:cs="Arial"/>
          <w:sz w:val="20"/>
          <w:szCs w:val="20"/>
        </w:rPr>
        <w:t>Uveřejnění proběhlo v řádném termínu do 30. 6. 2023. Přístupnost objektů MPO je zveřejněna na následujícím odkazu:</w:t>
      </w:r>
      <w:r w:rsidR="00A00FDC">
        <w:rPr>
          <w:rFonts w:cs="Arial"/>
          <w:sz w:val="20"/>
          <w:szCs w:val="20"/>
        </w:rPr>
        <w:t xml:space="preserve"> </w:t>
      </w:r>
      <w:hyperlink r:id="rId32" w:history="1">
        <w:r w:rsidRPr="00690063">
          <w:rPr>
            <w:rStyle w:val="Hypertextovodkaz"/>
            <w:rFonts w:cs="Arial"/>
            <w:sz w:val="20"/>
            <w:szCs w:val="20"/>
          </w:rPr>
          <w:t>https://www.mpo.cz/cz/rozcestnik/podpora-rovnych-prilezitosti-pro-ozp/zakladni-informace-o-pristupnosti-budov-pro-osoby-se-zdravotnim-postizenim--275311/</w:t>
        </w:r>
      </w:hyperlink>
    </w:p>
    <w:p w14:paraId="04869836" w14:textId="5CE0C0AF" w:rsidR="00690063" w:rsidRPr="00690063" w:rsidRDefault="00690063" w:rsidP="00690063">
      <w:pPr>
        <w:rPr>
          <w:rFonts w:cs="Arial"/>
          <w:sz w:val="20"/>
          <w:szCs w:val="20"/>
        </w:rPr>
      </w:pPr>
      <w:r w:rsidRPr="00690063">
        <w:rPr>
          <w:rFonts w:cs="Arial"/>
          <w:sz w:val="20"/>
          <w:szCs w:val="20"/>
        </w:rPr>
        <w:t>Rovněž všechny přímo řízené organizace uveřejnily přístupnost objektů na svých internetových stránkách.</w:t>
      </w:r>
    </w:p>
    <w:p w14:paraId="441B8802" w14:textId="794F88F3" w:rsidR="003B327A" w:rsidRPr="00690063" w:rsidRDefault="003B327A" w:rsidP="00690063">
      <w:pPr>
        <w:rPr>
          <w:rFonts w:cs="Arial"/>
          <w:b/>
          <w:sz w:val="20"/>
          <w:szCs w:val="20"/>
        </w:rPr>
      </w:pPr>
      <w:r w:rsidRPr="00690063">
        <w:rPr>
          <w:rFonts w:cs="Arial"/>
          <w:b/>
          <w:bCs/>
          <w:sz w:val="20"/>
          <w:szCs w:val="20"/>
          <w:lang w:eastAsia="cs-CZ"/>
        </w:rPr>
        <w:t xml:space="preserve">STANOVISKO K PLNĚNÍ: </w:t>
      </w:r>
      <w:r w:rsidR="00690063">
        <w:rPr>
          <w:rFonts w:cs="Arial"/>
          <w:b/>
          <w:sz w:val="20"/>
          <w:szCs w:val="20"/>
        </w:rPr>
        <w:t>Sp</w:t>
      </w:r>
      <w:r w:rsidRPr="00690063">
        <w:rPr>
          <w:rFonts w:cs="Arial"/>
          <w:b/>
          <w:sz w:val="20"/>
          <w:szCs w:val="20"/>
        </w:rPr>
        <w:t>lněno.</w:t>
      </w:r>
    </w:p>
    <w:p w14:paraId="6F3D7C5B" w14:textId="77777777" w:rsidR="003B327A" w:rsidRPr="00EA3148" w:rsidRDefault="003B327A" w:rsidP="003B327A">
      <w:pPr>
        <w:rPr>
          <w:rFonts w:cs="Arial"/>
          <w:sz w:val="20"/>
          <w:szCs w:val="20"/>
        </w:rPr>
      </w:pPr>
    </w:p>
    <w:p w14:paraId="24D8A1C7" w14:textId="0AD29E70" w:rsidR="003B327A" w:rsidRPr="00A5119C" w:rsidRDefault="003B327A" w:rsidP="003B327A">
      <w:pPr>
        <w:keepNext/>
        <w:tabs>
          <w:tab w:val="left" w:pos="720"/>
        </w:tabs>
        <w:rPr>
          <w:rFonts w:cs="Arial"/>
          <w:b/>
          <w:bCs/>
          <w:sz w:val="20"/>
          <w:szCs w:val="20"/>
          <w:lang w:eastAsia="cs-CZ"/>
        </w:rPr>
      </w:pPr>
      <w:r w:rsidRPr="00A5119C">
        <w:rPr>
          <w:rFonts w:cs="Arial"/>
          <w:b/>
          <w:bCs/>
          <w:sz w:val="20"/>
          <w:szCs w:val="20"/>
          <w:lang w:eastAsia="cs-CZ"/>
        </w:rPr>
        <w:t>PLNĚNÍ MPSV:</w:t>
      </w:r>
    </w:p>
    <w:p w14:paraId="19BDE0EF" w14:textId="3DBF7F6E" w:rsidR="00A5119C" w:rsidRPr="007E5F4E" w:rsidRDefault="00A5119C" w:rsidP="00A5119C">
      <w:pPr>
        <w:rPr>
          <w:rFonts w:cs="Arial"/>
          <w:sz w:val="20"/>
          <w:szCs w:val="20"/>
        </w:rPr>
      </w:pPr>
      <w:r w:rsidRPr="00A5119C">
        <w:rPr>
          <w:rFonts w:cs="Arial"/>
          <w:sz w:val="20"/>
          <w:szCs w:val="20"/>
        </w:rPr>
        <w:t>Na internetových stránkách MPSV a jeho přímo řízených organizac</w:t>
      </w:r>
      <w:r w:rsidR="003C32EF">
        <w:rPr>
          <w:rFonts w:cs="Arial"/>
          <w:sz w:val="20"/>
          <w:szCs w:val="20"/>
        </w:rPr>
        <w:t>í jsou zpřístupněny informace o </w:t>
      </w:r>
      <w:r w:rsidRPr="00A5119C">
        <w:rPr>
          <w:rFonts w:cs="Arial"/>
          <w:sz w:val="20"/>
          <w:szCs w:val="20"/>
        </w:rPr>
        <w:t>přístupnosti objektů, ve k</w:t>
      </w:r>
      <w:r w:rsidR="00016AFD">
        <w:rPr>
          <w:rFonts w:cs="Arial"/>
          <w:sz w:val="20"/>
          <w:szCs w:val="20"/>
        </w:rPr>
        <w:t>terých MPSV či jeho přímo řízené</w:t>
      </w:r>
      <w:r w:rsidRPr="00A5119C">
        <w:rPr>
          <w:rFonts w:cs="Arial"/>
          <w:sz w:val="20"/>
          <w:szCs w:val="20"/>
        </w:rPr>
        <w:t xml:space="preserve"> </w:t>
      </w:r>
      <w:r w:rsidRPr="007E5F4E">
        <w:rPr>
          <w:rFonts w:cs="Arial"/>
          <w:sz w:val="20"/>
          <w:szCs w:val="20"/>
        </w:rPr>
        <w:t>organizace sídlí.</w:t>
      </w:r>
      <w:r w:rsidR="007E5F4E" w:rsidRPr="007E5F4E">
        <w:rPr>
          <w:rFonts w:cs="Arial"/>
          <w:sz w:val="20"/>
          <w:szCs w:val="20"/>
        </w:rPr>
        <w:t xml:space="preserve"> </w:t>
      </w:r>
      <w:hyperlink r:id="rId33" w:history="1">
        <w:r w:rsidR="007E5F4E" w:rsidRPr="007E5F4E">
          <w:rPr>
            <w:rStyle w:val="Hypertextovodkaz"/>
            <w:sz w:val="20"/>
            <w:szCs w:val="20"/>
          </w:rPr>
          <w:t>Přehled přístupnosti budov (mpsv.cz)</w:t>
        </w:r>
      </w:hyperlink>
    </w:p>
    <w:p w14:paraId="4D14D5E0" w14:textId="423B1956" w:rsidR="00A5119C" w:rsidRPr="00A5119C" w:rsidRDefault="00A5119C" w:rsidP="00A5119C">
      <w:pPr>
        <w:rPr>
          <w:rFonts w:cs="Arial"/>
          <w:sz w:val="20"/>
          <w:szCs w:val="20"/>
        </w:rPr>
      </w:pPr>
      <w:r w:rsidRPr="00A5119C">
        <w:rPr>
          <w:rFonts w:cs="Arial"/>
          <w:sz w:val="20"/>
          <w:szCs w:val="20"/>
        </w:rPr>
        <w:t>Na základě Analýzy přístupnosti budov provedené formou sběru informací pro jednotný materiál resortu MPSV o přístupnosti budov k termínu 31. 12. 2023 zahájila ČSSZ práce na uveřejnění vzorových karet přístupnosti objektů, předpoklad jejich uveřejn</w:t>
      </w:r>
      <w:r w:rsidR="003C32EF">
        <w:rPr>
          <w:rFonts w:cs="Arial"/>
          <w:sz w:val="20"/>
          <w:szCs w:val="20"/>
        </w:rPr>
        <w:t>ění na webové stránky je do </w:t>
      </w:r>
      <w:proofErr w:type="gramStart"/>
      <w:r w:rsidR="00016AFD">
        <w:rPr>
          <w:rFonts w:cs="Arial"/>
          <w:sz w:val="20"/>
          <w:szCs w:val="20"/>
        </w:rPr>
        <w:t>30.0</w:t>
      </w:r>
      <w:r w:rsidR="003C32EF">
        <w:rPr>
          <w:rFonts w:cs="Arial"/>
          <w:sz w:val="20"/>
          <w:szCs w:val="20"/>
        </w:rPr>
        <w:t>4.</w:t>
      </w:r>
      <w:r w:rsidRPr="00A5119C">
        <w:rPr>
          <w:rFonts w:cs="Arial"/>
          <w:sz w:val="20"/>
          <w:szCs w:val="20"/>
        </w:rPr>
        <w:t>2024</w:t>
      </w:r>
      <w:proofErr w:type="gramEnd"/>
      <w:r w:rsidRPr="00A5119C">
        <w:rPr>
          <w:rFonts w:cs="Arial"/>
          <w:sz w:val="20"/>
          <w:szCs w:val="20"/>
        </w:rPr>
        <w:t>.</w:t>
      </w:r>
    </w:p>
    <w:p w14:paraId="25C3065E" w14:textId="145C4A7C" w:rsidR="003B327A" w:rsidRPr="00A5119C" w:rsidRDefault="003B327A" w:rsidP="003B327A">
      <w:pPr>
        <w:keepNext/>
        <w:tabs>
          <w:tab w:val="left" w:pos="720"/>
        </w:tabs>
        <w:rPr>
          <w:rFonts w:cs="Arial"/>
          <w:sz w:val="20"/>
          <w:szCs w:val="20"/>
        </w:rPr>
      </w:pPr>
      <w:r w:rsidRPr="00A5119C">
        <w:rPr>
          <w:rFonts w:cs="Arial"/>
          <w:b/>
          <w:bCs/>
          <w:sz w:val="20"/>
          <w:szCs w:val="20"/>
          <w:lang w:eastAsia="cs-CZ"/>
        </w:rPr>
        <w:t xml:space="preserve">STANOVISKO K PLNĚNÍ: </w:t>
      </w:r>
      <w:r w:rsidR="00A5119C" w:rsidRPr="005020DC">
        <w:rPr>
          <w:rFonts w:cs="Arial"/>
          <w:b/>
          <w:bCs/>
          <w:sz w:val="20"/>
          <w:szCs w:val="20"/>
          <w:lang w:eastAsia="cs-CZ"/>
        </w:rPr>
        <w:t>Nes</w:t>
      </w:r>
      <w:r w:rsidR="00A5119C" w:rsidRPr="005020DC">
        <w:rPr>
          <w:rFonts w:cs="Arial"/>
          <w:b/>
          <w:sz w:val="20"/>
          <w:szCs w:val="20"/>
        </w:rPr>
        <w:t>p</w:t>
      </w:r>
      <w:r w:rsidRPr="005020DC">
        <w:rPr>
          <w:rFonts w:cs="Arial"/>
          <w:b/>
          <w:sz w:val="20"/>
          <w:szCs w:val="20"/>
        </w:rPr>
        <w:t>lněno.</w:t>
      </w:r>
      <w:r w:rsidR="00A5119C" w:rsidRPr="005020DC">
        <w:rPr>
          <w:rFonts w:cs="Arial"/>
          <w:b/>
          <w:sz w:val="20"/>
          <w:szCs w:val="20"/>
        </w:rPr>
        <w:t xml:space="preserve"> Navržen posun termínu do </w:t>
      </w:r>
      <w:proofErr w:type="gramStart"/>
      <w:r w:rsidR="00A5119C" w:rsidRPr="005020DC">
        <w:rPr>
          <w:rFonts w:cs="Arial"/>
          <w:b/>
          <w:sz w:val="20"/>
          <w:szCs w:val="20"/>
        </w:rPr>
        <w:t>31.12.2024</w:t>
      </w:r>
      <w:proofErr w:type="gramEnd"/>
      <w:r w:rsidR="00A5119C" w:rsidRPr="005020DC">
        <w:rPr>
          <w:rFonts w:cs="Arial"/>
          <w:b/>
          <w:sz w:val="20"/>
          <w:szCs w:val="20"/>
        </w:rPr>
        <w:t>.</w:t>
      </w:r>
    </w:p>
    <w:p w14:paraId="45D80B08" w14:textId="77777777" w:rsidR="003B327A" w:rsidRPr="00EA3148" w:rsidRDefault="003B327A" w:rsidP="003B327A">
      <w:pPr>
        <w:rPr>
          <w:rFonts w:cs="Arial"/>
          <w:sz w:val="20"/>
          <w:szCs w:val="20"/>
        </w:rPr>
      </w:pPr>
    </w:p>
    <w:p w14:paraId="0C2C054E" w14:textId="57EBDE67" w:rsidR="003B327A" w:rsidRPr="000B56C2" w:rsidRDefault="003B327A" w:rsidP="000B56C2">
      <w:pPr>
        <w:tabs>
          <w:tab w:val="left" w:pos="720"/>
        </w:tabs>
        <w:rPr>
          <w:rFonts w:cs="Arial"/>
          <w:b/>
          <w:bCs/>
          <w:sz w:val="20"/>
          <w:szCs w:val="20"/>
          <w:lang w:eastAsia="cs-CZ"/>
        </w:rPr>
      </w:pPr>
      <w:r w:rsidRPr="000B56C2">
        <w:rPr>
          <w:rFonts w:cs="Arial"/>
          <w:b/>
          <w:bCs/>
          <w:sz w:val="20"/>
          <w:szCs w:val="20"/>
          <w:lang w:eastAsia="cs-CZ"/>
        </w:rPr>
        <w:t>PLNĚNÍ MSp:</w:t>
      </w:r>
    </w:p>
    <w:p w14:paraId="0EC009C9" w14:textId="4C01A312" w:rsidR="000B56C2" w:rsidRDefault="000B56C2" w:rsidP="000B56C2">
      <w:pPr>
        <w:rPr>
          <w:rFonts w:cs="Arial"/>
          <w:sz w:val="20"/>
          <w:szCs w:val="20"/>
        </w:rPr>
      </w:pPr>
      <w:r w:rsidRPr="000B56C2">
        <w:rPr>
          <w:rFonts w:cs="Arial"/>
          <w:sz w:val="20"/>
          <w:szCs w:val="20"/>
        </w:rPr>
        <w:t>MSp prostřednictvím odboru investic a majetku (dále jen „OIM“) zajistilo v rámci plnění opatření 2.1.2 zpracování analýz přístupnosti jednotlivých objektů, opakovaně</w:t>
      </w:r>
      <w:r w:rsidR="001360D8">
        <w:rPr>
          <w:rFonts w:cs="Arial"/>
          <w:sz w:val="20"/>
          <w:szCs w:val="20"/>
        </w:rPr>
        <w:t xml:space="preserve"> požádalo o jejich zveřejnění a </w:t>
      </w:r>
      <w:r w:rsidRPr="000B56C2">
        <w:rPr>
          <w:rFonts w:cs="Arial"/>
          <w:sz w:val="20"/>
          <w:szCs w:val="20"/>
        </w:rPr>
        <w:t>následně provedlo namátkovou kontrolu, která ověřila, že tato povinnost byla splněna.</w:t>
      </w:r>
    </w:p>
    <w:p w14:paraId="5F530FA0" w14:textId="77777777" w:rsidR="001360D8" w:rsidRPr="001360D8" w:rsidRDefault="007C49CB" w:rsidP="001360D8">
      <w:pPr>
        <w:pStyle w:val="MSp-text"/>
        <w:numPr>
          <w:ilvl w:val="0"/>
          <w:numId w:val="52"/>
        </w:numPr>
        <w:spacing w:after="0"/>
        <w:rPr>
          <w:rFonts w:ascii="Arial" w:hAnsi="Arial" w:cs="Arial"/>
          <w:sz w:val="20"/>
          <w:szCs w:val="20"/>
        </w:rPr>
      </w:pPr>
      <w:hyperlink r:id="rId34" w:history="1">
        <w:r w:rsidR="001360D8" w:rsidRPr="001360D8">
          <w:rPr>
            <w:rStyle w:val="Hypertextovodkaz"/>
            <w:rFonts w:ascii="Arial" w:eastAsia="Calibri" w:hAnsi="Arial" w:cs="Arial"/>
            <w:sz w:val="20"/>
            <w:szCs w:val="20"/>
          </w:rPr>
          <w:t>https://justice.cz/web/msp/podatelna-ministerstva</w:t>
        </w:r>
      </w:hyperlink>
    </w:p>
    <w:p w14:paraId="108B51AF" w14:textId="77777777" w:rsidR="001360D8" w:rsidRPr="001360D8" w:rsidRDefault="001360D8" w:rsidP="001360D8">
      <w:pPr>
        <w:pStyle w:val="MSp-text"/>
        <w:spacing w:after="0"/>
        <w:ind w:left="720" w:firstLine="0"/>
        <w:jc w:val="left"/>
        <w:rPr>
          <w:rFonts w:ascii="Arial" w:hAnsi="Arial" w:cs="Arial"/>
          <w:sz w:val="20"/>
          <w:szCs w:val="20"/>
        </w:rPr>
      </w:pPr>
      <w:r w:rsidRPr="001360D8">
        <w:rPr>
          <w:rFonts w:ascii="Arial" w:hAnsi="Arial" w:cs="Arial"/>
          <w:sz w:val="20"/>
          <w:szCs w:val="20"/>
        </w:rPr>
        <w:t xml:space="preserve">(viz </w:t>
      </w:r>
      <w:r w:rsidRPr="001360D8">
        <w:rPr>
          <w:rFonts w:ascii="Arial" w:hAnsi="Arial" w:cs="Arial"/>
          <w:i/>
          <w:iCs/>
          <w:sz w:val="20"/>
          <w:szCs w:val="20"/>
        </w:rPr>
        <w:t>Analýza přístupnosti budov pro osoby se zdravotním postižením</w:t>
      </w:r>
      <w:r w:rsidRPr="001360D8">
        <w:rPr>
          <w:rFonts w:ascii="Arial" w:hAnsi="Arial" w:cs="Arial"/>
          <w:sz w:val="20"/>
          <w:szCs w:val="20"/>
        </w:rPr>
        <w:t xml:space="preserve"> v dolní části stránky)</w:t>
      </w:r>
    </w:p>
    <w:p w14:paraId="4BC95C5F" w14:textId="77777777" w:rsidR="001360D8" w:rsidRPr="001360D8" w:rsidRDefault="007C49CB" w:rsidP="001360D8">
      <w:pPr>
        <w:pStyle w:val="MSp-text"/>
        <w:numPr>
          <w:ilvl w:val="0"/>
          <w:numId w:val="52"/>
        </w:numPr>
        <w:spacing w:after="0"/>
        <w:rPr>
          <w:rFonts w:ascii="Arial" w:hAnsi="Arial" w:cs="Arial"/>
          <w:sz w:val="20"/>
          <w:szCs w:val="20"/>
        </w:rPr>
      </w:pPr>
      <w:hyperlink r:id="rId35" w:history="1">
        <w:r w:rsidR="001360D8" w:rsidRPr="001360D8">
          <w:rPr>
            <w:rStyle w:val="Hypertextovodkaz"/>
            <w:rFonts w:ascii="Arial" w:eastAsia="Calibri" w:hAnsi="Arial" w:cs="Arial"/>
            <w:sz w:val="20"/>
            <w:szCs w:val="20"/>
          </w:rPr>
          <w:t>https://www.nsoud.cz/judikatura/ns_web.nsf/Kontakty</w:t>
        </w:r>
      </w:hyperlink>
    </w:p>
    <w:p w14:paraId="06E99264" w14:textId="77777777" w:rsidR="001360D8" w:rsidRPr="001360D8" w:rsidRDefault="001360D8" w:rsidP="001360D8">
      <w:pPr>
        <w:pStyle w:val="MSp-text"/>
        <w:spacing w:after="0"/>
        <w:ind w:left="720" w:firstLine="0"/>
        <w:rPr>
          <w:rFonts w:ascii="Arial" w:hAnsi="Arial" w:cs="Arial"/>
          <w:sz w:val="20"/>
          <w:szCs w:val="20"/>
        </w:rPr>
      </w:pPr>
      <w:r w:rsidRPr="001360D8">
        <w:rPr>
          <w:rFonts w:ascii="Arial" w:hAnsi="Arial" w:cs="Arial"/>
          <w:sz w:val="20"/>
          <w:szCs w:val="20"/>
        </w:rPr>
        <w:t xml:space="preserve">(viz </w:t>
      </w:r>
      <w:r w:rsidRPr="001360D8">
        <w:rPr>
          <w:rFonts w:ascii="Arial" w:hAnsi="Arial" w:cs="Arial"/>
          <w:i/>
          <w:iCs/>
          <w:sz w:val="20"/>
          <w:szCs w:val="20"/>
        </w:rPr>
        <w:t>Přístupnost budovy Nejvyššího soudu</w:t>
      </w:r>
      <w:r w:rsidRPr="001360D8">
        <w:rPr>
          <w:rFonts w:ascii="Arial" w:hAnsi="Arial" w:cs="Arial"/>
          <w:sz w:val="20"/>
          <w:szCs w:val="20"/>
        </w:rPr>
        <w:t xml:space="preserve"> v dolní části stránky)</w:t>
      </w:r>
    </w:p>
    <w:p w14:paraId="49A1ACB1" w14:textId="77777777" w:rsidR="001360D8" w:rsidRPr="001360D8" w:rsidRDefault="007C49CB" w:rsidP="001360D8">
      <w:pPr>
        <w:pStyle w:val="MSp-text"/>
        <w:numPr>
          <w:ilvl w:val="0"/>
          <w:numId w:val="52"/>
        </w:numPr>
        <w:spacing w:after="0"/>
        <w:rPr>
          <w:rFonts w:ascii="Arial" w:hAnsi="Arial" w:cs="Arial"/>
          <w:sz w:val="20"/>
          <w:szCs w:val="20"/>
        </w:rPr>
      </w:pPr>
      <w:hyperlink r:id="rId36" w:history="1">
        <w:r w:rsidR="001360D8" w:rsidRPr="001360D8">
          <w:rPr>
            <w:rStyle w:val="Hypertextovodkaz"/>
            <w:rFonts w:ascii="Arial" w:eastAsia="Calibri" w:hAnsi="Arial" w:cs="Arial"/>
            <w:sz w:val="20"/>
            <w:szCs w:val="20"/>
          </w:rPr>
          <w:t>https://justice.cz/web/mestsky-soud-v-praze/zakladni-informace/-/clanek/zakladni-informace</w:t>
        </w:r>
      </w:hyperlink>
    </w:p>
    <w:p w14:paraId="5A6ADC23" w14:textId="77777777" w:rsidR="001360D8" w:rsidRPr="001360D8" w:rsidRDefault="001360D8" w:rsidP="001360D8">
      <w:pPr>
        <w:pStyle w:val="MSp-text"/>
        <w:spacing w:after="0"/>
        <w:ind w:left="720" w:firstLine="0"/>
        <w:jc w:val="left"/>
        <w:rPr>
          <w:rFonts w:ascii="Arial" w:hAnsi="Arial" w:cs="Arial"/>
          <w:sz w:val="20"/>
          <w:szCs w:val="20"/>
        </w:rPr>
      </w:pPr>
      <w:r w:rsidRPr="001360D8">
        <w:rPr>
          <w:rFonts w:ascii="Arial" w:hAnsi="Arial" w:cs="Arial"/>
          <w:sz w:val="20"/>
          <w:szCs w:val="20"/>
        </w:rPr>
        <w:t xml:space="preserve">(viz </w:t>
      </w:r>
      <w:r w:rsidRPr="001360D8">
        <w:rPr>
          <w:rFonts w:ascii="Arial" w:hAnsi="Arial" w:cs="Arial"/>
          <w:i/>
          <w:iCs/>
          <w:sz w:val="20"/>
          <w:szCs w:val="20"/>
        </w:rPr>
        <w:t>Informace o přístupnosti pro osoby se zdravotním postižením v budovách MS Praha</w:t>
      </w:r>
      <w:r w:rsidRPr="001360D8">
        <w:rPr>
          <w:rFonts w:ascii="Arial" w:hAnsi="Arial" w:cs="Arial"/>
          <w:sz w:val="20"/>
          <w:szCs w:val="20"/>
        </w:rPr>
        <w:t xml:space="preserve"> v dolní části stránky)</w:t>
      </w:r>
    </w:p>
    <w:p w14:paraId="508C22C0" w14:textId="77777777" w:rsidR="001360D8" w:rsidRPr="001360D8" w:rsidRDefault="007C49CB" w:rsidP="001360D8">
      <w:pPr>
        <w:pStyle w:val="MSp-text"/>
        <w:numPr>
          <w:ilvl w:val="0"/>
          <w:numId w:val="52"/>
        </w:numPr>
        <w:spacing w:after="0"/>
        <w:rPr>
          <w:rFonts w:ascii="Arial" w:hAnsi="Arial" w:cs="Arial"/>
          <w:sz w:val="20"/>
          <w:szCs w:val="20"/>
        </w:rPr>
      </w:pPr>
      <w:hyperlink r:id="rId37" w:history="1">
        <w:r w:rsidR="001360D8" w:rsidRPr="001360D8">
          <w:rPr>
            <w:rStyle w:val="Hypertextovodkaz"/>
            <w:rFonts w:ascii="Arial" w:eastAsia="Calibri" w:hAnsi="Arial" w:cs="Arial"/>
            <w:sz w:val="20"/>
            <w:szCs w:val="20"/>
          </w:rPr>
          <w:t>https://justice.cz/web/krajsky-soud-v-praze/</w:t>
        </w:r>
      </w:hyperlink>
    </w:p>
    <w:p w14:paraId="2B1DF924" w14:textId="77777777" w:rsidR="001360D8" w:rsidRPr="001360D8" w:rsidRDefault="001360D8" w:rsidP="001360D8">
      <w:pPr>
        <w:pStyle w:val="MSp-text"/>
        <w:spacing w:after="0"/>
        <w:ind w:left="720" w:firstLine="0"/>
        <w:rPr>
          <w:rFonts w:ascii="Arial" w:hAnsi="Arial" w:cs="Arial"/>
          <w:sz w:val="20"/>
          <w:szCs w:val="20"/>
        </w:rPr>
      </w:pPr>
      <w:r w:rsidRPr="001360D8">
        <w:rPr>
          <w:rFonts w:ascii="Arial" w:hAnsi="Arial" w:cs="Arial"/>
          <w:sz w:val="20"/>
          <w:szCs w:val="20"/>
        </w:rPr>
        <w:t xml:space="preserve">(viz </w:t>
      </w:r>
      <w:r w:rsidRPr="001360D8">
        <w:rPr>
          <w:rFonts w:ascii="Arial" w:hAnsi="Arial" w:cs="Arial"/>
          <w:i/>
          <w:iCs/>
          <w:sz w:val="20"/>
          <w:szCs w:val="20"/>
        </w:rPr>
        <w:t>Analýza přístupnosti budov pro osoby s postižením</w:t>
      </w:r>
      <w:r w:rsidRPr="001360D8">
        <w:rPr>
          <w:rFonts w:ascii="Arial" w:hAnsi="Arial" w:cs="Arial"/>
          <w:sz w:val="20"/>
          <w:szCs w:val="20"/>
        </w:rPr>
        <w:t xml:space="preserve"> v dolní části stránky)</w:t>
      </w:r>
    </w:p>
    <w:p w14:paraId="37EBA84E" w14:textId="77777777" w:rsidR="001360D8" w:rsidRPr="001360D8" w:rsidRDefault="007C49CB" w:rsidP="001360D8">
      <w:pPr>
        <w:pStyle w:val="MSp-text"/>
        <w:numPr>
          <w:ilvl w:val="0"/>
          <w:numId w:val="52"/>
        </w:numPr>
        <w:spacing w:after="0"/>
        <w:rPr>
          <w:rFonts w:ascii="Arial" w:hAnsi="Arial" w:cs="Arial"/>
          <w:sz w:val="20"/>
          <w:szCs w:val="20"/>
        </w:rPr>
      </w:pPr>
      <w:hyperlink r:id="rId38" w:history="1">
        <w:r w:rsidR="001360D8" w:rsidRPr="001360D8">
          <w:rPr>
            <w:rStyle w:val="Hypertextovodkaz"/>
            <w:rFonts w:ascii="Arial" w:eastAsia="Calibri" w:hAnsi="Arial" w:cs="Arial"/>
            <w:sz w:val="20"/>
            <w:szCs w:val="20"/>
          </w:rPr>
          <w:t>https://justice.cz/web/okresni-soud-v-melniku/</w:t>
        </w:r>
      </w:hyperlink>
    </w:p>
    <w:p w14:paraId="66A48416" w14:textId="77777777" w:rsidR="001360D8" w:rsidRPr="001360D8" w:rsidRDefault="001360D8" w:rsidP="001360D8">
      <w:pPr>
        <w:pStyle w:val="MSp-text"/>
        <w:spacing w:after="0"/>
        <w:ind w:left="720" w:firstLine="0"/>
        <w:rPr>
          <w:rFonts w:ascii="Arial" w:hAnsi="Arial" w:cs="Arial"/>
          <w:sz w:val="20"/>
          <w:szCs w:val="20"/>
        </w:rPr>
      </w:pPr>
      <w:r w:rsidRPr="001360D8">
        <w:rPr>
          <w:rFonts w:ascii="Arial" w:hAnsi="Arial" w:cs="Arial"/>
          <w:sz w:val="20"/>
          <w:szCs w:val="20"/>
        </w:rPr>
        <w:t xml:space="preserve">(viz </w:t>
      </w:r>
      <w:r w:rsidRPr="001360D8">
        <w:rPr>
          <w:rFonts w:ascii="Arial" w:hAnsi="Arial" w:cs="Arial"/>
          <w:i/>
          <w:iCs/>
          <w:sz w:val="20"/>
          <w:szCs w:val="20"/>
        </w:rPr>
        <w:t>Analýza přístupnosti budovy pro osoby s postižením</w:t>
      </w:r>
      <w:r w:rsidRPr="001360D8">
        <w:rPr>
          <w:rFonts w:ascii="Arial" w:hAnsi="Arial" w:cs="Arial"/>
          <w:sz w:val="20"/>
          <w:szCs w:val="20"/>
        </w:rPr>
        <w:t xml:space="preserve"> v dolní části stránky)</w:t>
      </w:r>
    </w:p>
    <w:p w14:paraId="506C3255" w14:textId="77777777" w:rsidR="001360D8" w:rsidRPr="001360D8" w:rsidRDefault="007C49CB" w:rsidP="001360D8">
      <w:pPr>
        <w:pStyle w:val="MSp-text"/>
        <w:numPr>
          <w:ilvl w:val="0"/>
          <w:numId w:val="52"/>
        </w:numPr>
        <w:spacing w:after="0"/>
        <w:rPr>
          <w:rFonts w:ascii="Arial" w:hAnsi="Arial" w:cs="Arial"/>
          <w:sz w:val="20"/>
          <w:szCs w:val="20"/>
        </w:rPr>
      </w:pPr>
      <w:hyperlink r:id="rId39" w:history="1">
        <w:r w:rsidR="001360D8" w:rsidRPr="001360D8">
          <w:rPr>
            <w:rStyle w:val="Hypertextovodkaz"/>
            <w:rFonts w:ascii="Arial" w:eastAsia="Calibri" w:hAnsi="Arial" w:cs="Arial"/>
            <w:sz w:val="20"/>
            <w:szCs w:val="20"/>
          </w:rPr>
          <w:t>https://justice.cz/web/krajsky-soud-v-hradci-kralove/</w:t>
        </w:r>
      </w:hyperlink>
    </w:p>
    <w:p w14:paraId="61D3C7C2" w14:textId="77777777" w:rsidR="001360D8" w:rsidRPr="001360D8" w:rsidRDefault="001360D8" w:rsidP="001360D8">
      <w:pPr>
        <w:pStyle w:val="MSp-text"/>
        <w:spacing w:after="0"/>
        <w:ind w:left="720" w:firstLine="0"/>
        <w:rPr>
          <w:rFonts w:ascii="Arial" w:hAnsi="Arial" w:cs="Arial"/>
          <w:sz w:val="20"/>
          <w:szCs w:val="20"/>
        </w:rPr>
      </w:pPr>
      <w:r w:rsidRPr="001360D8">
        <w:rPr>
          <w:rFonts w:ascii="Arial" w:hAnsi="Arial" w:cs="Arial"/>
          <w:sz w:val="20"/>
          <w:szCs w:val="20"/>
        </w:rPr>
        <w:t xml:space="preserve">(viz </w:t>
      </w:r>
      <w:r w:rsidRPr="001360D8">
        <w:rPr>
          <w:rFonts w:ascii="Arial" w:hAnsi="Arial" w:cs="Arial"/>
          <w:i/>
          <w:iCs/>
          <w:sz w:val="20"/>
          <w:szCs w:val="20"/>
        </w:rPr>
        <w:t>Přístup do budovy pro osoby se zvláštními potřebami</w:t>
      </w:r>
      <w:r w:rsidRPr="001360D8">
        <w:rPr>
          <w:rFonts w:ascii="Arial" w:hAnsi="Arial" w:cs="Arial"/>
          <w:sz w:val="20"/>
          <w:szCs w:val="20"/>
        </w:rPr>
        <w:t xml:space="preserve"> v dolní části stránky)</w:t>
      </w:r>
    </w:p>
    <w:p w14:paraId="14A3585D" w14:textId="77777777" w:rsidR="001360D8" w:rsidRPr="001360D8" w:rsidRDefault="007C49CB" w:rsidP="001360D8">
      <w:pPr>
        <w:pStyle w:val="MSp-text"/>
        <w:numPr>
          <w:ilvl w:val="0"/>
          <w:numId w:val="52"/>
        </w:numPr>
        <w:spacing w:after="0"/>
        <w:rPr>
          <w:rFonts w:ascii="Arial" w:hAnsi="Arial" w:cs="Arial"/>
          <w:sz w:val="20"/>
          <w:szCs w:val="20"/>
        </w:rPr>
      </w:pPr>
      <w:hyperlink r:id="rId40" w:history="1">
        <w:r w:rsidR="001360D8" w:rsidRPr="001360D8">
          <w:rPr>
            <w:rStyle w:val="Hypertextovodkaz"/>
            <w:rFonts w:ascii="Arial" w:eastAsia="Calibri" w:hAnsi="Arial" w:cs="Arial"/>
            <w:sz w:val="20"/>
            <w:szCs w:val="20"/>
          </w:rPr>
          <w:t>https://justice.cz/web/okresni-soud-v-usti-nad-labem/zakladni-informace</w:t>
        </w:r>
      </w:hyperlink>
    </w:p>
    <w:p w14:paraId="59819710" w14:textId="77777777" w:rsidR="001360D8" w:rsidRPr="001360D8" w:rsidRDefault="001360D8" w:rsidP="001360D8">
      <w:pPr>
        <w:pStyle w:val="MSp-text"/>
        <w:spacing w:after="0"/>
        <w:ind w:left="720" w:firstLine="0"/>
        <w:rPr>
          <w:rFonts w:ascii="Arial" w:hAnsi="Arial" w:cs="Arial"/>
          <w:sz w:val="20"/>
          <w:szCs w:val="20"/>
        </w:rPr>
      </w:pPr>
      <w:r w:rsidRPr="001360D8">
        <w:rPr>
          <w:rFonts w:ascii="Arial" w:hAnsi="Arial" w:cs="Arial"/>
          <w:sz w:val="20"/>
          <w:szCs w:val="20"/>
        </w:rPr>
        <w:t xml:space="preserve">(viz </w:t>
      </w:r>
      <w:r w:rsidRPr="001360D8">
        <w:rPr>
          <w:rFonts w:ascii="Arial" w:hAnsi="Arial" w:cs="Arial"/>
          <w:i/>
          <w:iCs/>
          <w:sz w:val="20"/>
          <w:szCs w:val="20"/>
        </w:rPr>
        <w:t>Základní informace o přístupnosti</w:t>
      </w:r>
      <w:r w:rsidRPr="001360D8">
        <w:rPr>
          <w:rFonts w:ascii="Arial" w:hAnsi="Arial" w:cs="Arial"/>
          <w:sz w:val="20"/>
          <w:szCs w:val="20"/>
        </w:rPr>
        <w:t xml:space="preserve"> v horní části stránky)</w:t>
      </w:r>
    </w:p>
    <w:p w14:paraId="5B8D3241" w14:textId="77777777" w:rsidR="001360D8" w:rsidRPr="001360D8" w:rsidRDefault="007C49CB" w:rsidP="001360D8">
      <w:pPr>
        <w:pStyle w:val="MSp-text"/>
        <w:numPr>
          <w:ilvl w:val="0"/>
          <w:numId w:val="52"/>
        </w:numPr>
        <w:spacing w:after="0"/>
        <w:rPr>
          <w:rFonts w:ascii="Arial" w:hAnsi="Arial" w:cs="Arial"/>
          <w:sz w:val="20"/>
          <w:szCs w:val="20"/>
        </w:rPr>
      </w:pPr>
      <w:hyperlink r:id="rId41" w:history="1">
        <w:r w:rsidR="001360D8" w:rsidRPr="001360D8">
          <w:rPr>
            <w:rStyle w:val="Hypertextovodkaz"/>
            <w:rFonts w:ascii="Arial" w:eastAsia="Calibri" w:hAnsi="Arial" w:cs="Arial"/>
            <w:sz w:val="20"/>
            <w:szCs w:val="20"/>
          </w:rPr>
          <w:t>https://justice.cz/web/okresni-soud-ve-znojme/zakladni-informace</w:t>
        </w:r>
      </w:hyperlink>
    </w:p>
    <w:p w14:paraId="52CDC19A" w14:textId="77777777" w:rsidR="001360D8" w:rsidRPr="001360D8" w:rsidRDefault="001360D8" w:rsidP="001360D8">
      <w:pPr>
        <w:pStyle w:val="MSp-text"/>
        <w:spacing w:after="0"/>
        <w:ind w:left="720" w:firstLine="0"/>
        <w:rPr>
          <w:rFonts w:ascii="Arial" w:hAnsi="Arial" w:cs="Arial"/>
          <w:sz w:val="20"/>
          <w:szCs w:val="20"/>
        </w:rPr>
      </w:pPr>
      <w:r w:rsidRPr="001360D8">
        <w:rPr>
          <w:rFonts w:ascii="Arial" w:hAnsi="Arial" w:cs="Arial"/>
          <w:sz w:val="20"/>
          <w:szCs w:val="20"/>
        </w:rPr>
        <w:t xml:space="preserve">(viz </w:t>
      </w:r>
      <w:r w:rsidRPr="001360D8">
        <w:rPr>
          <w:rFonts w:ascii="Arial" w:hAnsi="Arial" w:cs="Arial"/>
          <w:i/>
          <w:iCs/>
          <w:sz w:val="20"/>
          <w:szCs w:val="20"/>
        </w:rPr>
        <w:t>Bezbariérový přístup</w:t>
      </w:r>
      <w:r w:rsidRPr="001360D8">
        <w:rPr>
          <w:rFonts w:ascii="Arial" w:hAnsi="Arial" w:cs="Arial"/>
          <w:sz w:val="20"/>
          <w:szCs w:val="20"/>
        </w:rPr>
        <w:t xml:space="preserve"> v horní části stránky)</w:t>
      </w:r>
    </w:p>
    <w:p w14:paraId="3A89108E" w14:textId="77777777" w:rsidR="001360D8" w:rsidRPr="001360D8" w:rsidRDefault="007C49CB" w:rsidP="001360D8">
      <w:pPr>
        <w:pStyle w:val="MSp-text"/>
        <w:numPr>
          <w:ilvl w:val="0"/>
          <w:numId w:val="52"/>
        </w:numPr>
        <w:spacing w:after="0"/>
        <w:rPr>
          <w:rFonts w:ascii="Arial" w:hAnsi="Arial" w:cs="Arial"/>
          <w:sz w:val="20"/>
          <w:szCs w:val="20"/>
        </w:rPr>
      </w:pPr>
      <w:hyperlink r:id="rId42" w:history="1">
        <w:r w:rsidR="001360D8" w:rsidRPr="001360D8">
          <w:rPr>
            <w:rStyle w:val="Hypertextovodkaz"/>
            <w:rFonts w:ascii="Arial" w:eastAsia="Calibri" w:hAnsi="Arial" w:cs="Arial"/>
            <w:sz w:val="20"/>
            <w:szCs w:val="20"/>
          </w:rPr>
          <w:t>https://verejnazaloba.cz/nsz/kontakty/</w:t>
        </w:r>
      </w:hyperlink>
    </w:p>
    <w:p w14:paraId="374CE8BC" w14:textId="77777777" w:rsidR="001360D8" w:rsidRPr="001360D8" w:rsidRDefault="001360D8" w:rsidP="001360D8">
      <w:pPr>
        <w:pStyle w:val="MSp-text"/>
        <w:spacing w:after="0"/>
        <w:ind w:left="720" w:firstLine="0"/>
        <w:rPr>
          <w:rFonts w:ascii="Arial" w:hAnsi="Arial" w:cs="Arial"/>
          <w:sz w:val="20"/>
          <w:szCs w:val="20"/>
        </w:rPr>
      </w:pPr>
      <w:r w:rsidRPr="001360D8">
        <w:rPr>
          <w:rFonts w:ascii="Arial" w:hAnsi="Arial" w:cs="Arial"/>
          <w:sz w:val="20"/>
          <w:szCs w:val="20"/>
        </w:rPr>
        <w:t xml:space="preserve">(viz </w:t>
      </w:r>
      <w:r w:rsidRPr="001360D8">
        <w:rPr>
          <w:rFonts w:ascii="Arial" w:hAnsi="Arial" w:cs="Arial"/>
          <w:i/>
          <w:iCs/>
          <w:sz w:val="20"/>
          <w:szCs w:val="20"/>
        </w:rPr>
        <w:t>Analýza přístupnosti budov pro osoby s postižením</w:t>
      </w:r>
      <w:r w:rsidRPr="001360D8">
        <w:rPr>
          <w:rFonts w:ascii="Arial" w:hAnsi="Arial" w:cs="Arial"/>
          <w:sz w:val="20"/>
          <w:szCs w:val="20"/>
        </w:rPr>
        <w:t xml:space="preserve"> v horní části stránky)</w:t>
      </w:r>
    </w:p>
    <w:p w14:paraId="1C894346" w14:textId="77777777" w:rsidR="001360D8" w:rsidRPr="001360D8" w:rsidRDefault="007C49CB" w:rsidP="001360D8">
      <w:pPr>
        <w:pStyle w:val="MSp-text"/>
        <w:numPr>
          <w:ilvl w:val="0"/>
          <w:numId w:val="52"/>
        </w:numPr>
        <w:spacing w:after="0"/>
        <w:rPr>
          <w:rFonts w:ascii="Arial" w:hAnsi="Arial" w:cs="Arial"/>
          <w:sz w:val="20"/>
          <w:szCs w:val="20"/>
        </w:rPr>
      </w:pPr>
      <w:hyperlink r:id="rId43" w:history="1">
        <w:r w:rsidR="001360D8" w:rsidRPr="001360D8">
          <w:rPr>
            <w:rStyle w:val="Hypertextovodkaz"/>
            <w:rFonts w:ascii="Arial" w:eastAsia="Calibri" w:hAnsi="Arial" w:cs="Arial"/>
            <w:sz w:val="20"/>
            <w:szCs w:val="20"/>
          </w:rPr>
          <w:t>https://verejnazaloba.cz/vsz-olomouc/kontakty/</w:t>
        </w:r>
      </w:hyperlink>
    </w:p>
    <w:p w14:paraId="0C4C545D" w14:textId="58E69923" w:rsidR="001360D8" w:rsidRPr="001360D8" w:rsidRDefault="001360D8" w:rsidP="001360D8">
      <w:pPr>
        <w:ind w:firstLine="708"/>
        <w:rPr>
          <w:rFonts w:cs="Arial"/>
          <w:sz w:val="20"/>
          <w:szCs w:val="20"/>
        </w:rPr>
      </w:pPr>
      <w:r w:rsidRPr="001360D8">
        <w:rPr>
          <w:rFonts w:cs="Arial"/>
          <w:sz w:val="20"/>
          <w:szCs w:val="20"/>
        </w:rPr>
        <w:t xml:space="preserve">(viz </w:t>
      </w:r>
      <w:r w:rsidRPr="001360D8">
        <w:rPr>
          <w:rFonts w:cs="Arial"/>
          <w:i/>
          <w:iCs/>
          <w:sz w:val="20"/>
          <w:szCs w:val="20"/>
        </w:rPr>
        <w:t>Analýza přístupnosti budov pro osoby s postižením</w:t>
      </w:r>
      <w:r w:rsidRPr="001360D8">
        <w:rPr>
          <w:rFonts w:cs="Arial"/>
          <w:sz w:val="20"/>
          <w:szCs w:val="20"/>
        </w:rPr>
        <w:t xml:space="preserve"> v horní části stránky)</w:t>
      </w:r>
    </w:p>
    <w:p w14:paraId="0FD43B2F" w14:textId="37F7B326" w:rsidR="003B327A" w:rsidRPr="000B56C2" w:rsidRDefault="003B327A" w:rsidP="000B56C2">
      <w:pPr>
        <w:keepNext/>
        <w:tabs>
          <w:tab w:val="left" w:pos="720"/>
        </w:tabs>
        <w:rPr>
          <w:rFonts w:cs="Arial"/>
          <w:b/>
          <w:bCs/>
          <w:sz w:val="20"/>
          <w:szCs w:val="20"/>
          <w:lang w:eastAsia="cs-CZ"/>
        </w:rPr>
      </w:pPr>
      <w:r w:rsidRPr="000B56C2">
        <w:rPr>
          <w:rFonts w:cs="Arial"/>
          <w:b/>
          <w:bCs/>
          <w:sz w:val="20"/>
          <w:szCs w:val="20"/>
          <w:lang w:eastAsia="cs-CZ"/>
        </w:rPr>
        <w:t xml:space="preserve">STANOVISKO K PLNĚNÍ: </w:t>
      </w:r>
      <w:r w:rsidR="001360D8">
        <w:rPr>
          <w:rFonts w:cs="Arial"/>
          <w:b/>
          <w:sz w:val="20"/>
          <w:szCs w:val="20"/>
        </w:rPr>
        <w:t>S</w:t>
      </w:r>
      <w:r w:rsidR="00AF4EE5">
        <w:rPr>
          <w:rFonts w:cs="Arial"/>
          <w:b/>
          <w:sz w:val="20"/>
          <w:szCs w:val="20"/>
        </w:rPr>
        <w:t>plněno.</w:t>
      </w:r>
    </w:p>
    <w:p w14:paraId="5BEF363E" w14:textId="77777777" w:rsidR="003B327A" w:rsidRPr="00400B58" w:rsidRDefault="003B327A" w:rsidP="003B327A">
      <w:pPr>
        <w:rPr>
          <w:rFonts w:cs="Arial"/>
          <w:sz w:val="20"/>
          <w:szCs w:val="20"/>
        </w:rPr>
      </w:pPr>
    </w:p>
    <w:p w14:paraId="0300BCE6" w14:textId="77777777" w:rsidR="003B327A" w:rsidRPr="009747CF" w:rsidRDefault="003B327A" w:rsidP="003B327A">
      <w:pPr>
        <w:tabs>
          <w:tab w:val="left" w:pos="720"/>
        </w:tabs>
        <w:rPr>
          <w:rFonts w:cs="Arial"/>
          <w:b/>
          <w:bCs/>
          <w:sz w:val="20"/>
          <w:szCs w:val="20"/>
          <w:lang w:eastAsia="cs-CZ"/>
        </w:rPr>
      </w:pPr>
      <w:r w:rsidRPr="009747CF">
        <w:rPr>
          <w:rFonts w:cs="Arial"/>
          <w:b/>
          <w:bCs/>
          <w:sz w:val="20"/>
          <w:szCs w:val="20"/>
          <w:lang w:eastAsia="cs-CZ"/>
        </w:rPr>
        <w:t>PLNĚNÍ MŠMT:</w:t>
      </w:r>
    </w:p>
    <w:p w14:paraId="50E47157" w14:textId="2655FEA4" w:rsidR="009747CF" w:rsidRPr="009747CF" w:rsidRDefault="009747CF" w:rsidP="009747CF">
      <w:pPr>
        <w:rPr>
          <w:rFonts w:ascii="Calibri" w:hAnsi="Calibri"/>
          <w:sz w:val="20"/>
          <w:szCs w:val="20"/>
        </w:rPr>
      </w:pPr>
      <w:r w:rsidRPr="009747CF">
        <w:rPr>
          <w:sz w:val="20"/>
          <w:szCs w:val="20"/>
        </w:rPr>
        <w:t xml:space="preserve">Informace o přístupnosti objektů byla zveřejněna na webu </w:t>
      </w:r>
      <w:hyperlink r:id="rId44" w:history="1">
        <w:r w:rsidRPr="009747CF">
          <w:rPr>
            <w:rStyle w:val="Hypertextovodkaz"/>
            <w:sz w:val="20"/>
            <w:szCs w:val="20"/>
          </w:rPr>
          <w:t>https://www.msmt.cz/vzdelavani/socialni-programy/aktuality</w:t>
        </w:r>
      </w:hyperlink>
      <w:r w:rsidRPr="009747CF">
        <w:rPr>
          <w:color w:val="0563C1"/>
          <w:sz w:val="20"/>
          <w:szCs w:val="20"/>
          <w:u w:val="single"/>
        </w:rPr>
        <w:t>.</w:t>
      </w:r>
    </w:p>
    <w:p w14:paraId="4E5B64E6" w14:textId="1EC4948D" w:rsidR="003B327A" w:rsidRPr="00611DFC" w:rsidRDefault="003B327A" w:rsidP="003B327A">
      <w:pPr>
        <w:keepNext/>
        <w:tabs>
          <w:tab w:val="left" w:pos="720"/>
        </w:tabs>
        <w:rPr>
          <w:rFonts w:cs="Arial"/>
          <w:sz w:val="20"/>
          <w:szCs w:val="20"/>
        </w:rPr>
      </w:pPr>
      <w:r w:rsidRPr="009747CF">
        <w:rPr>
          <w:rFonts w:cs="Arial"/>
          <w:b/>
          <w:bCs/>
          <w:sz w:val="20"/>
          <w:szCs w:val="20"/>
          <w:lang w:eastAsia="cs-CZ"/>
        </w:rPr>
        <w:t xml:space="preserve">STANOVISKO K PLNĚNÍ: </w:t>
      </w:r>
      <w:r w:rsidR="00611DFC" w:rsidRPr="006B24C8">
        <w:rPr>
          <w:rFonts w:cs="Arial"/>
          <w:b/>
          <w:bCs/>
          <w:sz w:val="20"/>
          <w:szCs w:val="20"/>
          <w:lang w:eastAsia="cs-CZ"/>
        </w:rPr>
        <w:t>Nes</w:t>
      </w:r>
      <w:r w:rsidR="00D516BF" w:rsidRPr="006B24C8">
        <w:rPr>
          <w:rFonts w:cs="Arial"/>
          <w:b/>
          <w:sz w:val="20"/>
          <w:szCs w:val="20"/>
        </w:rPr>
        <w:t>p</w:t>
      </w:r>
      <w:r w:rsidRPr="006B24C8">
        <w:rPr>
          <w:rFonts w:cs="Arial"/>
          <w:b/>
          <w:sz w:val="20"/>
          <w:szCs w:val="20"/>
        </w:rPr>
        <w:t>lněno.</w:t>
      </w:r>
      <w:r w:rsidR="00611DFC" w:rsidRPr="006B24C8">
        <w:rPr>
          <w:rFonts w:cs="Arial"/>
          <w:b/>
          <w:sz w:val="20"/>
          <w:szCs w:val="20"/>
        </w:rPr>
        <w:t xml:space="preserve"> </w:t>
      </w:r>
      <w:r w:rsidR="006B24C8" w:rsidRPr="006B24C8">
        <w:rPr>
          <w:rFonts w:cs="Arial"/>
          <w:b/>
          <w:sz w:val="20"/>
          <w:szCs w:val="20"/>
        </w:rPr>
        <w:t>Ve zveřejněném dokumentu chybí</w:t>
      </w:r>
      <w:r w:rsidR="00611DFC" w:rsidRPr="006B24C8">
        <w:rPr>
          <w:rFonts w:cs="Arial"/>
          <w:b/>
          <w:sz w:val="20"/>
          <w:szCs w:val="20"/>
        </w:rPr>
        <w:t xml:space="preserve"> budov</w:t>
      </w:r>
      <w:r w:rsidR="006B24C8" w:rsidRPr="006B24C8">
        <w:rPr>
          <w:rFonts w:cs="Arial"/>
          <w:b/>
          <w:sz w:val="20"/>
          <w:szCs w:val="20"/>
        </w:rPr>
        <w:t>y</w:t>
      </w:r>
      <w:r w:rsidR="00611DFC" w:rsidRPr="006B24C8">
        <w:rPr>
          <w:rFonts w:cs="Arial"/>
          <w:b/>
          <w:sz w:val="20"/>
          <w:szCs w:val="20"/>
        </w:rPr>
        <w:t xml:space="preserve"> MŠMT. Navržen posun termínu do </w:t>
      </w:r>
      <w:proofErr w:type="gramStart"/>
      <w:r w:rsidR="00611DFC" w:rsidRPr="006B24C8">
        <w:rPr>
          <w:rFonts w:cs="Arial"/>
          <w:b/>
          <w:sz w:val="20"/>
          <w:szCs w:val="20"/>
        </w:rPr>
        <w:t>31.12.2024</w:t>
      </w:r>
      <w:proofErr w:type="gramEnd"/>
      <w:r w:rsidR="00611DFC" w:rsidRPr="006B24C8">
        <w:rPr>
          <w:rFonts w:cs="Arial"/>
          <w:b/>
          <w:sz w:val="20"/>
          <w:szCs w:val="20"/>
        </w:rPr>
        <w:t>.</w:t>
      </w:r>
    </w:p>
    <w:p w14:paraId="233A9EE1" w14:textId="77777777" w:rsidR="003B327A" w:rsidRPr="00400B58" w:rsidRDefault="003B327A" w:rsidP="003B327A">
      <w:pPr>
        <w:rPr>
          <w:rFonts w:cs="Arial"/>
          <w:sz w:val="20"/>
          <w:szCs w:val="20"/>
        </w:rPr>
      </w:pPr>
    </w:p>
    <w:p w14:paraId="1AEDE79F" w14:textId="77777777" w:rsidR="003B327A" w:rsidRPr="000232C4" w:rsidRDefault="003B327A" w:rsidP="003B327A">
      <w:pPr>
        <w:tabs>
          <w:tab w:val="left" w:pos="720"/>
        </w:tabs>
        <w:rPr>
          <w:rFonts w:cs="Arial"/>
          <w:b/>
          <w:bCs/>
          <w:sz w:val="20"/>
          <w:szCs w:val="20"/>
          <w:lang w:eastAsia="cs-CZ"/>
        </w:rPr>
      </w:pPr>
      <w:r w:rsidRPr="000232C4">
        <w:rPr>
          <w:rFonts w:cs="Arial"/>
          <w:b/>
          <w:bCs/>
          <w:sz w:val="20"/>
          <w:szCs w:val="20"/>
          <w:lang w:eastAsia="cs-CZ"/>
        </w:rPr>
        <w:t>PLNĚNÍ MV:</w:t>
      </w:r>
    </w:p>
    <w:p w14:paraId="6099B09C" w14:textId="1FA934A4" w:rsidR="000232C4" w:rsidRPr="000232C4" w:rsidRDefault="000232C4" w:rsidP="003B327A">
      <w:pPr>
        <w:tabs>
          <w:tab w:val="left" w:pos="720"/>
        </w:tabs>
        <w:rPr>
          <w:rFonts w:cs="Arial"/>
          <w:b/>
          <w:bCs/>
          <w:sz w:val="20"/>
          <w:szCs w:val="20"/>
          <w:lang w:eastAsia="cs-CZ"/>
        </w:rPr>
      </w:pPr>
      <w:r w:rsidRPr="000232C4">
        <w:rPr>
          <w:rFonts w:cs="Arial"/>
          <w:sz w:val="20"/>
          <w:szCs w:val="20"/>
        </w:rPr>
        <w:t xml:space="preserve">Kontrola přístupnosti budov byla provedena a zveřejnění informace o přístupnosti jednotlivých budov je na nových internetových stránkách plánováno. </w:t>
      </w:r>
      <w:r>
        <w:rPr>
          <w:rFonts w:cs="Arial"/>
          <w:sz w:val="20"/>
          <w:szCs w:val="20"/>
        </w:rPr>
        <w:t>MV žádá</w:t>
      </w:r>
      <w:r w:rsidRPr="000232C4">
        <w:rPr>
          <w:rFonts w:cs="Arial"/>
          <w:sz w:val="20"/>
          <w:szCs w:val="20"/>
        </w:rPr>
        <w:t xml:space="preserve"> o prodloužení termínu </w:t>
      </w:r>
      <w:r w:rsidRPr="00D02A63">
        <w:rPr>
          <w:rFonts w:cs="Arial"/>
          <w:sz w:val="20"/>
          <w:szCs w:val="20"/>
        </w:rPr>
        <w:t xml:space="preserve">do </w:t>
      </w:r>
      <w:proofErr w:type="gramStart"/>
      <w:r w:rsidRPr="00D02A63">
        <w:rPr>
          <w:rFonts w:cs="Arial"/>
          <w:sz w:val="20"/>
          <w:szCs w:val="20"/>
        </w:rPr>
        <w:t>31.01.2025</w:t>
      </w:r>
      <w:proofErr w:type="gramEnd"/>
      <w:r w:rsidR="009C15AD">
        <w:rPr>
          <w:rFonts w:cs="Arial"/>
          <w:sz w:val="20"/>
          <w:szCs w:val="20"/>
        </w:rPr>
        <w:t>.</w:t>
      </w:r>
    </w:p>
    <w:p w14:paraId="54FA4BF0" w14:textId="2FB58EFF" w:rsidR="000232C4" w:rsidRPr="00A5119C" w:rsidRDefault="003B327A" w:rsidP="000232C4">
      <w:pPr>
        <w:keepNext/>
        <w:tabs>
          <w:tab w:val="left" w:pos="720"/>
        </w:tabs>
        <w:rPr>
          <w:rFonts w:cs="Arial"/>
          <w:sz w:val="20"/>
          <w:szCs w:val="20"/>
        </w:rPr>
      </w:pPr>
      <w:r w:rsidRPr="000232C4">
        <w:rPr>
          <w:rFonts w:cs="Arial"/>
          <w:b/>
          <w:bCs/>
          <w:sz w:val="20"/>
          <w:szCs w:val="20"/>
          <w:lang w:eastAsia="cs-CZ"/>
        </w:rPr>
        <w:t>STANOVISKO K </w:t>
      </w:r>
      <w:r w:rsidRPr="00615696">
        <w:rPr>
          <w:rFonts w:cs="Arial"/>
          <w:b/>
          <w:bCs/>
          <w:sz w:val="20"/>
          <w:szCs w:val="20"/>
          <w:lang w:eastAsia="cs-CZ"/>
        </w:rPr>
        <w:t xml:space="preserve">PLNĚNÍ: </w:t>
      </w:r>
      <w:r w:rsidR="000232C4" w:rsidRPr="00615696">
        <w:rPr>
          <w:rFonts w:cs="Arial"/>
          <w:b/>
          <w:bCs/>
          <w:sz w:val="20"/>
          <w:szCs w:val="20"/>
          <w:lang w:eastAsia="cs-CZ"/>
        </w:rPr>
        <w:t>Nesp</w:t>
      </w:r>
      <w:r w:rsidRPr="00615696">
        <w:rPr>
          <w:rFonts w:cs="Arial"/>
          <w:b/>
          <w:bCs/>
          <w:sz w:val="20"/>
          <w:szCs w:val="20"/>
          <w:lang w:eastAsia="cs-CZ"/>
        </w:rPr>
        <w:t>lněno.</w:t>
      </w:r>
      <w:r w:rsidR="000232C4" w:rsidRPr="00615696">
        <w:rPr>
          <w:rFonts w:cs="Arial"/>
          <w:b/>
          <w:bCs/>
          <w:sz w:val="20"/>
          <w:szCs w:val="20"/>
          <w:lang w:eastAsia="cs-CZ"/>
        </w:rPr>
        <w:t xml:space="preserve"> </w:t>
      </w:r>
      <w:r w:rsidR="000232C4" w:rsidRPr="00615696">
        <w:rPr>
          <w:rFonts w:cs="Arial"/>
          <w:b/>
          <w:sz w:val="20"/>
          <w:szCs w:val="20"/>
        </w:rPr>
        <w:t>Nav</w:t>
      </w:r>
      <w:r w:rsidR="00D02A63" w:rsidRPr="00615696">
        <w:rPr>
          <w:rFonts w:cs="Arial"/>
          <w:b/>
          <w:sz w:val="20"/>
          <w:szCs w:val="20"/>
        </w:rPr>
        <w:t xml:space="preserve">ržen posun termínu do </w:t>
      </w:r>
      <w:proofErr w:type="gramStart"/>
      <w:r w:rsidR="00D02A63" w:rsidRPr="00615696">
        <w:rPr>
          <w:rFonts w:cs="Arial"/>
          <w:b/>
          <w:sz w:val="20"/>
          <w:szCs w:val="20"/>
        </w:rPr>
        <w:t>31.12.2024</w:t>
      </w:r>
      <w:proofErr w:type="gramEnd"/>
      <w:r w:rsidR="000232C4" w:rsidRPr="00615696">
        <w:rPr>
          <w:rFonts w:cs="Arial"/>
          <w:b/>
          <w:sz w:val="20"/>
          <w:szCs w:val="20"/>
        </w:rPr>
        <w:t>.</w:t>
      </w:r>
    </w:p>
    <w:p w14:paraId="054A195F" w14:textId="77777777" w:rsidR="003B327A" w:rsidRPr="007F3C43" w:rsidRDefault="003B327A" w:rsidP="003B327A">
      <w:pPr>
        <w:rPr>
          <w:rFonts w:cs="Arial"/>
          <w:sz w:val="20"/>
          <w:szCs w:val="20"/>
        </w:rPr>
      </w:pPr>
    </w:p>
    <w:p w14:paraId="06BBF64E" w14:textId="77777777" w:rsidR="003B327A" w:rsidRPr="0095769D" w:rsidRDefault="003B327A" w:rsidP="0095769D">
      <w:pPr>
        <w:tabs>
          <w:tab w:val="left" w:pos="720"/>
        </w:tabs>
        <w:rPr>
          <w:rFonts w:cs="Arial"/>
          <w:b/>
          <w:bCs/>
          <w:sz w:val="20"/>
          <w:szCs w:val="20"/>
          <w:lang w:eastAsia="cs-CZ"/>
        </w:rPr>
      </w:pPr>
      <w:r w:rsidRPr="0095769D">
        <w:rPr>
          <w:rFonts w:cs="Arial"/>
          <w:b/>
          <w:bCs/>
          <w:sz w:val="20"/>
          <w:szCs w:val="20"/>
          <w:lang w:eastAsia="cs-CZ"/>
        </w:rPr>
        <w:lastRenderedPageBreak/>
        <w:t>PLNĚNÍ MZ:</w:t>
      </w:r>
    </w:p>
    <w:p w14:paraId="6F94D3C1" w14:textId="473E1347" w:rsidR="0012127F" w:rsidRPr="0095769D" w:rsidRDefault="0012127F" w:rsidP="0095769D">
      <w:pPr>
        <w:rPr>
          <w:rFonts w:cs="Arial"/>
          <w:color w:val="000000" w:themeColor="text1"/>
          <w:sz w:val="20"/>
          <w:szCs w:val="20"/>
        </w:rPr>
      </w:pPr>
      <w:r w:rsidRPr="0095769D">
        <w:rPr>
          <w:rFonts w:cs="Arial"/>
          <w:color w:val="000000" w:themeColor="text1"/>
          <w:sz w:val="20"/>
          <w:szCs w:val="20"/>
        </w:rPr>
        <w:t>Analýza přístupnosti budovy Ministerstva zdravotnictví je uveřejněna na webu resortu:</w:t>
      </w:r>
    </w:p>
    <w:p w14:paraId="3B8C8887" w14:textId="77777777" w:rsidR="0012127F" w:rsidRPr="0095769D" w:rsidRDefault="007C49CB" w:rsidP="0095769D">
      <w:pPr>
        <w:rPr>
          <w:rFonts w:cs="Arial"/>
          <w:color w:val="000000" w:themeColor="text1"/>
          <w:sz w:val="20"/>
          <w:szCs w:val="20"/>
        </w:rPr>
      </w:pPr>
      <w:hyperlink r:id="rId45" w:history="1">
        <w:r w:rsidR="0012127F" w:rsidRPr="0095769D">
          <w:rPr>
            <w:rStyle w:val="Hypertextovodkaz"/>
            <w:rFonts w:cs="Arial"/>
            <w:color w:val="000000" w:themeColor="text1"/>
            <w:sz w:val="20"/>
            <w:szCs w:val="20"/>
          </w:rPr>
          <w:t>Analýza přístupnosti budovy Ministerstva zdravotnictví na Palackého náměstí v Praze 2 v souvislosti s vyhláškou č. 398/2009 Sb., o obecných technických požadavcích zabezpečujících bezbariérové užívání staveb – Ministerstvo zdravotnictví (mzcr.cz)</w:t>
        </w:r>
      </w:hyperlink>
    </w:p>
    <w:p w14:paraId="52B11C3B" w14:textId="5422B734" w:rsidR="0012127F" w:rsidRPr="0095769D" w:rsidRDefault="0012127F" w:rsidP="0095769D">
      <w:pPr>
        <w:rPr>
          <w:rFonts w:cs="Arial"/>
          <w:color w:val="000000" w:themeColor="text1"/>
          <w:sz w:val="20"/>
          <w:szCs w:val="20"/>
        </w:rPr>
      </w:pPr>
      <w:r w:rsidRPr="0095769D">
        <w:rPr>
          <w:rFonts w:cs="Arial"/>
          <w:color w:val="000000" w:themeColor="text1"/>
          <w:sz w:val="20"/>
          <w:szCs w:val="20"/>
        </w:rPr>
        <w:t xml:space="preserve">Odkazy na zveřejněné analýzy přístupnosti přímo řízených organizací včetně jednotlivých webových odkazů na tyto analýzy </w:t>
      </w:r>
      <w:r w:rsidR="00210113">
        <w:rPr>
          <w:rFonts w:cs="Arial"/>
          <w:color w:val="000000" w:themeColor="text1"/>
          <w:sz w:val="20"/>
          <w:szCs w:val="20"/>
        </w:rPr>
        <w:t xml:space="preserve">jsou </w:t>
      </w:r>
      <w:r w:rsidR="003308D4" w:rsidRPr="0095769D">
        <w:rPr>
          <w:rFonts w:cs="Arial"/>
          <w:color w:val="000000" w:themeColor="text1"/>
          <w:sz w:val="20"/>
          <w:szCs w:val="20"/>
        </w:rPr>
        <w:t xml:space="preserve">s ohledem na jejich rozsah </w:t>
      </w:r>
      <w:r w:rsidR="00210113">
        <w:rPr>
          <w:rFonts w:cs="Arial"/>
          <w:color w:val="000000" w:themeColor="text1"/>
          <w:sz w:val="20"/>
          <w:szCs w:val="20"/>
        </w:rPr>
        <w:t xml:space="preserve">k dispozici </w:t>
      </w:r>
      <w:r w:rsidRPr="0095769D">
        <w:rPr>
          <w:rFonts w:cs="Arial"/>
          <w:color w:val="000000" w:themeColor="text1"/>
          <w:sz w:val="20"/>
          <w:szCs w:val="20"/>
        </w:rPr>
        <w:t xml:space="preserve">v samostatném </w:t>
      </w:r>
      <w:r w:rsidR="00210113">
        <w:rPr>
          <w:rFonts w:cs="Arial"/>
          <w:color w:val="000000" w:themeColor="text1"/>
          <w:sz w:val="20"/>
          <w:szCs w:val="20"/>
        </w:rPr>
        <w:t xml:space="preserve">sdíleném </w:t>
      </w:r>
      <w:r w:rsidRPr="0095769D">
        <w:rPr>
          <w:rFonts w:cs="Arial"/>
          <w:color w:val="000000" w:themeColor="text1"/>
          <w:sz w:val="20"/>
          <w:szCs w:val="20"/>
        </w:rPr>
        <w:t>dokumentu</w:t>
      </w:r>
      <w:r w:rsidR="003308D4" w:rsidRPr="0095769D">
        <w:rPr>
          <w:rFonts w:cs="Arial"/>
          <w:color w:val="000000" w:themeColor="text1"/>
          <w:sz w:val="20"/>
          <w:szCs w:val="20"/>
        </w:rPr>
        <w:t>.</w:t>
      </w:r>
    </w:p>
    <w:p w14:paraId="73E4C8ED" w14:textId="100948AD" w:rsidR="003B327A" w:rsidRPr="0095769D" w:rsidRDefault="003B327A" w:rsidP="0095769D">
      <w:pPr>
        <w:keepNext/>
        <w:tabs>
          <w:tab w:val="left" w:pos="720"/>
        </w:tabs>
        <w:rPr>
          <w:rFonts w:cs="Arial"/>
          <w:b/>
          <w:bCs/>
          <w:sz w:val="20"/>
          <w:szCs w:val="20"/>
          <w:lang w:eastAsia="cs-CZ"/>
        </w:rPr>
      </w:pPr>
      <w:r w:rsidRPr="0095769D">
        <w:rPr>
          <w:rFonts w:cs="Arial"/>
          <w:b/>
          <w:bCs/>
          <w:sz w:val="20"/>
          <w:szCs w:val="20"/>
          <w:lang w:eastAsia="cs-CZ"/>
        </w:rPr>
        <w:t>STANOVISKO K PLNĚNÍ:</w:t>
      </w:r>
      <w:r w:rsidRPr="0095769D">
        <w:rPr>
          <w:rFonts w:cs="Arial"/>
          <w:b/>
          <w:sz w:val="20"/>
          <w:szCs w:val="20"/>
        </w:rPr>
        <w:t xml:space="preserve"> </w:t>
      </w:r>
      <w:r w:rsidR="0095769D">
        <w:rPr>
          <w:rFonts w:cs="Arial"/>
          <w:b/>
          <w:sz w:val="20"/>
          <w:szCs w:val="20"/>
        </w:rPr>
        <w:t>Sp</w:t>
      </w:r>
      <w:r w:rsidRPr="0095769D">
        <w:rPr>
          <w:rFonts w:cs="Arial"/>
          <w:b/>
          <w:sz w:val="20"/>
          <w:szCs w:val="20"/>
        </w:rPr>
        <w:t>lněno.</w:t>
      </w:r>
    </w:p>
    <w:p w14:paraId="2AFD2DF3" w14:textId="77777777" w:rsidR="003B327A" w:rsidRPr="00457F25" w:rsidRDefault="003B327A" w:rsidP="00457F25">
      <w:pPr>
        <w:rPr>
          <w:rFonts w:cs="Arial"/>
          <w:sz w:val="20"/>
          <w:szCs w:val="20"/>
        </w:rPr>
      </w:pPr>
    </w:p>
    <w:p w14:paraId="4DD894E0" w14:textId="77777777" w:rsidR="003B327A" w:rsidRPr="00457F25" w:rsidRDefault="003B327A" w:rsidP="00457F25">
      <w:pPr>
        <w:tabs>
          <w:tab w:val="left" w:pos="720"/>
        </w:tabs>
        <w:rPr>
          <w:rFonts w:cs="Arial"/>
          <w:b/>
          <w:bCs/>
          <w:sz w:val="20"/>
          <w:szCs w:val="20"/>
          <w:lang w:eastAsia="cs-CZ"/>
        </w:rPr>
      </w:pPr>
      <w:r w:rsidRPr="00457F25">
        <w:rPr>
          <w:rFonts w:cs="Arial"/>
          <w:b/>
          <w:bCs/>
          <w:sz w:val="20"/>
          <w:szCs w:val="20"/>
          <w:lang w:eastAsia="cs-CZ"/>
        </w:rPr>
        <w:t>PLNĚNÍ MZe:</w:t>
      </w:r>
    </w:p>
    <w:p w14:paraId="755EFCF9" w14:textId="552E39BE" w:rsidR="00F579FB" w:rsidRPr="00457F25" w:rsidRDefault="00F579FB" w:rsidP="00457F25">
      <w:pPr>
        <w:rPr>
          <w:color w:val="000000"/>
          <w:sz w:val="20"/>
          <w:szCs w:val="20"/>
        </w:rPr>
      </w:pPr>
      <w:r w:rsidRPr="00457F25">
        <w:rPr>
          <w:color w:val="000000"/>
          <w:sz w:val="20"/>
          <w:szCs w:val="20"/>
        </w:rPr>
        <w:t xml:space="preserve">Ve stanoveném termínu do konce roku 2022 byla provedena ze strany Ministerstva zemědělství prostřednictvím odboru vnitřní správy a odboru personálního analýza přístupnosti všech budov, ve kterých je příslušné k hospodaření Ministerstvo zemědělství a zpracovány karty přístupnosti, které byly zveřejněny na portálu Ministerstva zemědělství </w:t>
      </w:r>
      <w:hyperlink r:id="rId46" w:history="1">
        <w:r w:rsidRPr="00B327B1">
          <w:rPr>
            <w:rStyle w:val="Hypertextovodkaz"/>
            <w:sz w:val="20"/>
            <w:szCs w:val="20"/>
          </w:rPr>
          <w:t>Přehled přístupnosti budov | eAGRI (mze.cz</w:t>
        </w:r>
      </w:hyperlink>
      <w:r w:rsidRPr="00B327B1">
        <w:rPr>
          <w:sz w:val="20"/>
          <w:szCs w:val="20"/>
        </w:rPr>
        <w:t>)</w:t>
      </w:r>
      <w:r w:rsidRPr="00457F25">
        <w:rPr>
          <w:color w:val="000000"/>
          <w:sz w:val="20"/>
          <w:szCs w:val="20"/>
        </w:rPr>
        <w:t>. Resortní organi</w:t>
      </w:r>
      <w:r w:rsidR="00457F25">
        <w:rPr>
          <w:color w:val="000000"/>
          <w:sz w:val="20"/>
          <w:szCs w:val="20"/>
        </w:rPr>
        <w:t>z</w:t>
      </w:r>
      <w:r w:rsidRPr="00457F25">
        <w:rPr>
          <w:color w:val="000000"/>
          <w:sz w:val="20"/>
          <w:szCs w:val="20"/>
        </w:rPr>
        <w:t>ace byly o této povinnosti písemně informovány v roce 2022 a 2023. Analýzu, karty přístupnosti a jejich zveřejnění zajišťovaly ve vlastní gesci. Informace o přístupnosti budov, kde je příslušné k hospodaření Ministerstvo zemědělství jsou uveřejněny/zpřístupněny na našich internetových stránkách. Resortní organizace zveřejnění zajišťovaly na vlastních webových stránkách či portálech v různých formách.</w:t>
      </w:r>
    </w:p>
    <w:p w14:paraId="08D427CD" w14:textId="10CA6D46" w:rsidR="003B327A" w:rsidRPr="00457F25" w:rsidRDefault="003B327A" w:rsidP="00457F25">
      <w:pPr>
        <w:keepNext/>
        <w:tabs>
          <w:tab w:val="left" w:pos="720"/>
        </w:tabs>
        <w:rPr>
          <w:rFonts w:cs="Arial"/>
          <w:b/>
          <w:bCs/>
          <w:sz w:val="20"/>
          <w:szCs w:val="20"/>
          <w:lang w:eastAsia="cs-CZ"/>
        </w:rPr>
      </w:pPr>
      <w:r w:rsidRPr="00457F25">
        <w:rPr>
          <w:rFonts w:cs="Arial"/>
          <w:b/>
          <w:bCs/>
          <w:sz w:val="20"/>
          <w:szCs w:val="20"/>
          <w:lang w:eastAsia="cs-CZ"/>
        </w:rPr>
        <w:t>STANOVISKO K PLNĚNÍ:</w:t>
      </w:r>
      <w:r w:rsidRPr="00457F25">
        <w:rPr>
          <w:rFonts w:cs="Arial"/>
          <w:b/>
          <w:sz w:val="20"/>
          <w:szCs w:val="20"/>
        </w:rPr>
        <w:t xml:space="preserve"> </w:t>
      </w:r>
      <w:r w:rsidR="00B376A3" w:rsidRPr="00457F25">
        <w:rPr>
          <w:rFonts w:cs="Arial"/>
          <w:b/>
          <w:sz w:val="20"/>
          <w:szCs w:val="20"/>
        </w:rPr>
        <w:t>Sp</w:t>
      </w:r>
      <w:r w:rsidRPr="00457F25">
        <w:rPr>
          <w:rFonts w:cs="Arial"/>
          <w:b/>
          <w:sz w:val="20"/>
          <w:szCs w:val="20"/>
        </w:rPr>
        <w:t>lněno.</w:t>
      </w:r>
    </w:p>
    <w:p w14:paraId="4E078F74" w14:textId="77777777" w:rsidR="003B327A" w:rsidRPr="00457F25" w:rsidRDefault="003B327A" w:rsidP="00457F25">
      <w:pPr>
        <w:rPr>
          <w:rFonts w:cs="Arial"/>
          <w:sz w:val="20"/>
          <w:szCs w:val="20"/>
        </w:rPr>
      </w:pPr>
    </w:p>
    <w:p w14:paraId="131746E3" w14:textId="77777777" w:rsidR="003B327A" w:rsidRPr="00F30C32" w:rsidRDefault="003B327A" w:rsidP="00F30C32">
      <w:pPr>
        <w:tabs>
          <w:tab w:val="left" w:pos="720"/>
        </w:tabs>
        <w:rPr>
          <w:rFonts w:cs="Arial"/>
          <w:b/>
          <w:bCs/>
          <w:sz w:val="20"/>
          <w:szCs w:val="20"/>
          <w:lang w:eastAsia="cs-CZ"/>
        </w:rPr>
      </w:pPr>
      <w:r w:rsidRPr="00F30C32">
        <w:rPr>
          <w:rFonts w:cs="Arial"/>
          <w:b/>
          <w:bCs/>
          <w:sz w:val="20"/>
          <w:szCs w:val="20"/>
          <w:lang w:eastAsia="cs-CZ"/>
        </w:rPr>
        <w:t>PLNĚNÍ MZV:</w:t>
      </w:r>
    </w:p>
    <w:p w14:paraId="2E4728C9" w14:textId="77777777" w:rsidR="00F30C32" w:rsidRDefault="00F30C32" w:rsidP="00F30C32">
      <w:pPr>
        <w:contextualSpacing/>
        <w:rPr>
          <w:rFonts w:cs="Arial"/>
          <w:bCs/>
          <w:sz w:val="20"/>
          <w:szCs w:val="20"/>
        </w:rPr>
      </w:pPr>
      <w:r w:rsidRPr="00F30C32">
        <w:rPr>
          <w:rFonts w:cs="Arial"/>
          <w:bCs/>
          <w:sz w:val="20"/>
          <w:szCs w:val="20"/>
        </w:rPr>
        <w:t>Byl zpracován a na webových stránkách MZV uveřejněn soupis informací o přístupnosti objektů MZV v ČR. K nahlédnutí na adrese:</w:t>
      </w:r>
    </w:p>
    <w:p w14:paraId="67044DA1" w14:textId="672F8CFE" w:rsidR="00F30C32" w:rsidRPr="00F30C32" w:rsidRDefault="007C49CB" w:rsidP="00F30C32">
      <w:pPr>
        <w:rPr>
          <w:rFonts w:cs="Arial"/>
          <w:bCs/>
          <w:sz w:val="20"/>
          <w:szCs w:val="20"/>
          <w:u w:val="single"/>
        </w:rPr>
      </w:pPr>
      <w:hyperlink r:id="rId47" w:history="1">
        <w:r w:rsidR="00F30C32" w:rsidRPr="00F30C32">
          <w:rPr>
            <w:rStyle w:val="Hypertextovodkaz"/>
            <w:rFonts w:cs="Arial"/>
            <w:bCs/>
            <w:sz w:val="20"/>
            <w:szCs w:val="20"/>
          </w:rPr>
          <w:t>https://mzv.gov.cz/jnp/o_ministerstvu/budovy_architektura/pristupnost_budov.html</w:t>
        </w:r>
      </w:hyperlink>
    </w:p>
    <w:p w14:paraId="7F071B99" w14:textId="2CF05706" w:rsidR="003B327A" w:rsidRPr="00F30C32" w:rsidRDefault="003B327A" w:rsidP="00F30C32">
      <w:pPr>
        <w:keepNext/>
        <w:tabs>
          <w:tab w:val="left" w:pos="720"/>
        </w:tabs>
        <w:rPr>
          <w:rFonts w:cs="Arial"/>
          <w:b/>
          <w:bCs/>
          <w:sz w:val="20"/>
          <w:szCs w:val="20"/>
          <w:lang w:eastAsia="cs-CZ"/>
        </w:rPr>
      </w:pPr>
      <w:r w:rsidRPr="00F30C32">
        <w:rPr>
          <w:rFonts w:cs="Arial"/>
          <w:b/>
          <w:bCs/>
          <w:sz w:val="20"/>
          <w:szCs w:val="20"/>
          <w:lang w:eastAsia="cs-CZ"/>
        </w:rPr>
        <w:t>STANOVISKO K PLNĚNÍ:</w:t>
      </w:r>
      <w:r w:rsidRPr="00F30C32">
        <w:rPr>
          <w:rFonts w:cs="Arial"/>
          <w:b/>
          <w:sz w:val="20"/>
          <w:szCs w:val="20"/>
        </w:rPr>
        <w:t xml:space="preserve"> </w:t>
      </w:r>
      <w:r w:rsidR="00110152">
        <w:rPr>
          <w:rFonts w:cs="Arial"/>
          <w:b/>
          <w:sz w:val="20"/>
          <w:szCs w:val="20"/>
        </w:rPr>
        <w:t>Sp</w:t>
      </w:r>
      <w:r w:rsidRPr="00F30C32">
        <w:rPr>
          <w:rFonts w:cs="Arial"/>
          <w:b/>
          <w:sz w:val="20"/>
          <w:szCs w:val="20"/>
        </w:rPr>
        <w:t>lněno.</w:t>
      </w:r>
    </w:p>
    <w:p w14:paraId="4EBAB212" w14:textId="77777777" w:rsidR="003B327A" w:rsidRPr="000D4CD9" w:rsidRDefault="003B327A" w:rsidP="003B327A">
      <w:pPr>
        <w:rPr>
          <w:rFonts w:cs="Arial"/>
          <w:sz w:val="20"/>
          <w:szCs w:val="20"/>
        </w:rPr>
      </w:pPr>
    </w:p>
    <w:p w14:paraId="6B4E2F2F" w14:textId="77777777" w:rsidR="003B327A" w:rsidRPr="00CF6125" w:rsidRDefault="003B327A" w:rsidP="00F62D54">
      <w:pPr>
        <w:tabs>
          <w:tab w:val="left" w:pos="720"/>
        </w:tabs>
        <w:rPr>
          <w:rFonts w:cs="Arial"/>
          <w:b/>
          <w:bCs/>
          <w:sz w:val="20"/>
          <w:szCs w:val="20"/>
          <w:lang w:eastAsia="cs-CZ"/>
        </w:rPr>
      </w:pPr>
      <w:r w:rsidRPr="00CF6125">
        <w:rPr>
          <w:rFonts w:cs="Arial"/>
          <w:b/>
          <w:bCs/>
          <w:sz w:val="20"/>
          <w:szCs w:val="20"/>
          <w:lang w:eastAsia="cs-CZ"/>
        </w:rPr>
        <w:t>PLNĚNÍ MŽP:</w:t>
      </w:r>
    </w:p>
    <w:p w14:paraId="69B0A126" w14:textId="2310CF05" w:rsidR="00F62D54" w:rsidRPr="00CF6125" w:rsidRDefault="00F62D54" w:rsidP="00F62D54">
      <w:pPr>
        <w:rPr>
          <w:rFonts w:cs="Arial"/>
          <w:sz w:val="20"/>
          <w:szCs w:val="20"/>
        </w:rPr>
      </w:pPr>
      <w:r w:rsidRPr="00CF6125">
        <w:rPr>
          <w:rFonts w:cs="Arial"/>
          <w:sz w:val="20"/>
          <w:szCs w:val="20"/>
        </w:rPr>
        <w:t>Nastavené opatření nebylo plněno. Jednání v této oblasti budou iniciována v průběhu roku 2024.</w:t>
      </w:r>
      <w:r w:rsidR="00CF6125" w:rsidRPr="00CF6125">
        <w:rPr>
          <w:rFonts w:cs="Arial"/>
          <w:sz w:val="20"/>
          <w:szCs w:val="20"/>
        </w:rPr>
        <w:t xml:space="preserve"> MŽP žádá o posun termínu.</w:t>
      </w:r>
    </w:p>
    <w:p w14:paraId="31750554" w14:textId="6CBA74F1" w:rsidR="003B327A" w:rsidRPr="00F62D54" w:rsidRDefault="003B327A" w:rsidP="00F62D54">
      <w:pPr>
        <w:keepNext/>
        <w:tabs>
          <w:tab w:val="left" w:pos="720"/>
        </w:tabs>
        <w:rPr>
          <w:rFonts w:cs="Arial"/>
          <w:sz w:val="20"/>
          <w:szCs w:val="20"/>
        </w:rPr>
      </w:pPr>
      <w:r w:rsidRPr="00CF6125">
        <w:rPr>
          <w:rFonts w:cs="Arial"/>
          <w:b/>
          <w:bCs/>
          <w:sz w:val="20"/>
          <w:szCs w:val="20"/>
          <w:lang w:eastAsia="cs-CZ"/>
        </w:rPr>
        <w:t>STANOVISKO K PLNĚNÍ:</w:t>
      </w:r>
      <w:r w:rsidRPr="00CF6125">
        <w:rPr>
          <w:rFonts w:cs="Arial"/>
          <w:b/>
          <w:sz w:val="20"/>
          <w:szCs w:val="20"/>
        </w:rPr>
        <w:t xml:space="preserve"> </w:t>
      </w:r>
      <w:r w:rsidR="00F62D54" w:rsidRPr="004116E8">
        <w:rPr>
          <w:rFonts w:cs="Arial"/>
          <w:b/>
          <w:sz w:val="20"/>
          <w:szCs w:val="20"/>
        </w:rPr>
        <w:t>Nesp</w:t>
      </w:r>
      <w:r w:rsidRPr="004116E8">
        <w:rPr>
          <w:rFonts w:cs="Arial"/>
          <w:b/>
          <w:sz w:val="20"/>
          <w:szCs w:val="20"/>
        </w:rPr>
        <w:t>lněno.</w:t>
      </w:r>
      <w:r w:rsidR="00F62D54" w:rsidRPr="004116E8">
        <w:rPr>
          <w:rFonts w:cs="Arial"/>
          <w:b/>
          <w:sz w:val="20"/>
          <w:szCs w:val="20"/>
        </w:rPr>
        <w:t xml:space="preserve"> Navržen posun termínu do </w:t>
      </w:r>
      <w:proofErr w:type="gramStart"/>
      <w:r w:rsidR="00F62D54" w:rsidRPr="004116E8">
        <w:rPr>
          <w:rFonts w:cs="Arial"/>
          <w:b/>
          <w:sz w:val="20"/>
          <w:szCs w:val="20"/>
        </w:rPr>
        <w:t>31.12.2024</w:t>
      </w:r>
      <w:proofErr w:type="gramEnd"/>
      <w:r w:rsidR="00F62D54" w:rsidRPr="004116E8">
        <w:rPr>
          <w:rFonts w:cs="Arial"/>
          <w:b/>
          <w:sz w:val="20"/>
          <w:szCs w:val="20"/>
        </w:rPr>
        <w:t>.</w:t>
      </w:r>
    </w:p>
    <w:p w14:paraId="715A26AD" w14:textId="77777777" w:rsidR="003B327A" w:rsidRPr="000D4CD9" w:rsidRDefault="003B327A" w:rsidP="003B327A">
      <w:pPr>
        <w:rPr>
          <w:rFonts w:cs="Arial"/>
          <w:sz w:val="20"/>
          <w:szCs w:val="20"/>
        </w:rPr>
      </w:pPr>
    </w:p>
    <w:p w14:paraId="2A8ABFC6" w14:textId="77777777" w:rsidR="003B327A" w:rsidRPr="005F2E75" w:rsidRDefault="003B327A" w:rsidP="005F2E75">
      <w:pPr>
        <w:tabs>
          <w:tab w:val="left" w:pos="720"/>
        </w:tabs>
        <w:rPr>
          <w:rFonts w:cs="Arial"/>
          <w:b/>
          <w:bCs/>
          <w:sz w:val="20"/>
          <w:szCs w:val="20"/>
          <w:lang w:eastAsia="cs-CZ"/>
        </w:rPr>
      </w:pPr>
      <w:r w:rsidRPr="005F2E75">
        <w:rPr>
          <w:rFonts w:cs="Arial"/>
          <w:b/>
          <w:bCs/>
          <w:sz w:val="20"/>
          <w:szCs w:val="20"/>
          <w:lang w:eastAsia="cs-CZ"/>
        </w:rPr>
        <w:t>PLNĚNÍ ÚV:</w:t>
      </w:r>
    </w:p>
    <w:p w14:paraId="603752AC" w14:textId="2FABBE2C" w:rsidR="005F2E75" w:rsidRPr="005F2E75" w:rsidRDefault="005F2E75" w:rsidP="005F2E75">
      <w:pPr>
        <w:tabs>
          <w:tab w:val="left" w:pos="720"/>
        </w:tabs>
        <w:rPr>
          <w:rFonts w:cs="Arial"/>
          <w:b/>
          <w:bCs/>
          <w:sz w:val="20"/>
          <w:szCs w:val="20"/>
          <w:lang w:eastAsia="cs-CZ"/>
        </w:rPr>
      </w:pPr>
      <w:r w:rsidRPr="005F2E75">
        <w:rPr>
          <w:rFonts w:cs="Arial"/>
          <w:sz w:val="20"/>
          <w:szCs w:val="20"/>
        </w:rPr>
        <w:t xml:space="preserve">Informace o přístupnosti objektů jsou zveřejněny na </w:t>
      </w:r>
      <w:hyperlink r:id="rId48" w:history="1">
        <w:r w:rsidRPr="005F2E75">
          <w:rPr>
            <w:rStyle w:val="Hypertextovodkaz"/>
            <w:rFonts w:cs="Arial"/>
            <w:color w:val="auto"/>
            <w:sz w:val="20"/>
            <w:szCs w:val="20"/>
          </w:rPr>
          <w:t>https://www.vlada.cz/cz/urad-vlady/dalsi-objekty/pristupnost-budov-uradu-vlady-212404/</w:t>
        </w:r>
      </w:hyperlink>
      <w:r>
        <w:rPr>
          <w:rStyle w:val="Hypertextovodkaz"/>
          <w:rFonts w:cs="Arial"/>
          <w:color w:val="auto"/>
          <w:sz w:val="20"/>
          <w:szCs w:val="20"/>
        </w:rPr>
        <w:t>.</w:t>
      </w:r>
    </w:p>
    <w:p w14:paraId="27EBCB66" w14:textId="41FE48C8" w:rsidR="003B327A" w:rsidRPr="005F2E75" w:rsidRDefault="003B327A" w:rsidP="005F2E75">
      <w:pPr>
        <w:rPr>
          <w:rFonts w:cs="Arial"/>
          <w:b/>
          <w:bCs/>
          <w:sz w:val="20"/>
          <w:szCs w:val="20"/>
          <w:lang w:eastAsia="cs-CZ"/>
        </w:rPr>
      </w:pPr>
      <w:r w:rsidRPr="005F2E75">
        <w:rPr>
          <w:rFonts w:cs="Arial"/>
          <w:b/>
          <w:bCs/>
          <w:sz w:val="20"/>
          <w:szCs w:val="20"/>
          <w:lang w:eastAsia="cs-CZ"/>
        </w:rPr>
        <w:t xml:space="preserve">STANOVISKO K PLNĚNÍ: </w:t>
      </w:r>
      <w:r w:rsidR="0065494F" w:rsidRPr="005F2E75">
        <w:rPr>
          <w:rFonts w:cs="Arial"/>
          <w:b/>
          <w:bCs/>
          <w:sz w:val="20"/>
          <w:szCs w:val="20"/>
          <w:lang w:eastAsia="cs-CZ"/>
        </w:rPr>
        <w:t>Sp</w:t>
      </w:r>
      <w:r w:rsidRPr="005F2E75">
        <w:rPr>
          <w:rFonts w:cs="Arial"/>
          <w:b/>
          <w:bCs/>
          <w:sz w:val="20"/>
          <w:szCs w:val="20"/>
          <w:lang w:eastAsia="cs-CZ"/>
        </w:rPr>
        <w:t>lněno.</w:t>
      </w:r>
    </w:p>
    <w:p w14:paraId="6CB45BB9" w14:textId="1952F604" w:rsidR="003A7C59" w:rsidRDefault="003A7C59" w:rsidP="003A7C59">
      <w:pPr>
        <w:rPr>
          <w:rFonts w:cs="Arial"/>
          <w:sz w:val="20"/>
          <w:szCs w:val="20"/>
        </w:rPr>
      </w:pPr>
    </w:p>
    <w:p w14:paraId="5E64B263" w14:textId="77777777" w:rsidR="00955000" w:rsidRPr="00006C58" w:rsidRDefault="00955000" w:rsidP="00955000">
      <w:pPr>
        <w:rPr>
          <w:rFonts w:cs="Arial"/>
          <w:szCs w:val="20"/>
        </w:rPr>
      </w:pPr>
      <w:r w:rsidRPr="000A405E">
        <w:rPr>
          <w:rFonts w:cs="Arial"/>
          <w:szCs w:val="20"/>
        </w:rPr>
        <w:t xml:space="preserve">Opatření </w:t>
      </w:r>
      <w:r>
        <w:rPr>
          <w:rFonts w:cs="Arial"/>
          <w:szCs w:val="20"/>
        </w:rPr>
        <w:t xml:space="preserve">2.1.4 </w:t>
      </w:r>
      <w:r w:rsidRPr="00006C58">
        <w:rPr>
          <w:rFonts w:cs="Arial"/>
          <w:szCs w:val="20"/>
        </w:rPr>
        <w:t>Na základě analýzy přístupnosti budov ve vlastnictví gestora (včetně přímo řízených organizací) vytvořit plán zpřístupňování těchto</w:t>
      </w:r>
      <w:r>
        <w:rPr>
          <w:rFonts w:cs="Arial"/>
          <w:szCs w:val="20"/>
        </w:rPr>
        <w:t xml:space="preserve"> budov a tento plán realizovat.</w:t>
      </w:r>
    </w:p>
    <w:p w14:paraId="581C75C0" w14:textId="77777777" w:rsidR="00955000" w:rsidRPr="00006C58" w:rsidRDefault="00955000" w:rsidP="00955000">
      <w:pPr>
        <w:rPr>
          <w:rFonts w:cs="Arial"/>
          <w:szCs w:val="20"/>
        </w:rPr>
      </w:pPr>
      <w:r>
        <w:rPr>
          <w:rFonts w:cs="Arial"/>
          <w:szCs w:val="20"/>
        </w:rPr>
        <w:t xml:space="preserve">Termín: Vytvoření plánu </w:t>
      </w:r>
      <w:proofErr w:type="gramStart"/>
      <w:r>
        <w:rPr>
          <w:rFonts w:cs="Arial"/>
          <w:szCs w:val="20"/>
        </w:rPr>
        <w:t>31.12.</w:t>
      </w:r>
      <w:r w:rsidRPr="00006C58">
        <w:rPr>
          <w:rFonts w:cs="Arial"/>
          <w:szCs w:val="20"/>
        </w:rPr>
        <w:t>2023</w:t>
      </w:r>
      <w:proofErr w:type="gramEnd"/>
      <w:r w:rsidRPr="00006C58">
        <w:rPr>
          <w:rFonts w:cs="Arial"/>
          <w:szCs w:val="20"/>
        </w:rPr>
        <w:t>, podá</w:t>
      </w:r>
      <w:r>
        <w:rPr>
          <w:rFonts w:cs="Arial"/>
          <w:szCs w:val="20"/>
        </w:rPr>
        <w:t>ní zprávy o realizaci plánu 31.12.</w:t>
      </w:r>
      <w:r w:rsidRPr="00006C58">
        <w:rPr>
          <w:rFonts w:cs="Arial"/>
          <w:szCs w:val="20"/>
        </w:rPr>
        <w:t>2025</w:t>
      </w:r>
      <w:r>
        <w:rPr>
          <w:rFonts w:cs="Arial"/>
          <w:szCs w:val="20"/>
        </w:rPr>
        <w:t>.</w:t>
      </w:r>
    </w:p>
    <w:p w14:paraId="56DE3545" w14:textId="77777777" w:rsidR="00955000" w:rsidRDefault="00955000" w:rsidP="00195246">
      <w:pPr>
        <w:rPr>
          <w:rFonts w:cs="Arial"/>
          <w:szCs w:val="20"/>
        </w:rPr>
      </w:pPr>
      <w:r w:rsidRPr="00006C58">
        <w:rPr>
          <w:rFonts w:cs="Arial"/>
          <w:szCs w:val="20"/>
        </w:rPr>
        <w:t>Gestor: všechny resorty</w:t>
      </w:r>
    </w:p>
    <w:p w14:paraId="7927E589" w14:textId="22E48CBD" w:rsidR="00DC430A" w:rsidRDefault="00955000" w:rsidP="00195246">
      <w:pPr>
        <w:rPr>
          <w:rFonts w:cs="Arial"/>
          <w:szCs w:val="20"/>
        </w:rPr>
      </w:pPr>
      <w:r w:rsidRPr="006E03EC">
        <w:rPr>
          <w:rFonts w:cs="Arial"/>
          <w:szCs w:val="20"/>
        </w:rPr>
        <w:t>Indikátor: Je vypracován uvedený plán</w:t>
      </w:r>
      <w:r>
        <w:rPr>
          <w:rFonts w:cs="Arial"/>
          <w:szCs w:val="20"/>
        </w:rPr>
        <w:t xml:space="preserve"> a je podána zpráva o krocích k jeho realizaci.</w:t>
      </w:r>
    </w:p>
    <w:p w14:paraId="34F7F9AA" w14:textId="77777777" w:rsidR="00195246" w:rsidRPr="00955000" w:rsidRDefault="00195246" w:rsidP="00195246">
      <w:pPr>
        <w:rPr>
          <w:rFonts w:cs="Arial"/>
          <w:szCs w:val="20"/>
        </w:rPr>
      </w:pPr>
    </w:p>
    <w:p w14:paraId="2C2A765C" w14:textId="71064EF5" w:rsidR="00DC430A" w:rsidRPr="00195246" w:rsidRDefault="00DC430A" w:rsidP="00195246">
      <w:pPr>
        <w:tabs>
          <w:tab w:val="left" w:pos="720"/>
        </w:tabs>
        <w:rPr>
          <w:rFonts w:cs="Arial"/>
          <w:b/>
          <w:bCs/>
          <w:sz w:val="20"/>
          <w:szCs w:val="20"/>
          <w:lang w:eastAsia="cs-CZ"/>
        </w:rPr>
      </w:pPr>
      <w:r w:rsidRPr="00195246">
        <w:rPr>
          <w:rFonts w:cs="Arial"/>
          <w:b/>
          <w:bCs/>
          <w:sz w:val="20"/>
          <w:szCs w:val="20"/>
          <w:lang w:eastAsia="cs-CZ"/>
        </w:rPr>
        <w:t>PLNĚNÍ MD:</w:t>
      </w:r>
    </w:p>
    <w:p w14:paraId="1A0FF455" w14:textId="5E2F5C9D" w:rsidR="00195246" w:rsidRPr="00195246" w:rsidRDefault="00195246" w:rsidP="00195246">
      <w:pPr>
        <w:rPr>
          <w:rFonts w:cs="Arial"/>
          <w:sz w:val="20"/>
          <w:szCs w:val="20"/>
        </w:rPr>
      </w:pPr>
      <w:r w:rsidRPr="00195246">
        <w:rPr>
          <w:rFonts w:cs="Arial"/>
          <w:sz w:val="20"/>
          <w:szCs w:val="20"/>
        </w:rPr>
        <w:lastRenderedPageBreak/>
        <w:t>Budova ministerstva dopravy nebyla s ohledem na dobu svého vzniku projektována s ohledem na aktuální požadavky na bezbariérový přístup a je památkově chráněna. I přes tyto limitující faktory byly ministerstvem v uplynulých letech realizovány stavebně technické úpravy a instalace základních prvků ne</w:t>
      </w:r>
      <w:r w:rsidR="005F7338">
        <w:rPr>
          <w:rFonts w:cs="Arial"/>
          <w:sz w:val="20"/>
          <w:szCs w:val="20"/>
        </w:rPr>
        <w:t>zbytných pro její bezbariérové</w:t>
      </w:r>
      <w:r w:rsidRPr="00195246">
        <w:rPr>
          <w:rFonts w:cs="Arial"/>
          <w:sz w:val="20"/>
          <w:szCs w:val="20"/>
        </w:rPr>
        <w:t xml:space="preserve"> užívání, které ve spojení s dalšími opatřeními (činnost ostrahy, doprovázející osoby, asistent) umožňují její bezbariérové užívání osobami se zdravotním postižením v souladu s Národním plánem podpory rovných příležitostí pro osoby se zdravotním postižením. Na základě tohoto Ministerstvo dopravy další plán zpřístupňování v současné době nepřipravuje.</w:t>
      </w:r>
    </w:p>
    <w:p w14:paraId="740B6C47" w14:textId="6B32493E" w:rsidR="00DC430A" w:rsidRPr="00195246" w:rsidRDefault="00DC430A" w:rsidP="00195246">
      <w:pPr>
        <w:keepNext/>
        <w:tabs>
          <w:tab w:val="left" w:pos="720"/>
        </w:tabs>
        <w:rPr>
          <w:rFonts w:cs="Arial"/>
          <w:b/>
          <w:bCs/>
          <w:sz w:val="20"/>
          <w:szCs w:val="20"/>
          <w:lang w:eastAsia="cs-CZ"/>
        </w:rPr>
      </w:pPr>
      <w:r w:rsidRPr="00195246">
        <w:rPr>
          <w:rFonts w:cs="Arial"/>
          <w:b/>
          <w:bCs/>
          <w:sz w:val="20"/>
          <w:szCs w:val="20"/>
          <w:lang w:eastAsia="cs-CZ"/>
        </w:rPr>
        <w:t>STANOVISKO K </w:t>
      </w:r>
      <w:r w:rsidRPr="00C90C1D">
        <w:rPr>
          <w:rFonts w:cs="Arial"/>
          <w:b/>
          <w:bCs/>
          <w:sz w:val="20"/>
          <w:szCs w:val="20"/>
          <w:lang w:eastAsia="cs-CZ"/>
        </w:rPr>
        <w:t xml:space="preserve">PLNĚNÍ: </w:t>
      </w:r>
      <w:r w:rsidR="0038584C" w:rsidRPr="00C90C1D">
        <w:rPr>
          <w:rFonts w:cs="Arial"/>
          <w:b/>
          <w:bCs/>
          <w:sz w:val="20"/>
          <w:szCs w:val="20"/>
          <w:lang w:eastAsia="cs-CZ"/>
        </w:rPr>
        <w:t>Sp</w:t>
      </w:r>
      <w:r w:rsidRPr="00C90C1D">
        <w:rPr>
          <w:rFonts w:cs="Arial"/>
          <w:b/>
          <w:bCs/>
          <w:sz w:val="20"/>
          <w:szCs w:val="20"/>
          <w:lang w:eastAsia="cs-CZ"/>
        </w:rPr>
        <w:t>lněno.</w:t>
      </w:r>
    </w:p>
    <w:p w14:paraId="7545DD38" w14:textId="77777777" w:rsidR="00DC430A" w:rsidRPr="00D91018" w:rsidRDefault="00DC430A" w:rsidP="000017CA">
      <w:pPr>
        <w:tabs>
          <w:tab w:val="left" w:pos="720"/>
        </w:tabs>
        <w:rPr>
          <w:rFonts w:cs="Arial"/>
          <w:b/>
          <w:bCs/>
          <w:sz w:val="20"/>
          <w:szCs w:val="20"/>
          <w:lang w:eastAsia="cs-CZ"/>
        </w:rPr>
      </w:pPr>
    </w:p>
    <w:p w14:paraId="1444B03F" w14:textId="1AF4D0EF" w:rsidR="00DC430A" w:rsidRPr="000017CA" w:rsidRDefault="00DC430A" w:rsidP="000017CA">
      <w:pPr>
        <w:tabs>
          <w:tab w:val="left" w:pos="720"/>
        </w:tabs>
        <w:rPr>
          <w:rFonts w:cs="Arial"/>
          <w:b/>
          <w:bCs/>
          <w:sz w:val="20"/>
          <w:szCs w:val="20"/>
          <w:lang w:eastAsia="cs-CZ"/>
        </w:rPr>
      </w:pPr>
      <w:r w:rsidRPr="000017CA">
        <w:rPr>
          <w:rFonts w:cs="Arial"/>
          <w:b/>
          <w:bCs/>
          <w:sz w:val="20"/>
          <w:szCs w:val="20"/>
          <w:lang w:eastAsia="cs-CZ"/>
        </w:rPr>
        <w:t>PLNĚNÍ MF:</w:t>
      </w:r>
    </w:p>
    <w:p w14:paraId="7991C6D8" w14:textId="11162C48" w:rsidR="000017CA" w:rsidRPr="000017CA" w:rsidRDefault="000017CA" w:rsidP="000017CA">
      <w:pPr>
        <w:rPr>
          <w:rFonts w:cs="Arial"/>
          <w:sz w:val="20"/>
          <w:szCs w:val="20"/>
        </w:rPr>
      </w:pPr>
      <w:r w:rsidRPr="000017CA">
        <w:rPr>
          <w:rFonts w:cs="Arial"/>
          <w:sz w:val="20"/>
          <w:szCs w:val="20"/>
        </w:rPr>
        <w:t xml:space="preserve">S ohledem na rozpočtové možnosti, resp. množství rozpočtových prostředků přidělených na technické zhodnocení objektů, byl vypracován plán postupného zpřístupňování budov Ministerstva financí a jeho přímo řízených organizací, a to s postupnou realizací do 31. prosince 2025. </w:t>
      </w:r>
      <w:r w:rsidRPr="000017CA">
        <w:rPr>
          <w:rFonts w:cs="Arial"/>
          <w:sz w:val="20"/>
          <w:szCs w:val="20"/>
          <w:lang w:eastAsia="cs-CZ"/>
        </w:rPr>
        <w:t xml:space="preserve">V současnosti se pracuje na realizaci navržených opatření pro splnění Národního plánu podpory rovných příležitostí pro osoby se zdravotním postižením. </w:t>
      </w:r>
    </w:p>
    <w:p w14:paraId="3D00211D" w14:textId="5C16BCB8" w:rsidR="000017CA" w:rsidRPr="001B7EAD" w:rsidRDefault="000017CA" w:rsidP="001B7EAD">
      <w:pPr>
        <w:rPr>
          <w:rFonts w:cs="Arial"/>
          <w:sz w:val="20"/>
          <w:szCs w:val="20"/>
        </w:rPr>
      </w:pPr>
      <w:r w:rsidRPr="000017CA">
        <w:rPr>
          <w:rFonts w:cs="Arial"/>
          <w:sz w:val="20"/>
          <w:szCs w:val="20"/>
        </w:rPr>
        <w:t xml:space="preserve">Část budov je však historických a zpravidla nelze měnit vzhled objektů při rekonstrukci, což by při budování bezbariérového přístupu bylo nezbytné. </w:t>
      </w:r>
    </w:p>
    <w:p w14:paraId="2A2A20F4" w14:textId="4EB7C489" w:rsidR="00DC430A" w:rsidRPr="00A31C8E" w:rsidRDefault="00DC430A" w:rsidP="000017CA">
      <w:pPr>
        <w:keepNext/>
        <w:tabs>
          <w:tab w:val="left" w:pos="720"/>
        </w:tabs>
        <w:rPr>
          <w:rFonts w:cs="Arial"/>
          <w:b/>
          <w:bCs/>
          <w:sz w:val="20"/>
          <w:szCs w:val="20"/>
          <w:lang w:eastAsia="cs-CZ"/>
        </w:rPr>
      </w:pPr>
      <w:r w:rsidRPr="00D91018">
        <w:rPr>
          <w:rFonts w:cs="Arial"/>
          <w:b/>
          <w:bCs/>
          <w:sz w:val="20"/>
          <w:szCs w:val="20"/>
          <w:lang w:eastAsia="cs-CZ"/>
        </w:rPr>
        <w:t>STANOVISKO K </w:t>
      </w:r>
      <w:r w:rsidRPr="00C90C1D">
        <w:rPr>
          <w:rFonts w:cs="Arial"/>
          <w:b/>
          <w:bCs/>
          <w:sz w:val="20"/>
          <w:szCs w:val="20"/>
          <w:lang w:eastAsia="cs-CZ"/>
        </w:rPr>
        <w:t xml:space="preserve">PLNĚNÍ: </w:t>
      </w:r>
      <w:r w:rsidR="00240C5F" w:rsidRPr="00C90C1D">
        <w:rPr>
          <w:rFonts w:cs="Arial"/>
          <w:b/>
          <w:bCs/>
          <w:sz w:val="20"/>
          <w:szCs w:val="20"/>
          <w:lang w:eastAsia="cs-CZ"/>
        </w:rPr>
        <w:t>Sp</w:t>
      </w:r>
      <w:r w:rsidRPr="00C90C1D">
        <w:rPr>
          <w:rFonts w:cs="Arial"/>
          <w:b/>
          <w:bCs/>
          <w:sz w:val="20"/>
          <w:szCs w:val="20"/>
          <w:lang w:eastAsia="cs-CZ"/>
        </w:rPr>
        <w:t>lněno.</w:t>
      </w:r>
    </w:p>
    <w:p w14:paraId="2D3EEFBB" w14:textId="77777777" w:rsidR="00DC430A" w:rsidRPr="00474F1D" w:rsidRDefault="00DC430A" w:rsidP="00DC430A">
      <w:pPr>
        <w:rPr>
          <w:rFonts w:cs="Arial"/>
          <w:sz w:val="20"/>
          <w:szCs w:val="20"/>
        </w:rPr>
      </w:pPr>
    </w:p>
    <w:p w14:paraId="627FB086" w14:textId="3B67B300" w:rsidR="00DC430A" w:rsidRPr="00474F1D" w:rsidRDefault="00DC430A" w:rsidP="00DC430A">
      <w:pPr>
        <w:tabs>
          <w:tab w:val="left" w:pos="720"/>
        </w:tabs>
        <w:rPr>
          <w:rFonts w:cs="Arial"/>
          <w:b/>
          <w:bCs/>
          <w:sz w:val="20"/>
          <w:szCs w:val="20"/>
          <w:lang w:eastAsia="cs-CZ"/>
        </w:rPr>
      </w:pPr>
      <w:r w:rsidRPr="00474F1D">
        <w:rPr>
          <w:rFonts w:cs="Arial"/>
          <w:b/>
          <w:bCs/>
          <w:sz w:val="20"/>
          <w:szCs w:val="20"/>
          <w:lang w:eastAsia="cs-CZ"/>
        </w:rPr>
        <w:t>PLNĚNÍ MK:</w:t>
      </w:r>
    </w:p>
    <w:p w14:paraId="17CF3756" w14:textId="77777777" w:rsidR="00474F1D" w:rsidRPr="00474F1D" w:rsidRDefault="00474F1D" w:rsidP="00474F1D">
      <w:pPr>
        <w:rPr>
          <w:sz w:val="20"/>
          <w:szCs w:val="20"/>
        </w:rPr>
      </w:pPr>
      <w:r w:rsidRPr="00EE3F42">
        <w:rPr>
          <w:sz w:val="20"/>
          <w:szCs w:val="20"/>
        </w:rPr>
        <w:t>Ministerstvo kultury</w:t>
      </w:r>
      <w:r w:rsidRPr="00474F1D">
        <w:rPr>
          <w:sz w:val="20"/>
          <w:szCs w:val="20"/>
        </w:rPr>
        <w:t xml:space="preserve"> zahájilo modernizaci plošiny pro osoby se sníženou schopností pohybu v Nosticově paláci (spojující 1.NP a 2.NP) z prostor u zasedacích místností. Realizace, tj. výměna za stávající, se očekává na začátku roku 2024. Díky modernizaci plošiny dojde ke zpřístupnění pohybu osob po sídle ministerstva, zejména zkrácení vzdálenosti mezi recepcí a 2.NP (nyní muselo být využito výtahu, který je v protilehlém traktu objektu).</w:t>
      </w:r>
    </w:p>
    <w:p w14:paraId="038A9206" w14:textId="77777777" w:rsidR="00474F1D" w:rsidRPr="00474F1D" w:rsidRDefault="00474F1D" w:rsidP="00474F1D">
      <w:pPr>
        <w:rPr>
          <w:sz w:val="20"/>
          <w:szCs w:val="20"/>
        </w:rPr>
      </w:pPr>
      <w:r w:rsidRPr="00474F1D">
        <w:rPr>
          <w:sz w:val="20"/>
          <w:szCs w:val="20"/>
        </w:rPr>
        <w:t>V objektu na adrese Milady Horákové došlo v průběhu roku 2023 k rekonstrukci recepce a výměně turniketů. Nové dvoukřídlé turnikety automaticky otevírané ve směru průchodu a šířkou 900 mm umožňují lepší průchodnost pro osoby se sníženou schopností pohybu. Původní turnikety (s otočnou trnoží) měly průchod užší a procházející osoba musela aktivně trnož protočit, toto omezení již neplatí, nové turnikety jsou jak širší, tak i průchodnější.</w:t>
      </w:r>
    </w:p>
    <w:p w14:paraId="761090FF" w14:textId="77777777" w:rsidR="00474F1D" w:rsidRPr="00474F1D" w:rsidRDefault="00474F1D" w:rsidP="00CA1E11">
      <w:pPr>
        <w:contextualSpacing/>
        <w:rPr>
          <w:rFonts w:eastAsia="Calibri"/>
          <w:sz w:val="20"/>
          <w:szCs w:val="20"/>
        </w:rPr>
      </w:pPr>
      <w:r w:rsidRPr="00474F1D">
        <w:rPr>
          <w:rFonts w:eastAsia="Calibri"/>
          <w:sz w:val="20"/>
          <w:szCs w:val="20"/>
        </w:rPr>
        <w:t>Na rok 2024 plánuje MK:</w:t>
      </w:r>
    </w:p>
    <w:p w14:paraId="749775E7" w14:textId="77777777" w:rsidR="00474F1D" w:rsidRPr="00474F1D" w:rsidRDefault="00474F1D" w:rsidP="00CA1E11">
      <w:pPr>
        <w:numPr>
          <w:ilvl w:val="0"/>
          <w:numId w:val="6"/>
        </w:numPr>
        <w:contextualSpacing/>
        <w:rPr>
          <w:sz w:val="20"/>
          <w:szCs w:val="20"/>
        </w:rPr>
      </w:pPr>
      <w:r w:rsidRPr="00474F1D">
        <w:rPr>
          <w:sz w:val="20"/>
          <w:szCs w:val="20"/>
        </w:rPr>
        <w:t>dokončit modernizaci plošiny v NP,</w:t>
      </w:r>
    </w:p>
    <w:p w14:paraId="71931514" w14:textId="77777777" w:rsidR="00474F1D" w:rsidRPr="00474F1D" w:rsidRDefault="00474F1D" w:rsidP="00CA1E11">
      <w:pPr>
        <w:numPr>
          <w:ilvl w:val="0"/>
          <w:numId w:val="6"/>
        </w:numPr>
        <w:contextualSpacing/>
        <w:rPr>
          <w:sz w:val="20"/>
          <w:szCs w:val="20"/>
        </w:rPr>
      </w:pPr>
      <w:r w:rsidRPr="00474F1D">
        <w:rPr>
          <w:sz w:val="20"/>
          <w:szCs w:val="20"/>
        </w:rPr>
        <w:t>doplnit označení podlaží a ovládacích tlačítek výtahu v NP symboly v Braillově písmu,</w:t>
      </w:r>
    </w:p>
    <w:p w14:paraId="329C8B57" w14:textId="77777777" w:rsidR="00474F1D" w:rsidRPr="00474F1D" w:rsidRDefault="00474F1D" w:rsidP="00CA1E11">
      <w:pPr>
        <w:numPr>
          <w:ilvl w:val="0"/>
          <w:numId w:val="6"/>
        </w:numPr>
        <w:contextualSpacing/>
        <w:rPr>
          <w:sz w:val="20"/>
          <w:szCs w:val="20"/>
        </w:rPr>
      </w:pPr>
      <w:r w:rsidRPr="00474F1D">
        <w:rPr>
          <w:sz w:val="20"/>
          <w:szCs w:val="20"/>
        </w:rPr>
        <w:t>prověřit možnosti a případně realizovat doplnění výtahů v NP a MH akustickou signalizací a hlášením jednotlivých podlaží.</w:t>
      </w:r>
    </w:p>
    <w:p w14:paraId="3A9A51D0" w14:textId="77777777" w:rsidR="00474F1D" w:rsidRPr="00474F1D" w:rsidRDefault="00474F1D" w:rsidP="00474F1D">
      <w:pPr>
        <w:rPr>
          <w:rFonts w:eastAsia="Calibri"/>
          <w:sz w:val="20"/>
          <w:szCs w:val="20"/>
        </w:rPr>
      </w:pPr>
      <w:r w:rsidRPr="00474F1D">
        <w:rPr>
          <w:rFonts w:eastAsia="Calibri"/>
          <w:sz w:val="20"/>
          <w:szCs w:val="20"/>
        </w:rPr>
        <w:t xml:space="preserve">Případná další opatření budou realizována individuálně s ohledem na zastoupení osob se ZP mezi zaměstnanci a dle jejich omezení. V současné době nemá MK informace, které by vyžadovaly okamžité řešení ve vztahu k osobám pohybujícím se po objektech MK. Zpřístupnění objektu pro návštěvy z řad osob se zdravotním postižením je zajištěno, trasy vyznačeny a obsluha recepce poučena. </w:t>
      </w:r>
    </w:p>
    <w:p w14:paraId="144ADB26" w14:textId="52D111C0" w:rsidR="00474F1D" w:rsidRPr="00474F1D" w:rsidRDefault="00EE3F42" w:rsidP="00474F1D">
      <w:pPr>
        <w:rPr>
          <w:rFonts w:eastAsia="Calibri"/>
          <w:bCs/>
          <w:sz w:val="20"/>
          <w:szCs w:val="20"/>
        </w:rPr>
      </w:pPr>
      <w:r>
        <w:rPr>
          <w:rFonts w:eastAsia="Calibri"/>
          <w:bCs/>
          <w:sz w:val="20"/>
          <w:szCs w:val="20"/>
        </w:rPr>
        <w:t>Plány zpřístupňování přímo řízených organizací MK byly sekretariátu VVOZP zaslány v přílohách.</w:t>
      </w:r>
    </w:p>
    <w:p w14:paraId="57A3EB7B" w14:textId="2A6B3FE3" w:rsidR="00DC430A" w:rsidRPr="00474F1D" w:rsidRDefault="00DC430A" w:rsidP="00DC430A">
      <w:pPr>
        <w:rPr>
          <w:rFonts w:cs="Arial"/>
          <w:sz w:val="20"/>
          <w:szCs w:val="20"/>
        </w:rPr>
      </w:pPr>
      <w:r w:rsidRPr="00474F1D">
        <w:rPr>
          <w:rFonts w:cs="Arial"/>
          <w:b/>
          <w:bCs/>
          <w:sz w:val="20"/>
          <w:szCs w:val="20"/>
          <w:lang w:eastAsia="cs-CZ"/>
        </w:rPr>
        <w:t xml:space="preserve">STANOVISKO K PLNĚNÍ: </w:t>
      </w:r>
      <w:r w:rsidR="00F82F45">
        <w:rPr>
          <w:rFonts w:cs="Arial"/>
          <w:b/>
          <w:bCs/>
          <w:sz w:val="20"/>
          <w:szCs w:val="20"/>
          <w:lang w:eastAsia="cs-CZ"/>
        </w:rPr>
        <w:t>Sp</w:t>
      </w:r>
      <w:r w:rsidRPr="00474F1D">
        <w:rPr>
          <w:rFonts w:cs="Arial"/>
          <w:b/>
          <w:bCs/>
          <w:sz w:val="20"/>
          <w:szCs w:val="20"/>
          <w:lang w:eastAsia="cs-CZ"/>
        </w:rPr>
        <w:t>lněno.</w:t>
      </w:r>
    </w:p>
    <w:p w14:paraId="468DAF9D" w14:textId="77777777" w:rsidR="00DC430A" w:rsidRPr="00A44CDD" w:rsidRDefault="00DC430A" w:rsidP="00DC430A">
      <w:pPr>
        <w:tabs>
          <w:tab w:val="left" w:pos="720"/>
        </w:tabs>
        <w:rPr>
          <w:rFonts w:cs="Arial"/>
          <w:b/>
          <w:bCs/>
          <w:sz w:val="20"/>
          <w:szCs w:val="20"/>
          <w:lang w:eastAsia="cs-CZ"/>
        </w:rPr>
      </w:pPr>
    </w:p>
    <w:p w14:paraId="44970362" w14:textId="4FE61038" w:rsidR="00DC430A" w:rsidRPr="000F4CCC" w:rsidRDefault="00DC430A" w:rsidP="000F4CCC">
      <w:pPr>
        <w:tabs>
          <w:tab w:val="left" w:pos="720"/>
        </w:tabs>
        <w:rPr>
          <w:rFonts w:cs="Arial"/>
          <w:b/>
          <w:bCs/>
          <w:sz w:val="20"/>
          <w:szCs w:val="20"/>
          <w:lang w:eastAsia="cs-CZ"/>
        </w:rPr>
      </w:pPr>
      <w:r w:rsidRPr="000F4CCC">
        <w:rPr>
          <w:rFonts w:cs="Arial"/>
          <w:b/>
          <w:bCs/>
          <w:sz w:val="20"/>
          <w:szCs w:val="20"/>
          <w:lang w:eastAsia="cs-CZ"/>
        </w:rPr>
        <w:t>PLNĚNÍ MMR:</w:t>
      </w:r>
    </w:p>
    <w:p w14:paraId="45B2B224" w14:textId="77777777" w:rsidR="000F4CCC" w:rsidRPr="000F4CCC" w:rsidRDefault="000F4CCC" w:rsidP="000F4CCC">
      <w:pPr>
        <w:rPr>
          <w:rFonts w:cs="Arial"/>
          <w:iCs/>
          <w:sz w:val="20"/>
          <w:szCs w:val="20"/>
        </w:rPr>
      </w:pPr>
      <w:r w:rsidRPr="000F4CCC">
        <w:rPr>
          <w:rFonts w:cs="Arial"/>
          <w:iCs/>
          <w:sz w:val="20"/>
          <w:szCs w:val="20"/>
        </w:rPr>
        <w:t>Uvedený plán nebyl ze strany MMR zatím zpracován.</w:t>
      </w:r>
    </w:p>
    <w:p w14:paraId="7368FA86" w14:textId="77777777" w:rsidR="000F4CCC" w:rsidRPr="000F4CCC" w:rsidRDefault="000F4CCC" w:rsidP="000F4CCC">
      <w:pPr>
        <w:rPr>
          <w:rFonts w:cs="Arial"/>
          <w:iCs/>
          <w:sz w:val="20"/>
          <w:szCs w:val="20"/>
        </w:rPr>
      </w:pPr>
      <w:r w:rsidRPr="000F4CCC">
        <w:rPr>
          <w:rFonts w:cs="Arial"/>
          <w:iCs/>
          <w:sz w:val="20"/>
          <w:szCs w:val="20"/>
        </w:rPr>
        <w:t>Problémem je zejména skutečnost, že se jedná o památkově chráněné objekty či objekty umístěné v městské památkové rezervaci na území hl. m. Prahy. Jednotlivé stavební zásahy a úpravy musí být projednány a realizovány i ve spolupráci s orgány státní památkové péče. Jednotlivé rekonstrukce jsou rovněž odvislé od omezených možností veřejných rozpočtů.</w:t>
      </w:r>
    </w:p>
    <w:p w14:paraId="480920EA" w14:textId="10309159" w:rsidR="000F4CCC" w:rsidRPr="000F4CCC" w:rsidRDefault="000F4CCC" w:rsidP="000F4CCC">
      <w:pPr>
        <w:rPr>
          <w:rFonts w:cs="Arial"/>
          <w:iCs/>
          <w:sz w:val="20"/>
          <w:szCs w:val="20"/>
        </w:rPr>
      </w:pPr>
      <w:r w:rsidRPr="000F4CCC">
        <w:rPr>
          <w:rFonts w:cs="Arial"/>
          <w:iCs/>
          <w:sz w:val="20"/>
          <w:szCs w:val="20"/>
        </w:rPr>
        <w:lastRenderedPageBreak/>
        <w:t>MMR nicméně i dle plánu veřejných zakázek na rok 2024 realizuje některá dílčí opatření týkající se přístupnosti budov, zejména postupnou modernizaci EPS, úpravu vstupního prostoru v objektu na Staroměstském náměstí apod.</w:t>
      </w:r>
      <w:r w:rsidR="00E14F96">
        <w:rPr>
          <w:rFonts w:cs="Arial"/>
          <w:iCs/>
          <w:sz w:val="20"/>
          <w:szCs w:val="20"/>
        </w:rPr>
        <w:t xml:space="preserve"> </w:t>
      </w:r>
    </w:p>
    <w:p w14:paraId="7069AF46" w14:textId="36934F3F" w:rsidR="00DC430A" w:rsidRPr="000F4CCC" w:rsidRDefault="00DC430A" w:rsidP="000F4CCC">
      <w:pPr>
        <w:keepNext/>
        <w:tabs>
          <w:tab w:val="left" w:pos="720"/>
        </w:tabs>
        <w:rPr>
          <w:rFonts w:cs="Arial"/>
          <w:b/>
          <w:bCs/>
          <w:sz w:val="20"/>
          <w:szCs w:val="20"/>
          <w:lang w:eastAsia="cs-CZ"/>
        </w:rPr>
      </w:pPr>
      <w:r w:rsidRPr="00CD790D">
        <w:rPr>
          <w:rFonts w:cs="Arial"/>
          <w:b/>
          <w:bCs/>
          <w:sz w:val="20"/>
          <w:szCs w:val="20"/>
          <w:lang w:eastAsia="cs-CZ"/>
        </w:rPr>
        <w:t xml:space="preserve">STANOVISKO K PLNĚNÍ: </w:t>
      </w:r>
      <w:r w:rsidR="000123FB" w:rsidRPr="00CD790D">
        <w:rPr>
          <w:rFonts w:cs="Arial"/>
          <w:b/>
          <w:bCs/>
          <w:sz w:val="20"/>
          <w:szCs w:val="20"/>
          <w:lang w:eastAsia="cs-CZ"/>
        </w:rPr>
        <w:t>Nesp</w:t>
      </w:r>
      <w:r w:rsidRPr="00CD790D">
        <w:rPr>
          <w:rFonts w:cs="Arial"/>
          <w:b/>
          <w:bCs/>
          <w:sz w:val="20"/>
          <w:szCs w:val="20"/>
          <w:lang w:eastAsia="cs-CZ"/>
        </w:rPr>
        <w:t>lněno.</w:t>
      </w:r>
      <w:r w:rsidR="00E14F96" w:rsidRPr="00CD790D">
        <w:rPr>
          <w:rFonts w:cs="Arial"/>
          <w:b/>
          <w:bCs/>
          <w:sz w:val="20"/>
          <w:szCs w:val="20"/>
          <w:lang w:eastAsia="cs-CZ"/>
        </w:rPr>
        <w:t xml:space="preserve"> Navržen posun termínu </w:t>
      </w:r>
      <w:r w:rsidR="00CD790D">
        <w:rPr>
          <w:rFonts w:cs="Arial"/>
          <w:b/>
          <w:bCs/>
          <w:sz w:val="20"/>
          <w:szCs w:val="20"/>
          <w:lang w:eastAsia="cs-CZ"/>
        </w:rPr>
        <w:t xml:space="preserve">do </w:t>
      </w:r>
      <w:proofErr w:type="gramStart"/>
      <w:r w:rsidR="00E14F96" w:rsidRPr="00CD790D">
        <w:rPr>
          <w:rFonts w:cs="Arial"/>
          <w:b/>
          <w:bCs/>
          <w:sz w:val="20"/>
          <w:szCs w:val="20"/>
          <w:lang w:eastAsia="cs-CZ"/>
        </w:rPr>
        <w:t>31.12.2024</w:t>
      </w:r>
      <w:proofErr w:type="gramEnd"/>
      <w:r w:rsidR="00E14F96" w:rsidRPr="00CD790D">
        <w:rPr>
          <w:rFonts w:cs="Arial"/>
          <w:b/>
          <w:bCs/>
          <w:sz w:val="20"/>
          <w:szCs w:val="20"/>
          <w:lang w:eastAsia="cs-CZ"/>
        </w:rPr>
        <w:t>.</w:t>
      </w:r>
    </w:p>
    <w:p w14:paraId="2176071E" w14:textId="77777777" w:rsidR="00DC430A" w:rsidRPr="000B2A0E" w:rsidRDefault="00DC430A" w:rsidP="00DC430A">
      <w:pPr>
        <w:rPr>
          <w:rFonts w:cs="Arial"/>
          <w:sz w:val="20"/>
          <w:szCs w:val="20"/>
        </w:rPr>
      </w:pPr>
    </w:p>
    <w:p w14:paraId="47FBD8F3" w14:textId="20E2CED1" w:rsidR="00DC430A" w:rsidRPr="00B36583" w:rsidRDefault="00DC430A" w:rsidP="00B36583">
      <w:pPr>
        <w:tabs>
          <w:tab w:val="left" w:pos="720"/>
        </w:tabs>
        <w:rPr>
          <w:rFonts w:cs="Arial"/>
          <w:b/>
          <w:bCs/>
          <w:sz w:val="20"/>
          <w:szCs w:val="20"/>
          <w:lang w:eastAsia="cs-CZ"/>
        </w:rPr>
      </w:pPr>
      <w:r w:rsidRPr="00B36583">
        <w:rPr>
          <w:rFonts w:cs="Arial"/>
          <w:b/>
          <w:bCs/>
          <w:sz w:val="20"/>
          <w:szCs w:val="20"/>
          <w:lang w:eastAsia="cs-CZ"/>
        </w:rPr>
        <w:t>PLNĚNÍ MO:</w:t>
      </w:r>
    </w:p>
    <w:p w14:paraId="507E7948" w14:textId="77777777" w:rsidR="00B36583" w:rsidRPr="00636430" w:rsidRDefault="00B36583" w:rsidP="00B36583">
      <w:pPr>
        <w:rPr>
          <w:rFonts w:cs="Arial"/>
          <w:bCs/>
          <w:sz w:val="20"/>
          <w:szCs w:val="20"/>
        </w:rPr>
      </w:pPr>
      <w:r w:rsidRPr="00636430">
        <w:rPr>
          <w:rFonts w:cs="Arial"/>
          <w:bCs/>
          <w:sz w:val="20"/>
          <w:szCs w:val="20"/>
        </w:rPr>
        <w:t>Objekt Ministerstva obrany, tzv. budova MO-A na adrese nám. Svobody 471/4, má naplánovánu náročnou zásadní rekonstrukci, jejíž nedílnou součástí bude také komplexní řešení bezbariérových přístupů.</w:t>
      </w:r>
    </w:p>
    <w:p w14:paraId="1EFFA570" w14:textId="77777777" w:rsidR="00B36583" w:rsidRPr="00636430" w:rsidRDefault="00B36583" w:rsidP="00B36583">
      <w:pPr>
        <w:rPr>
          <w:rFonts w:cs="Arial"/>
          <w:bCs/>
          <w:sz w:val="20"/>
          <w:szCs w:val="20"/>
        </w:rPr>
      </w:pPr>
      <w:r w:rsidRPr="00636430">
        <w:rPr>
          <w:rFonts w:cs="Arial"/>
          <w:bCs/>
          <w:sz w:val="20"/>
          <w:szCs w:val="20"/>
        </w:rPr>
        <w:t>U zbývajících objektů z důvodu dostupného objemu finančních prostředků nebyly naplánovány žádné stavební úpravy. Plán pro další realizace bude průběžně revidován a doplněn do 31. prosince 2024 podle aktuálního vývoje. Jedná se o následující objekty:</w:t>
      </w:r>
    </w:p>
    <w:p w14:paraId="507A6AD7" w14:textId="77777777" w:rsidR="00B36583" w:rsidRPr="00636430" w:rsidRDefault="00B36583" w:rsidP="00B36583">
      <w:pPr>
        <w:contextualSpacing/>
        <w:rPr>
          <w:rFonts w:cs="Arial"/>
          <w:bCs/>
          <w:sz w:val="20"/>
          <w:szCs w:val="20"/>
        </w:rPr>
      </w:pPr>
      <w:r w:rsidRPr="00636430">
        <w:rPr>
          <w:rFonts w:cs="Arial"/>
          <w:bCs/>
          <w:sz w:val="20"/>
          <w:szCs w:val="20"/>
        </w:rPr>
        <w:t xml:space="preserve">- MO Valy, Tychonova 1, Praha, budova č. 1 </w:t>
      </w:r>
    </w:p>
    <w:p w14:paraId="036199F1" w14:textId="77777777" w:rsidR="00B36583" w:rsidRPr="00636430" w:rsidRDefault="00B36583" w:rsidP="00B36583">
      <w:pPr>
        <w:contextualSpacing/>
        <w:rPr>
          <w:rFonts w:cs="Arial"/>
          <w:bCs/>
          <w:sz w:val="20"/>
          <w:szCs w:val="20"/>
        </w:rPr>
      </w:pPr>
      <w:r w:rsidRPr="00636430">
        <w:rPr>
          <w:rFonts w:cs="Arial"/>
          <w:bCs/>
          <w:sz w:val="20"/>
          <w:szCs w:val="20"/>
        </w:rPr>
        <w:t xml:space="preserve">- Brno, Svatoplukova 84, budova č. 1 </w:t>
      </w:r>
    </w:p>
    <w:p w14:paraId="525B723D" w14:textId="77777777" w:rsidR="00B36583" w:rsidRPr="00636430" w:rsidRDefault="00B36583" w:rsidP="00B36583">
      <w:pPr>
        <w:contextualSpacing/>
        <w:rPr>
          <w:rFonts w:cs="Arial"/>
          <w:bCs/>
          <w:sz w:val="20"/>
          <w:szCs w:val="20"/>
        </w:rPr>
      </w:pPr>
      <w:r w:rsidRPr="00636430">
        <w:rPr>
          <w:rFonts w:cs="Arial"/>
          <w:bCs/>
          <w:sz w:val="20"/>
          <w:szCs w:val="20"/>
        </w:rPr>
        <w:t xml:space="preserve">- Praha, Rooseveltova ul.620/23 </w:t>
      </w:r>
    </w:p>
    <w:p w14:paraId="193A7723" w14:textId="77777777" w:rsidR="00B36583" w:rsidRPr="00636430" w:rsidRDefault="00B36583" w:rsidP="00B36583">
      <w:pPr>
        <w:contextualSpacing/>
        <w:rPr>
          <w:rFonts w:cs="Arial"/>
          <w:bCs/>
          <w:sz w:val="20"/>
          <w:szCs w:val="20"/>
        </w:rPr>
      </w:pPr>
      <w:r w:rsidRPr="00636430">
        <w:rPr>
          <w:rFonts w:cs="Arial"/>
          <w:bCs/>
          <w:sz w:val="20"/>
          <w:szCs w:val="20"/>
        </w:rPr>
        <w:t xml:space="preserve">- Brno, Svatoplukova 84, budova č. 2 </w:t>
      </w:r>
    </w:p>
    <w:p w14:paraId="72F93F8C" w14:textId="77777777" w:rsidR="00B36583" w:rsidRPr="00636430" w:rsidRDefault="00B36583" w:rsidP="00B36583">
      <w:pPr>
        <w:contextualSpacing/>
        <w:rPr>
          <w:rFonts w:cs="Arial"/>
          <w:bCs/>
          <w:sz w:val="20"/>
          <w:szCs w:val="20"/>
        </w:rPr>
      </w:pPr>
      <w:r w:rsidRPr="00636430">
        <w:rPr>
          <w:rFonts w:cs="Arial"/>
          <w:bCs/>
          <w:sz w:val="20"/>
          <w:szCs w:val="20"/>
        </w:rPr>
        <w:t xml:space="preserve">- Pardubice, Teplého 2795, budova C </w:t>
      </w:r>
    </w:p>
    <w:p w14:paraId="5F07C2C9" w14:textId="77777777" w:rsidR="00B36583" w:rsidRPr="00636430" w:rsidRDefault="00B36583" w:rsidP="00B36583">
      <w:pPr>
        <w:contextualSpacing/>
        <w:rPr>
          <w:rFonts w:cs="Arial"/>
          <w:bCs/>
          <w:sz w:val="20"/>
          <w:szCs w:val="20"/>
        </w:rPr>
      </w:pPr>
      <w:r w:rsidRPr="00636430">
        <w:rPr>
          <w:rFonts w:cs="Arial"/>
          <w:bCs/>
          <w:sz w:val="20"/>
          <w:szCs w:val="20"/>
        </w:rPr>
        <w:t xml:space="preserve">- Praha, Generála Píky 1, budova č. 5 </w:t>
      </w:r>
    </w:p>
    <w:p w14:paraId="47C88CA2" w14:textId="77777777" w:rsidR="00B36583" w:rsidRPr="00636430" w:rsidRDefault="00B36583" w:rsidP="00B36583">
      <w:pPr>
        <w:contextualSpacing/>
        <w:rPr>
          <w:rFonts w:cs="Arial"/>
          <w:bCs/>
          <w:sz w:val="20"/>
          <w:szCs w:val="20"/>
        </w:rPr>
      </w:pPr>
      <w:r w:rsidRPr="00636430">
        <w:rPr>
          <w:rFonts w:cs="Arial"/>
          <w:bCs/>
          <w:sz w:val="20"/>
          <w:szCs w:val="20"/>
        </w:rPr>
        <w:t xml:space="preserve">- Olomouc, Dobrovského 6, budova č. 4 </w:t>
      </w:r>
    </w:p>
    <w:p w14:paraId="73C8071A" w14:textId="77777777" w:rsidR="00B36583" w:rsidRPr="00636430" w:rsidRDefault="00B36583" w:rsidP="00B36583">
      <w:pPr>
        <w:contextualSpacing/>
        <w:rPr>
          <w:rFonts w:cs="Arial"/>
          <w:bCs/>
          <w:sz w:val="20"/>
          <w:szCs w:val="20"/>
        </w:rPr>
      </w:pPr>
      <w:r w:rsidRPr="00636430">
        <w:rPr>
          <w:rFonts w:cs="Arial"/>
          <w:bCs/>
          <w:sz w:val="20"/>
          <w:szCs w:val="20"/>
        </w:rPr>
        <w:t xml:space="preserve">- Pardubice, Teplého 2795, budova C </w:t>
      </w:r>
    </w:p>
    <w:p w14:paraId="3824E4EB" w14:textId="6D275087" w:rsidR="00AB7FEB" w:rsidRPr="00636430" w:rsidRDefault="00B36583" w:rsidP="00B36583">
      <w:pPr>
        <w:rPr>
          <w:rFonts w:cs="Arial"/>
          <w:bCs/>
          <w:sz w:val="20"/>
          <w:szCs w:val="20"/>
        </w:rPr>
      </w:pPr>
      <w:r w:rsidRPr="00636430">
        <w:rPr>
          <w:rFonts w:cs="Arial"/>
          <w:bCs/>
          <w:sz w:val="20"/>
          <w:szCs w:val="20"/>
        </w:rPr>
        <w:t xml:space="preserve">- České Budějovice, Žižkova 37, budova č. 37 </w:t>
      </w:r>
    </w:p>
    <w:p w14:paraId="184939A4" w14:textId="708E6F8E" w:rsidR="004F660E" w:rsidRPr="00636430" w:rsidRDefault="004F660E" w:rsidP="004F660E">
      <w:pPr>
        <w:spacing w:before="120"/>
        <w:rPr>
          <w:rFonts w:cs="Arial"/>
          <w:sz w:val="20"/>
          <w:szCs w:val="20"/>
        </w:rPr>
      </w:pPr>
      <w:r w:rsidRPr="00636430">
        <w:rPr>
          <w:rFonts w:cs="Arial"/>
          <w:sz w:val="20"/>
          <w:szCs w:val="20"/>
        </w:rPr>
        <w:t>MO žádá o prodloužení termínu do 31. prosince 2024.</w:t>
      </w:r>
    </w:p>
    <w:p w14:paraId="23BEADF5" w14:textId="65DB1CF4" w:rsidR="00DC430A" w:rsidRPr="00B36583" w:rsidRDefault="00DC430A" w:rsidP="00B36583">
      <w:pPr>
        <w:keepNext/>
        <w:tabs>
          <w:tab w:val="left" w:pos="720"/>
        </w:tabs>
        <w:rPr>
          <w:rFonts w:cs="Arial"/>
          <w:sz w:val="20"/>
          <w:szCs w:val="20"/>
        </w:rPr>
      </w:pPr>
      <w:r w:rsidRPr="00B36583">
        <w:rPr>
          <w:rFonts w:cs="Arial"/>
          <w:b/>
          <w:bCs/>
          <w:sz w:val="20"/>
          <w:szCs w:val="20"/>
          <w:lang w:eastAsia="cs-CZ"/>
        </w:rPr>
        <w:t xml:space="preserve">STANOVISKO K PLNĚNÍ: </w:t>
      </w:r>
      <w:r w:rsidR="00B36583" w:rsidRPr="001D2456">
        <w:rPr>
          <w:rFonts w:cs="Arial"/>
          <w:b/>
          <w:bCs/>
          <w:sz w:val="20"/>
          <w:szCs w:val="20"/>
          <w:lang w:eastAsia="cs-CZ"/>
        </w:rPr>
        <w:t>Nes</w:t>
      </w:r>
      <w:r w:rsidR="00B36583" w:rsidRPr="001D2456">
        <w:rPr>
          <w:rFonts w:cs="Arial"/>
          <w:b/>
          <w:sz w:val="20"/>
          <w:szCs w:val="20"/>
        </w:rPr>
        <w:t>p</w:t>
      </w:r>
      <w:r w:rsidRPr="001D2456">
        <w:rPr>
          <w:rFonts w:cs="Arial"/>
          <w:b/>
          <w:sz w:val="20"/>
          <w:szCs w:val="20"/>
        </w:rPr>
        <w:t>lněno.</w:t>
      </w:r>
      <w:r w:rsidR="00B36583" w:rsidRPr="001D2456">
        <w:rPr>
          <w:rFonts w:cs="Arial"/>
          <w:b/>
          <w:sz w:val="20"/>
          <w:szCs w:val="20"/>
        </w:rPr>
        <w:t xml:space="preserve"> Navržen posun termínu do </w:t>
      </w:r>
      <w:proofErr w:type="gramStart"/>
      <w:r w:rsidR="00B36583" w:rsidRPr="001D2456">
        <w:rPr>
          <w:rFonts w:cs="Arial"/>
          <w:b/>
          <w:sz w:val="20"/>
          <w:szCs w:val="20"/>
        </w:rPr>
        <w:t>31.12.2024</w:t>
      </w:r>
      <w:proofErr w:type="gramEnd"/>
      <w:r w:rsidR="00B36583" w:rsidRPr="001D2456">
        <w:rPr>
          <w:rFonts w:cs="Arial"/>
          <w:b/>
          <w:sz w:val="20"/>
          <w:szCs w:val="20"/>
        </w:rPr>
        <w:t>.</w:t>
      </w:r>
    </w:p>
    <w:p w14:paraId="65245503" w14:textId="77777777" w:rsidR="00DC430A" w:rsidRPr="000B2A0E" w:rsidRDefault="00DC430A" w:rsidP="00DC430A">
      <w:pPr>
        <w:rPr>
          <w:rFonts w:cs="Arial"/>
          <w:sz w:val="20"/>
          <w:szCs w:val="20"/>
        </w:rPr>
      </w:pPr>
    </w:p>
    <w:p w14:paraId="3DDE3918" w14:textId="4963852E" w:rsidR="00DC430A" w:rsidRPr="00F94EAF" w:rsidRDefault="00DC430A" w:rsidP="00F94EAF">
      <w:pPr>
        <w:tabs>
          <w:tab w:val="left" w:pos="720"/>
        </w:tabs>
        <w:rPr>
          <w:rFonts w:cs="Arial"/>
          <w:b/>
          <w:bCs/>
          <w:sz w:val="20"/>
          <w:szCs w:val="20"/>
          <w:lang w:eastAsia="cs-CZ"/>
        </w:rPr>
      </w:pPr>
      <w:r w:rsidRPr="00F94EAF">
        <w:rPr>
          <w:rFonts w:cs="Arial"/>
          <w:b/>
          <w:bCs/>
          <w:sz w:val="20"/>
          <w:szCs w:val="20"/>
          <w:lang w:eastAsia="cs-CZ"/>
        </w:rPr>
        <w:t>PLNĚNÍ MPO:</w:t>
      </w:r>
    </w:p>
    <w:p w14:paraId="09F91818" w14:textId="7CB35629" w:rsidR="00F94EAF" w:rsidRPr="00F94EAF" w:rsidRDefault="00F94EAF" w:rsidP="00F94EAF">
      <w:pPr>
        <w:rPr>
          <w:rFonts w:cs="Arial"/>
          <w:sz w:val="20"/>
          <w:szCs w:val="20"/>
        </w:rPr>
      </w:pPr>
      <w:r w:rsidRPr="00F94EAF">
        <w:rPr>
          <w:rFonts w:cs="Arial"/>
          <w:sz w:val="20"/>
          <w:szCs w:val="20"/>
        </w:rPr>
        <w:t>V souvislosti s plněním opatření byly osloveny všechny organizační složky a příspěvkové organizace v působnosti MPO, aby plán zpřístupňování vytvořily a zahájily přípravu jeho realizace. Po vyhodnocení požadavku došly podobně jako MPO k závěrům, že užívané objekty přístupnost splňují, nebo ji splňují alespoň prostory určené pro veřejnost. Kde je realizace opatření ke zlepšení přístupnosti možná, jsou taková opatření naplánována, případně zapracována do projektové dokumentace rekonstrukce celého objektu. V řadě případů, a to z důvodu památkové ochrany objektů či neadekvátní finanční náročnosti nutných stavebních úprav, nejsou/nemohou být opatření ke zlepšení přístupnosti plánována. Do plánu nebyly zařazeny ani objekty, ve kterých jsou pracoviště v působnosti našeho resortu pouze v pronájmu.</w:t>
      </w:r>
    </w:p>
    <w:p w14:paraId="114121DE" w14:textId="7FACA89E" w:rsidR="00DC430A" w:rsidRPr="00F94EAF" w:rsidRDefault="00DC430A" w:rsidP="00F94EAF">
      <w:pPr>
        <w:rPr>
          <w:rFonts w:cs="Arial"/>
          <w:b/>
          <w:sz w:val="20"/>
          <w:szCs w:val="20"/>
        </w:rPr>
      </w:pPr>
      <w:r w:rsidRPr="00F94EAF">
        <w:rPr>
          <w:rFonts w:cs="Arial"/>
          <w:b/>
          <w:bCs/>
          <w:sz w:val="20"/>
          <w:szCs w:val="20"/>
          <w:lang w:eastAsia="cs-CZ"/>
        </w:rPr>
        <w:t>STANOVISKO K </w:t>
      </w:r>
      <w:r w:rsidRPr="003775F1">
        <w:rPr>
          <w:rFonts w:cs="Arial"/>
          <w:b/>
          <w:bCs/>
          <w:sz w:val="20"/>
          <w:szCs w:val="20"/>
          <w:lang w:eastAsia="cs-CZ"/>
        </w:rPr>
        <w:t xml:space="preserve">PLNĚNÍ: </w:t>
      </w:r>
      <w:r w:rsidR="00351F5F" w:rsidRPr="003775F1">
        <w:rPr>
          <w:rFonts w:cs="Arial"/>
          <w:b/>
          <w:bCs/>
          <w:sz w:val="20"/>
          <w:szCs w:val="20"/>
          <w:lang w:eastAsia="cs-CZ"/>
        </w:rPr>
        <w:t>S</w:t>
      </w:r>
      <w:r w:rsidR="00351F5F" w:rsidRPr="003775F1">
        <w:rPr>
          <w:rFonts w:cs="Arial"/>
          <w:b/>
          <w:sz w:val="20"/>
          <w:szCs w:val="20"/>
        </w:rPr>
        <w:t>p</w:t>
      </w:r>
      <w:r w:rsidRPr="003775F1">
        <w:rPr>
          <w:rFonts w:cs="Arial"/>
          <w:b/>
          <w:sz w:val="20"/>
          <w:szCs w:val="20"/>
        </w:rPr>
        <w:t>lněno.</w:t>
      </w:r>
    </w:p>
    <w:p w14:paraId="0ABCF474" w14:textId="77777777" w:rsidR="00DC430A" w:rsidRPr="00EA3148" w:rsidRDefault="00DC430A" w:rsidP="00DC430A">
      <w:pPr>
        <w:rPr>
          <w:rFonts w:cs="Arial"/>
          <w:sz w:val="20"/>
          <w:szCs w:val="20"/>
        </w:rPr>
      </w:pPr>
    </w:p>
    <w:p w14:paraId="0DFABF77" w14:textId="4459D747" w:rsidR="00DC430A" w:rsidRPr="00F3041E" w:rsidRDefault="00DC430A" w:rsidP="00DC430A">
      <w:pPr>
        <w:keepNext/>
        <w:tabs>
          <w:tab w:val="left" w:pos="720"/>
        </w:tabs>
        <w:rPr>
          <w:rFonts w:cs="Arial"/>
          <w:b/>
          <w:bCs/>
          <w:sz w:val="20"/>
          <w:szCs w:val="20"/>
          <w:lang w:eastAsia="cs-CZ"/>
        </w:rPr>
      </w:pPr>
      <w:r w:rsidRPr="00F3041E">
        <w:rPr>
          <w:rFonts w:cs="Arial"/>
          <w:b/>
          <w:bCs/>
          <w:sz w:val="20"/>
          <w:szCs w:val="20"/>
          <w:lang w:eastAsia="cs-CZ"/>
        </w:rPr>
        <w:t>PLNĚNÍ MPSV:</w:t>
      </w:r>
    </w:p>
    <w:p w14:paraId="4A747CF2" w14:textId="18E68AE7" w:rsidR="00F3041E" w:rsidRPr="00F3041E" w:rsidRDefault="00F3041E" w:rsidP="00F3041E">
      <w:pPr>
        <w:rPr>
          <w:rFonts w:cs="Arial"/>
          <w:sz w:val="20"/>
          <w:szCs w:val="20"/>
        </w:rPr>
      </w:pPr>
      <w:r w:rsidRPr="00F3041E">
        <w:rPr>
          <w:rFonts w:cs="Arial"/>
          <w:sz w:val="20"/>
          <w:szCs w:val="20"/>
        </w:rPr>
        <w:t>Na MPSV byl v roce 2023 vypracován plán zpřístupňování těch</w:t>
      </w:r>
      <w:r w:rsidR="00CF1B85">
        <w:rPr>
          <w:rFonts w:cs="Arial"/>
          <w:sz w:val="20"/>
          <w:szCs w:val="20"/>
        </w:rPr>
        <w:t>to budov a byla podána zpráva o </w:t>
      </w:r>
      <w:r w:rsidRPr="00F3041E">
        <w:rPr>
          <w:rFonts w:cs="Arial"/>
          <w:sz w:val="20"/>
          <w:szCs w:val="20"/>
        </w:rPr>
        <w:t>krocích k jeho realizaci.</w:t>
      </w:r>
    </w:p>
    <w:p w14:paraId="45A4885F" w14:textId="3B3D834E" w:rsidR="00F3041E" w:rsidRPr="00F3041E" w:rsidRDefault="00F3041E" w:rsidP="00F3041E">
      <w:pPr>
        <w:rPr>
          <w:rFonts w:cs="Arial"/>
          <w:sz w:val="20"/>
          <w:szCs w:val="20"/>
        </w:rPr>
      </w:pPr>
      <w:r w:rsidRPr="00F3041E">
        <w:rPr>
          <w:rFonts w:cs="Arial"/>
          <w:sz w:val="20"/>
          <w:szCs w:val="20"/>
        </w:rPr>
        <w:t xml:space="preserve">ČSSZ na základě provedené analýzy o přístupnosti budov a zahájení činností pro uveřejnění karet přístupnosti objektů připraví do </w:t>
      </w:r>
      <w:proofErr w:type="gramStart"/>
      <w:r w:rsidRPr="00F3041E">
        <w:rPr>
          <w:rFonts w:cs="Arial"/>
          <w:sz w:val="20"/>
          <w:szCs w:val="20"/>
        </w:rPr>
        <w:t>30.09.2024</w:t>
      </w:r>
      <w:proofErr w:type="gramEnd"/>
      <w:r w:rsidRPr="00F3041E">
        <w:rPr>
          <w:rFonts w:cs="Arial"/>
          <w:sz w:val="20"/>
          <w:szCs w:val="20"/>
        </w:rPr>
        <w:t xml:space="preserve"> harmonogram a předloží jej resortu MPSV k vytvoření uceleného materiálu s návrhy realizace odstraňování přístupových bariér.</w:t>
      </w:r>
    </w:p>
    <w:p w14:paraId="678FE9FB" w14:textId="0C5CDED6" w:rsidR="00DC430A" w:rsidRPr="00F3041E" w:rsidRDefault="00DC430A" w:rsidP="00DC430A">
      <w:pPr>
        <w:keepNext/>
        <w:tabs>
          <w:tab w:val="left" w:pos="720"/>
        </w:tabs>
        <w:rPr>
          <w:rFonts w:cs="Arial"/>
          <w:b/>
          <w:bCs/>
          <w:sz w:val="20"/>
          <w:szCs w:val="20"/>
          <w:lang w:eastAsia="cs-CZ"/>
        </w:rPr>
      </w:pPr>
      <w:r w:rsidRPr="00F3041E">
        <w:rPr>
          <w:rFonts w:cs="Arial"/>
          <w:b/>
          <w:bCs/>
          <w:sz w:val="20"/>
          <w:szCs w:val="20"/>
          <w:lang w:eastAsia="cs-CZ"/>
        </w:rPr>
        <w:t>STANOVISKO K </w:t>
      </w:r>
      <w:r w:rsidRPr="004B525D">
        <w:rPr>
          <w:rFonts w:cs="Arial"/>
          <w:b/>
          <w:bCs/>
          <w:sz w:val="20"/>
          <w:szCs w:val="20"/>
          <w:lang w:eastAsia="cs-CZ"/>
        </w:rPr>
        <w:t xml:space="preserve">PLNĚNÍ: </w:t>
      </w:r>
      <w:r w:rsidR="00F3041E" w:rsidRPr="004B525D">
        <w:rPr>
          <w:rFonts w:cs="Arial"/>
          <w:b/>
          <w:bCs/>
          <w:sz w:val="20"/>
          <w:szCs w:val="20"/>
          <w:lang w:eastAsia="cs-CZ"/>
        </w:rPr>
        <w:t>Nes</w:t>
      </w:r>
      <w:r w:rsidR="00F3041E" w:rsidRPr="004B525D">
        <w:rPr>
          <w:rFonts w:cs="Arial"/>
          <w:b/>
          <w:sz w:val="20"/>
          <w:szCs w:val="20"/>
        </w:rPr>
        <w:t>p</w:t>
      </w:r>
      <w:r w:rsidRPr="004B525D">
        <w:rPr>
          <w:rFonts w:cs="Arial"/>
          <w:b/>
          <w:sz w:val="20"/>
          <w:szCs w:val="20"/>
        </w:rPr>
        <w:t>lněno.</w:t>
      </w:r>
      <w:r w:rsidR="00F3041E" w:rsidRPr="004B525D">
        <w:rPr>
          <w:rFonts w:cs="Arial"/>
          <w:b/>
          <w:sz w:val="20"/>
          <w:szCs w:val="20"/>
        </w:rPr>
        <w:t xml:space="preserve"> Navržen posun termínu do </w:t>
      </w:r>
      <w:proofErr w:type="gramStart"/>
      <w:r w:rsidR="00F3041E" w:rsidRPr="004B525D">
        <w:rPr>
          <w:rFonts w:cs="Arial"/>
          <w:b/>
          <w:sz w:val="20"/>
          <w:szCs w:val="20"/>
        </w:rPr>
        <w:t>31.12.2024</w:t>
      </w:r>
      <w:proofErr w:type="gramEnd"/>
      <w:r w:rsidR="00F3041E" w:rsidRPr="004B525D">
        <w:rPr>
          <w:rFonts w:cs="Arial"/>
          <w:b/>
          <w:sz w:val="20"/>
          <w:szCs w:val="20"/>
        </w:rPr>
        <w:t>.</w:t>
      </w:r>
    </w:p>
    <w:p w14:paraId="17103367" w14:textId="77777777" w:rsidR="00DC430A" w:rsidRPr="00F3041E" w:rsidRDefault="00DC430A" w:rsidP="00DC430A">
      <w:pPr>
        <w:rPr>
          <w:rFonts w:cs="Arial"/>
          <w:sz w:val="20"/>
          <w:szCs w:val="20"/>
        </w:rPr>
      </w:pPr>
    </w:p>
    <w:p w14:paraId="6390BB80" w14:textId="299B9305" w:rsidR="00DC430A" w:rsidRPr="00F15C22" w:rsidRDefault="00DC430A" w:rsidP="00F15C22">
      <w:pPr>
        <w:tabs>
          <w:tab w:val="left" w:pos="720"/>
        </w:tabs>
        <w:rPr>
          <w:rFonts w:cs="Arial"/>
          <w:b/>
          <w:bCs/>
          <w:sz w:val="20"/>
          <w:szCs w:val="20"/>
          <w:lang w:eastAsia="cs-CZ"/>
        </w:rPr>
      </w:pPr>
      <w:r w:rsidRPr="00F15C22">
        <w:rPr>
          <w:rFonts w:cs="Arial"/>
          <w:b/>
          <w:bCs/>
          <w:sz w:val="20"/>
          <w:szCs w:val="20"/>
          <w:lang w:eastAsia="cs-CZ"/>
        </w:rPr>
        <w:t>PLNĚNÍ MSp:</w:t>
      </w:r>
    </w:p>
    <w:p w14:paraId="5063FF28" w14:textId="2CACB21F" w:rsidR="00F15C22" w:rsidRPr="00F15C22" w:rsidRDefault="00F15C22" w:rsidP="00F15C22">
      <w:pPr>
        <w:rPr>
          <w:rFonts w:cs="Arial"/>
          <w:sz w:val="20"/>
          <w:szCs w:val="20"/>
        </w:rPr>
      </w:pPr>
      <w:r w:rsidRPr="00F15C22">
        <w:rPr>
          <w:rFonts w:cs="Arial"/>
          <w:sz w:val="20"/>
          <w:szCs w:val="20"/>
        </w:rPr>
        <w:t>V návaznosti na předchozí opatření vytvořilo MSp prostřednictvím OIM „Plán zpřístupňování budov v působnosti resortu Ministerstva spravedlnosti na roky 2024–2025“, který byl schvále</w:t>
      </w:r>
      <w:r w:rsidR="00C80352">
        <w:rPr>
          <w:rFonts w:cs="Arial"/>
          <w:sz w:val="20"/>
          <w:szCs w:val="20"/>
        </w:rPr>
        <w:t xml:space="preserve">n náměstkem člena vlády dne </w:t>
      </w:r>
      <w:proofErr w:type="gramStart"/>
      <w:r w:rsidR="00C80352">
        <w:rPr>
          <w:rFonts w:cs="Arial"/>
          <w:sz w:val="20"/>
          <w:szCs w:val="20"/>
        </w:rPr>
        <w:t>20.12.</w:t>
      </w:r>
      <w:r w:rsidRPr="00F15C22">
        <w:rPr>
          <w:rFonts w:cs="Arial"/>
          <w:sz w:val="20"/>
          <w:szCs w:val="20"/>
        </w:rPr>
        <w:t>2023</w:t>
      </w:r>
      <w:proofErr w:type="gramEnd"/>
      <w:r w:rsidRPr="00F15C22">
        <w:rPr>
          <w:rFonts w:cs="Arial"/>
          <w:sz w:val="20"/>
          <w:szCs w:val="20"/>
        </w:rPr>
        <w:t xml:space="preserve"> a je </w:t>
      </w:r>
      <w:r w:rsidR="00C80352">
        <w:rPr>
          <w:rFonts w:cs="Arial"/>
          <w:sz w:val="20"/>
          <w:szCs w:val="20"/>
        </w:rPr>
        <w:t>zaslán</w:t>
      </w:r>
      <w:r w:rsidRPr="00F15C22">
        <w:rPr>
          <w:rFonts w:cs="Arial"/>
          <w:sz w:val="20"/>
          <w:szCs w:val="20"/>
        </w:rPr>
        <w:t xml:space="preserve"> v samostatném souboru.</w:t>
      </w:r>
    </w:p>
    <w:p w14:paraId="42760979" w14:textId="1226650F" w:rsidR="00DC430A" w:rsidRPr="00F15C22" w:rsidRDefault="00DC430A" w:rsidP="00F15C22">
      <w:pPr>
        <w:keepNext/>
        <w:tabs>
          <w:tab w:val="left" w:pos="720"/>
        </w:tabs>
        <w:rPr>
          <w:rFonts w:cs="Arial"/>
          <w:b/>
          <w:bCs/>
          <w:sz w:val="20"/>
          <w:szCs w:val="20"/>
          <w:lang w:eastAsia="cs-CZ"/>
        </w:rPr>
      </w:pPr>
      <w:r w:rsidRPr="00F15C22">
        <w:rPr>
          <w:rFonts w:cs="Arial"/>
          <w:b/>
          <w:bCs/>
          <w:sz w:val="20"/>
          <w:szCs w:val="20"/>
          <w:lang w:eastAsia="cs-CZ"/>
        </w:rPr>
        <w:lastRenderedPageBreak/>
        <w:t xml:space="preserve">STANOVISKO K PLNĚNÍ: </w:t>
      </w:r>
      <w:r w:rsidR="00437ADF">
        <w:rPr>
          <w:rFonts w:cs="Arial"/>
          <w:b/>
          <w:sz w:val="20"/>
          <w:szCs w:val="20"/>
        </w:rPr>
        <w:t>Sp</w:t>
      </w:r>
      <w:r w:rsidRPr="00F15C22">
        <w:rPr>
          <w:rFonts w:cs="Arial"/>
          <w:b/>
          <w:sz w:val="20"/>
          <w:szCs w:val="20"/>
        </w:rPr>
        <w:t>lněno.</w:t>
      </w:r>
    </w:p>
    <w:p w14:paraId="455636FB" w14:textId="77777777" w:rsidR="00DC430A" w:rsidRPr="00400B58" w:rsidRDefault="00DC430A" w:rsidP="00DC430A">
      <w:pPr>
        <w:rPr>
          <w:rFonts w:cs="Arial"/>
          <w:sz w:val="20"/>
          <w:szCs w:val="20"/>
        </w:rPr>
      </w:pPr>
    </w:p>
    <w:p w14:paraId="178814BA" w14:textId="77777777" w:rsidR="00DC430A" w:rsidRPr="00FA3C95" w:rsidRDefault="00DC430A" w:rsidP="00DC430A">
      <w:pPr>
        <w:tabs>
          <w:tab w:val="left" w:pos="720"/>
        </w:tabs>
        <w:rPr>
          <w:rFonts w:cs="Arial"/>
          <w:b/>
          <w:bCs/>
          <w:sz w:val="20"/>
          <w:szCs w:val="20"/>
          <w:lang w:eastAsia="cs-CZ"/>
        </w:rPr>
      </w:pPr>
      <w:r w:rsidRPr="00FA3C95">
        <w:rPr>
          <w:rFonts w:cs="Arial"/>
          <w:b/>
          <w:bCs/>
          <w:sz w:val="20"/>
          <w:szCs w:val="20"/>
          <w:lang w:eastAsia="cs-CZ"/>
        </w:rPr>
        <w:t>PLNĚNÍ MŠMT:</w:t>
      </w:r>
    </w:p>
    <w:p w14:paraId="0410F6A3" w14:textId="39BAFCB9" w:rsidR="00FA3C95" w:rsidRPr="00FA3C95" w:rsidRDefault="00FA3C95" w:rsidP="00FA3C95">
      <w:pPr>
        <w:rPr>
          <w:rFonts w:cs="Arial"/>
          <w:sz w:val="20"/>
          <w:szCs w:val="20"/>
        </w:rPr>
      </w:pPr>
      <w:r w:rsidRPr="00FA3C95">
        <w:rPr>
          <w:rFonts w:cs="Arial"/>
          <w:sz w:val="20"/>
          <w:szCs w:val="20"/>
        </w:rPr>
        <w:t>Nelze realizovat z důvodu dlouhodobého nedostatku finančních prostředků – významné dlouhodobé podfinancování. Je nutno aby byly ze strany gestora NPPRP zajištěny do rozpočtu MŠMT prostředky nad rámec schváleného rozpočtu a na základě výše těchto prostředků bude následně sestaven plán realizace opatření. Z dostupných prostředků jsou zajišťovány pouze nutné investice většinou havarijní povahy, tak aby více než 600 objektů, které spadají pod MŠMT, bylo udrženo v provozu a poskytovaly požadované služby v odpovídající kvalitě.</w:t>
      </w:r>
    </w:p>
    <w:p w14:paraId="5A8FD95E" w14:textId="21B5EA8E" w:rsidR="00DC430A" w:rsidRPr="00FA3C95" w:rsidRDefault="00DC430A" w:rsidP="00DC430A">
      <w:pPr>
        <w:keepNext/>
        <w:tabs>
          <w:tab w:val="left" w:pos="720"/>
        </w:tabs>
        <w:rPr>
          <w:rFonts w:cs="Arial"/>
          <w:b/>
          <w:bCs/>
          <w:sz w:val="20"/>
          <w:szCs w:val="20"/>
          <w:lang w:eastAsia="cs-CZ"/>
        </w:rPr>
      </w:pPr>
      <w:r w:rsidRPr="00FA3C95">
        <w:rPr>
          <w:rFonts w:cs="Arial"/>
          <w:b/>
          <w:bCs/>
          <w:sz w:val="20"/>
          <w:szCs w:val="20"/>
          <w:lang w:eastAsia="cs-CZ"/>
        </w:rPr>
        <w:t>STANOVISKO K PLNĚNÍ</w:t>
      </w:r>
      <w:r w:rsidRPr="00A67742">
        <w:rPr>
          <w:rFonts w:cs="Arial"/>
          <w:b/>
          <w:bCs/>
          <w:sz w:val="20"/>
          <w:szCs w:val="20"/>
          <w:lang w:eastAsia="cs-CZ"/>
        </w:rPr>
        <w:t xml:space="preserve">: </w:t>
      </w:r>
      <w:r w:rsidR="00FA3C95" w:rsidRPr="00A67742">
        <w:rPr>
          <w:rFonts w:cs="Arial"/>
          <w:b/>
          <w:bCs/>
          <w:sz w:val="20"/>
          <w:szCs w:val="20"/>
          <w:lang w:eastAsia="cs-CZ"/>
        </w:rPr>
        <w:t>Nes</w:t>
      </w:r>
      <w:r w:rsidR="00FA3C95" w:rsidRPr="00A67742">
        <w:rPr>
          <w:rFonts w:cs="Arial"/>
          <w:b/>
          <w:sz w:val="20"/>
          <w:szCs w:val="20"/>
        </w:rPr>
        <w:t>p</w:t>
      </w:r>
      <w:r w:rsidRPr="00A67742">
        <w:rPr>
          <w:rFonts w:cs="Arial"/>
          <w:b/>
          <w:sz w:val="20"/>
          <w:szCs w:val="20"/>
        </w:rPr>
        <w:t>lněno.</w:t>
      </w:r>
      <w:r w:rsidR="0015686A" w:rsidRPr="00A67742">
        <w:rPr>
          <w:rFonts w:cs="Arial"/>
          <w:b/>
          <w:sz w:val="20"/>
          <w:szCs w:val="20"/>
        </w:rPr>
        <w:t xml:space="preserve"> Navržen posun termínu do </w:t>
      </w:r>
      <w:proofErr w:type="gramStart"/>
      <w:r w:rsidR="0015686A" w:rsidRPr="00A67742">
        <w:rPr>
          <w:rFonts w:cs="Arial"/>
          <w:b/>
          <w:sz w:val="20"/>
          <w:szCs w:val="20"/>
        </w:rPr>
        <w:t>31.12.2024</w:t>
      </w:r>
      <w:proofErr w:type="gramEnd"/>
      <w:r w:rsidR="0015686A" w:rsidRPr="00A67742">
        <w:rPr>
          <w:rFonts w:cs="Arial"/>
          <w:b/>
          <w:sz w:val="20"/>
          <w:szCs w:val="20"/>
        </w:rPr>
        <w:t>.</w:t>
      </w:r>
    </w:p>
    <w:p w14:paraId="5B92D505" w14:textId="77777777" w:rsidR="00DC430A" w:rsidRPr="00400B58" w:rsidRDefault="00DC430A" w:rsidP="00DC430A">
      <w:pPr>
        <w:rPr>
          <w:rFonts w:cs="Arial"/>
          <w:sz w:val="20"/>
          <w:szCs w:val="20"/>
        </w:rPr>
      </w:pPr>
    </w:p>
    <w:p w14:paraId="2B0313E8" w14:textId="77777777" w:rsidR="00DC430A" w:rsidRPr="0029289C" w:rsidRDefault="00DC430A" w:rsidP="0029289C">
      <w:pPr>
        <w:tabs>
          <w:tab w:val="left" w:pos="720"/>
        </w:tabs>
        <w:rPr>
          <w:rFonts w:cs="Arial"/>
          <w:b/>
          <w:bCs/>
          <w:sz w:val="20"/>
          <w:szCs w:val="20"/>
          <w:lang w:eastAsia="cs-CZ"/>
        </w:rPr>
      </w:pPr>
      <w:r w:rsidRPr="0029289C">
        <w:rPr>
          <w:rFonts w:cs="Arial"/>
          <w:b/>
          <w:bCs/>
          <w:sz w:val="20"/>
          <w:szCs w:val="20"/>
          <w:lang w:eastAsia="cs-CZ"/>
        </w:rPr>
        <w:t>PLNĚNÍ MV:</w:t>
      </w:r>
    </w:p>
    <w:p w14:paraId="37225A24" w14:textId="57BC8C74" w:rsidR="0029289C" w:rsidRPr="0029289C" w:rsidRDefault="0029289C" w:rsidP="0029289C">
      <w:pPr>
        <w:rPr>
          <w:rFonts w:cs="Arial"/>
          <w:sz w:val="20"/>
          <w:szCs w:val="20"/>
        </w:rPr>
      </w:pPr>
      <w:r w:rsidRPr="0029289C">
        <w:rPr>
          <w:rFonts w:cs="Arial"/>
          <w:sz w:val="20"/>
          <w:szCs w:val="20"/>
        </w:rPr>
        <w:t>Plán zpřístupňování budov v resortu Ministerstva vnitra je průběžn</w:t>
      </w:r>
      <w:r w:rsidR="008255FE">
        <w:rPr>
          <w:rFonts w:cs="Arial"/>
          <w:sz w:val="20"/>
          <w:szCs w:val="20"/>
        </w:rPr>
        <w:t>ě plněn. Odbor správy majetku a </w:t>
      </w:r>
      <w:r w:rsidRPr="0029289C">
        <w:rPr>
          <w:rFonts w:cs="Arial"/>
          <w:sz w:val="20"/>
          <w:szCs w:val="20"/>
        </w:rPr>
        <w:t>odbor programového financování mají v gesci činnosti týkající se plnění Národního rozvojového programu mobility pro všechny (dále jen „NRPM“) za resort Minist</w:t>
      </w:r>
      <w:r w:rsidR="008255FE">
        <w:rPr>
          <w:rFonts w:cs="Arial"/>
          <w:sz w:val="20"/>
          <w:szCs w:val="20"/>
        </w:rPr>
        <w:t>erstva vnitra, a to v souladu s </w:t>
      </w:r>
      <w:r w:rsidRPr="0029289C">
        <w:rPr>
          <w:rFonts w:cs="Arial"/>
          <w:sz w:val="20"/>
          <w:szCs w:val="20"/>
        </w:rPr>
        <w:t>usnesením vlády ze dne 14. července 2014 č. 568 k Vládnímu plánu financování NRPM na období 2016-2025 (dále jen „Usnesení“). Ze strany Úřadu vlády ČR, oddělení sekretariátu Vládního výboru pro osoby se zdravotním postižením, je snaha o pokračování tohoto programu i po roce 2025.</w:t>
      </w:r>
    </w:p>
    <w:p w14:paraId="5A8123A9" w14:textId="3F2C432B" w:rsidR="0029289C" w:rsidRPr="0029289C" w:rsidRDefault="0029289C" w:rsidP="00A216FF">
      <w:pPr>
        <w:rPr>
          <w:rFonts w:cs="Arial"/>
          <w:sz w:val="20"/>
          <w:szCs w:val="20"/>
        </w:rPr>
      </w:pPr>
      <w:r w:rsidRPr="00A216FF">
        <w:rPr>
          <w:rFonts w:cs="Arial"/>
          <w:sz w:val="20"/>
          <w:szCs w:val="20"/>
        </w:rPr>
        <w:t xml:space="preserve">Dle přílohy k </w:t>
      </w:r>
      <w:r w:rsidR="000365B5">
        <w:rPr>
          <w:rFonts w:cs="Arial"/>
          <w:sz w:val="20"/>
          <w:szCs w:val="20"/>
        </w:rPr>
        <w:t>u</w:t>
      </w:r>
      <w:r w:rsidRPr="00A216FF">
        <w:rPr>
          <w:rFonts w:cs="Arial"/>
          <w:sz w:val="20"/>
          <w:szCs w:val="20"/>
        </w:rPr>
        <w:t>snesení I. odst. 1 písm. f) se jedná o odstraňování bariér v budovách policejních služeben plně financované z rozpočtové kapitoly MV (ve výši 10 mil. Kč ročně – III. odst. 1 písm. f) přílohy k usnesení).</w:t>
      </w:r>
    </w:p>
    <w:p w14:paraId="288404F3" w14:textId="7FA3C6D5" w:rsidR="0029289C" w:rsidRPr="0029289C" w:rsidRDefault="0029289C" w:rsidP="0029289C">
      <w:pPr>
        <w:rPr>
          <w:rFonts w:cs="Arial"/>
          <w:sz w:val="20"/>
          <w:szCs w:val="20"/>
        </w:rPr>
      </w:pPr>
      <w:r w:rsidRPr="0029289C">
        <w:rPr>
          <w:rFonts w:cs="Arial"/>
          <w:sz w:val="20"/>
          <w:szCs w:val="20"/>
        </w:rPr>
        <w:t>Z provedené analýzy je zřejmé, že nejen služebny Policie ČR ale i další budovy v rámci re</w:t>
      </w:r>
      <w:r w:rsidR="002D4C3B">
        <w:rPr>
          <w:rFonts w:cs="Arial"/>
          <w:sz w:val="20"/>
          <w:szCs w:val="20"/>
        </w:rPr>
        <w:t>s</w:t>
      </w:r>
      <w:r w:rsidRPr="0029289C">
        <w:rPr>
          <w:rFonts w:cs="Arial"/>
          <w:sz w:val="20"/>
          <w:szCs w:val="20"/>
        </w:rPr>
        <w:t xml:space="preserve">ortu MV, nebo alespoň jejich prostory určené pro styk s veřejností jsou většinou přístupné pro imobilní občany (zejména se jedná o archivy – badatelny, resortní školská zařízení apod.).  </w:t>
      </w:r>
    </w:p>
    <w:p w14:paraId="0C9380A1" w14:textId="3B572A4D" w:rsidR="0029289C" w:rsidRPr="0029289C" w:rsidRDefault="0029289C" w:rsidP="0029289C">
      <w:pPr>
        <w:rPr>
          <w:rFonts w:cs="Arial"/>
          <w:sz w:val="20"/>
          <w:szCs w:val="20"/>
        </w:rPr>
      </w:pPr>
      <w:r w:rsidRPr="0029289C">
        <w:rPr>
          <w:rFonts w:cs="Arial"/>
          <w:sz w:val="20"/>
          <w:szCs w:val="20"/>
        </w:rPr>
        <w:t xml:space="preserve">V případě vlastního úřadu Ministerstva vnitra se jedná o budovy na ul. Milady Horákové (Letná), nám. Hrdinů, (CTX), Jindřišská, Na Pankráci, Olšanská. </w:t>
      </w:r>
    </w:p>
    <w:p w14:paraId="3405FE79" w14:textId="05DC1861" w:rsidR="0029289C" w:rsidRPr="0029289C" w:rsidRDefault="0029289C" w:rsidP="0029289C">
      <w:pPr>
        <w:rPr>
          <w:rFonts w:cs="Arial"/>
          <w:sz w:val="20"/>
          <w:szCs w:val="20"/>
        </w:rPr>
      </w:pPr>
      <w:r w:rsidRPr="0029289C">
        <w:rPr>
          <w:rFonts w:cs="Arial"/>
          <w:sz w:val="20"/>
          <w:szCs w:val="20"/>
        </w:rPr>
        <w:t>Objekt Letná má vybudován bezbariérový přístup pouze z ulice Milady Horákové, z ulice Nad Štolou se zatím toto nepodařilo zrealizovat z důvodu nesouhlasu útvaru památkové péče. Objekt Na Pankráci má kromě bezbariérového přístupu vybudováno komplexní pracoviště pro imobilní zaměstnance. Objekty CTX a Jindřišská disponují přístupem imobilních osob do přízemních prostor a objekt Olšanská je nyní v komplexní rekonstrukci kde je již přímo</w:t>
      </w:r>
      <w:r w:rsidR="008255FE">
        <w:rPr>
          <w:rFonts w:cs="Arial"/>
          <w:sz w:val="20"/>
          <w:szCs w:val="20"/>
        </w:rPr>
        <w:t xml:space="preserve"> v rámci projektu s přístupem a </w:t>
      </w:r>
      <w:r w:rsidRPr="0029289C">
        <w:rPr>
          <w:rFonts w:cs="Arial"/>
          <w:sz w:val="20"/>
          <w:szCs w:val="20"/>
        </w:rPr>
        <w:t>zaměstnáváním zdravotně postižených osob uvažováno (v plánu je přemístění OAMP z objektu Letná).</w:t>
      </w:r>
    </w:p>
    <w:p w14:paraId="5439D42E" w14:textId="432DB7C2" w:rsidR="0029289C" w:rsidRPr="0029289C" w:rsidRDefault="0029289C" w:rsidP="0029289C">
      <w:pPr>
        <w:rPr>
          <w:rFonts w:cs="Arial"/>
          <w:sz w:val="20"/>
          <w:szCs w:val="20"/>
        </w:rPr>
      </w:pPr>
      <w:r w:rsidRPr="0029289C">
        <w:rPr>
          <w:rFonts w:cs="Arial"/>
          <w:sz w:val="20"/>
          <w:szCs w:val="20"/>
        </w:rPr>
        <w:t>S ohledem na stavebně technický stav uvedených objektů, který by si vyžádal finančně náročné rekonstrukce a současně by nebyly vyřešeny další nevýhody jako je roztříštěnost úřadu na území města, nemožnost splnit aktuální nároky na požární bezpečnost apod.  se konečná dislokace úřadu Ministerstva vnitra předpokládá tak, že bude zachován stávající objekt Letná, kdy se v současné době již proje</w:t>
      </w:r>
      <w:r w:rsidR="00CF1B85">
        <w:rPr>
          <w:rFonts w:cs="Arial"/>
          <w:sz w:val="20"/>
          <w:szCs w:val="20"/>
        </w:rPr>
        <w:t>dnává zpracování architektonické</w:t>
      </w:r>
      <w:r w:rsidRPr="0029289C">
        <w:rPr>
          <w:rFonts w:cs="Arial"/>
          <w:sz w:val="20"/>
          <w:szCs w:val="20"/>
        </w:rPr>
        <w:t xml:space="preserve"> studie na celkovou rekonstrukci tzv. staré budovy. Pro zbývající útvary úřadu MV se předpokládá jejich umístění v nově realizovaném komplexu administrativních budov v areálu stávajících autodílen MV Veleslavín. Pro tento záměr je již vydáno pravomocné uzemní rozhodnutí a aktuálně se uvažuje o zadání projektové dokumentace pro stavební povolení a pro provedení stavby. </w:t>
      </w:r>
    </w:p>
    <w:p w14:paraId="28E411CD" w14:textId="498DC672" w:rsidR="0029289C" w:rsidRPr="0029289C" w:rsidRDefault="0029289C" w:rsidP="0029289C">
      <w:pPr>
        <w:tabs>
          <w:tab w:val="left" w:pos="720"/>
        </w:tabs>
        <w:rPr>
          <w:rFonts w:cs="Arial"/>
          <w:b/>
          <w:bCs/>
          <w:sz w:val="20"/>
          <w:szCs w:val="20"/>
          <w:lang w:eastAsia="cs-CZ"/>
        </w:rPr>
      </w:pPr>
      <w:r w:rsidRPr="0029289C">
        <w:rPr>
          <w:rFonts w:cs="Arial"/>
          <w:sz w:val="20"/>
          <w:szCs w:val="20"/>
        </w:rPr>
        <w:t>V této souvislosti je však nutné zmínit i základní předpoklad, že jakékoliv investice do nemovitostí MV, budou zcela závislé na finančních prostředcích, které budou přiděleny do rozpočtu kapitoly 314 v následujících letech.</w:t>
      </w:r>
    </w:p>
    <w:p w14:paraId="301F851F" w14:textId="13BD7781" w:rsidR="00DC430A" w:rsidRPr="0029289C" w:rsidRDefault="00DC430A" w:rsidP="0029289C">
      <w:pPr>
        <w:keepNext/>
        <w:tabs>
          <w:tab w:val="left" w:pos="720"/>
        </w:tabs>
        <w:rPr>
          <w:rFonts w:cs="Arial"/>
          <w:b/>
          <w:bCs/>
          <w:sz w:val="20"/>
          <w:szCs w:val="20"/>
          <w:lang w:eastAsia="cs-CZ"/>
        </w:rPr>
      </w:pPr>
      <w:r w:rsidRPr="0029289C">
        <w:rPr>
          <w:rFonts w:cs="Arial"/>
          <w:b/>
          <w:bCs/>
          <w:sz w:val="20"/>
          <w:szCs w:val="20"/>
          <w:lang w:eastAsia="cs-CZ"/>
        </w:rPr>
        <w:t xml:space="preserve">STANOVISKO K PLNĚNÍ: </w:t>
      </w:r>
      <w:r w:rsidR="006E7098">
        <w:rPr>
          <w:rFonts w:cs="Arial"/>
          <w:b/>
          <w:bCs/>
          <w:sz w:val="20"/>
          <w:szCs w:val="20"/>
          <w:lang w:eastAsia="cs-CZ"/>
        </w:rPr>
        <w:t>Sp</w:t>
      </w:r>
      <w:r w:rsidRPr="0029289C">
        <w:rPr>
          <w:rFonts w:cs="Arial"/>
          <w:b/>
          <w:bCs/>
          <w:sz w:val="20"/>
          <w:szCs w:val="20"/>
          <w:lang w:eastAsia="cs-CZ"/>
        </w:rPr>
        <w:t>lněno.</w:t>
      </w:r>
    </w:p>
    <w:p w14:paraId="4442C7EF" w14:textId="77777777" w:rsidR="00DC430A" w:rsidRPr="007F3C43" w:rsidRDefault="00DC430A" w:rsidP="00DC430A">
      <w:pPr>
        <w:rPr>
          <w:rFonts w:cs="Arial"/>
          <w:sz w:val="20"/>
          <w:szCs w:val="20"/>
        </w:rPr>
      </w:pPr>
    </w:p>
    <w:p w14:paraId="50FCF537" w14:textId="77777777" w:rsidR="00DC430A" w:rsidRPr="00D73CFD" w:rsidRDefault="00DC430A" w:rsidP="00D73CFD">
      <w:pPr>
        <w:tabs>
          <w:tab w:val="left" w:pos="720"/>
        </w:tabs>
        <w:rPr>
          <w:rFonts w:cs="Arial"/>
          <w:b/>
          <w:bCs/>
          <w:sz w:val="20"/>
          <w:szCs w:val="20"/>
          <w:lang w:eastAsia="cs-CZ"/>
        </w:rPr>
      </w:pPr>
      <w:r w:rsidRPr="00D73CFD">
        <w:rPr>
          <w:rFonts w:cs="Arial"/>
          <w:b/>
          <w:bCs/>
          <w:sz w:val="20"/>
          <w:szCs w:val="20"/>
          <w:lang w:eastAsia="cs-CZ"/>
        </w:rPr>
        <w:t>PLNĚNÍ MZ:</w:t>
      </w:r>
    </w:p>
    <w:p w14:paraId="2E347D3B" w14:textId="27DB1B2D" w:rsidR="00D73CFD" w:rsidRPr="00D73CFD" w:rsidRDefault="00D73CFD" w:rsidP="00D73CFD">
      <w:pPr>
        <w:rPr>
          <w:sz w:val="20"/>
          <w:szCs w:val="20"/>
        </w:rPr>
      </w:pPr>
      <w:r w:rsidRPr="00D73CFD">
        <w:rPr>
          <w:sz w:val="20"/>
          <w:szCs w:val="20"/>
        </w:rPr>
        <w:t>Plán zpřístupňování budovy Ministerstva zdravotnictví</w:t>
      </w:r>
      <w:r w:rsidRPr="00D73CFD">
        <w:rPr>
          <w:b/>
          <w:bCs/>
          <w:sz w:val="20"/>
          <w:szCs w:val="20"/>
        </w:rPr>
        <w:t xml:space="preserve"> </w:t>
      </w:r>
      <w:r w:rsidRPr="00D73CFD">
        <w:rPr>
          <w:sz w:val="20"/>
          <w:szCs w:val="20"/>
        </w:rPr>
        <w:t xml:space="preserve">byl vytvořen na základě zjištěných nedostatků Analýzou přístupnosti budovy Ministerstva zdravotnictví. Soustředí se na zajištění stavebních, </w:t>
      </w:r>
      <w:r w:rsidRPr="00D73CFD">
        <w:rPr>
          <w:sz w:val="20"/>
          <w:szCs w:val="20"/>
        </w:rPr>
        <w:lastRenderedPageBreak/>
        <w:t xml:space="preserve">technických a organizačních řešení vedoucích k lepší přístupnosti budovy osobám s pohybovým, zrakovým, sluchovým a dalším postižením. </w:t>
      </w:r>
    </w:p>
    <w:p w14:paraId="2EB4FD20" w14:textId="77777777" w:rsidR="00D73CFD" w:rsidRPr="008646AD" w:rsidRDefault="00D73CFD" w:rsidP="008263CB">
      <w:pPr>
        <w:pStyle w:val="Odstavecseseznamem"/>
        <w:numPr>
          <w:ilvl w:val="0"/>
          <w:numId w:val="29"/>
        </w:numPr>
        <w:rPr>
          <w:bCs/>
          <w:sz w:val="20"/>
          <w:szCs w:val="20"/>
        </w:rPr>
      </w:pPr>
      <w:r w:rsidRPr="008646AD">
        <w:rPr>
          <w:bCs/>
          <w:sz w:val="20"/>
          <w:szCs w:val="20"/>
        </w:rPr>
        <w:t>Přístupy do objektu</w:t>
      </w:r>
    </w:p>
    <w:p w14:paraId="705F9368" w14:textId="77777777" w:rsidR="00D73CFD" w:rsidRPr="00D73CFD" w:rsidRDefault="00D73CFD" w:rsidP="008263CB">
      <w:pPr>
        <w:pStyle w:val="Odstavecseseznamem"/>
        <w:numPr>
          <w:ilvl w:val="0"/>
          <w:numId w:val="30"/>
        </w:numPr>
        <w:rPr>
          <w:sz w:val="20"/>
          <w:szCs w:val="20"/>
        </w:rPr>
      </w:pPr>
      <w:r w:rsidRPr="00D73CFD">
        <w:rPr>
          <w:sz w:val="20"/>
          <w:szCs w:val="20"/>
        </w:rPr>
        <w:t xml:space="preserve">V roce 2024 je v plánu rekonstrukce rampy, která vede z náměstí na podestu před hlavním vchodem do ministerstva. Tato rampa i přes svou dosavadní funkčnost nesplňuje parametry vyhlášky č. 398/2009 Sb. </w:t>
      </w:r>
    </w:p>
    <w:p w14:paraId="28F99018" w14:textId="092A043E" w:rsidR="00D73CFD" w:rsidRPr="00D73CFD" w:rsidRDefault="00D73CFD" w:rsidP="008263CB">
      <w:pPr>
        <w:pStyle w:val="Odstavecseseznamem"/>
        <w:numPr>
          <w:ilvl w:val="0"/>
          <w:numId w:val="30"/>
        </w:numPr>
        <w:rPr>
          <w:sz w:val="20"/>
          <w:szCs w:val="20"/>
        </w:rPr>
      </w:pPr>
      <w:r w:rsidRPr="00D73CFD">
        <w:rPr>
          <w:sz w:val="20"/>
          <w:szCs w:val="20"/>
        </w:rPr>
        <w:t>V roce 2025 proběhne modernizace zvonkového panelu u hlavního vchodu. Nynější podoba totiž nesplňuje veškeré požadavky pro potřeby všech druhů postižení.</w:t>
      </w:r>
    </w:p>
    <w:p w14:paraId="0919A950" w14:textId="77777777" w:rsidR="00D73CFD" w:rsidRPr="008646AD" w:rsidRDefault="00D73CFD" w:rsidP="008263CB">
      <w:pPr>
        <w:pStyle w:val="Odstavecseseznamem"/>
        <w:numPr>
          <w:ilvl w:val="0"/>
          <w:numId w:val="29"/>
        </w:numPr>
        <w:rPr>
          <w:bCs/>
          <w:sz w:val="20"/>
          <w:szCs w:val="20"/>
        </w:rPr>
      </w:pPr>
      <w:r w:rsidRPr="008646AD">
        <w:rPr>
          <w:bCs/>
          <w:sz w:val="20"/>
          <w:szCs w:val="20"/>
        </w:rPr>
        <w:t>Vnitřní komunikační prostory - chodby, schodiště a jednotlivé pracoviště - kanceláře</w:t>
      </w:r>
    </w:p>
    <w:p w14:paraId="38810534" w14:textId="44844BD6" w:rsidR="00D73CFD" w:rsidRPr="00D73CFD" w:rsidRDefault="00D73CFD" w:rsidP="008263CB">
      <w:pPr>
        <w:pStyle w:val="Odstavecseseznamem"/>
        <w:numPr>
          <w:ilvl w:val="0"/>
          <w:numId w:val="31"/>
        </w:numPr>
        <w:rPr>
          <w:sz w:val="20"/>
          <w:szCs w:val="20"/>
        </w:rPr>
      </w:pPr>
      <w:r w:rsidRPr="00D73CFD">
        <w:rPr>
          <w:sz w:val="20"/>
          <w:szCs w:val="20"/>
        </w:rPr>
        <w:t>V letech 2024 a 2025 bude průběžně probíhat zlepšován</w:t>
      </w:r>
      <w:r w:rsidR="008255FE">
        <w:rPr>
          <w:sz w:val="20"/>
          <w:szCs w:val="20"/>
        </w:rPr>
        <w:t>í značení příslušnými symboly a </w:t>
      </w:r>
      <w:r w:rsidRPr="00D73CFD">
        <w:rPr>
          <w:sz w:val="20"/>
          <w:szCs w:val="20"/>
        </w:rPr>
        <w:t>piktogramy.</w:t>
      </w:r>
    </w:p>
    <w:p w14:paraId="5C152C0F" w14:textId="05E0E868" w:rsidR="00D73CFD" w:rsidRPr="008646AD" w:rsidRDefault="00D73CFD" w:rsidP="008263CB">
      <w:pPr>
        <w:pStyle w:val="Odstavecseseznamem"/>
        <w:numPr>
          <w:ilvl w:val="0"/>
          <w:numId w:val="31"/>
        </w:numPr>
        <w:rPr>
          <w:sz w:val="20"/>
          <w:szCs w:val="20"/>
        </w:rPr>
      </w:pPr>
      <w:r w:rsidRPr="00D73CFD">
        <w:rPr>
          <w:sz w:val="20"/>
          <w:szCs w:val="20"/>
        </w:rPr>
        <w:t xml:space="preserve">V letech 2024 a 2025 budou průběžně při plánovaných rekonstrukcích probíhat také stavební </w:t>
      </w:r>
      <w:r w:rsidRPr="008646AD">
        <w:rPr>
          <w:sz w:val="20"/>
          <w:szCs w:val="20"/>
        </w:rPr>
        <w:t>úpravy a doplňování madel, kde chybí dle vyhlášky č. 398/2009 Sb.</w:t>
      </w:r>
    </w:p>
    <w:p w14:paraId="33482B18" w14:textId="77777777" w:rsidR="00D73CFD" w:rsidRPr="008646AD" w:rsidRDefault="00D73CFD" w:rsidP="008263CB">
      <w:pPr>
        <w:pStyle w:val="Odstavecseseznamem"/>
        <w:numPr>
          <w:ilvl w:val="0"/>
          <w:numId w:val="29"/>
        </w:numPr>
        <w:rPr>
          <w:bCs/>
          <w:sz w:val="20"/>
          <w:szCs w:val="20"/>
        </w:rPr>
      </w:pPr>
      <w:r w:rsidRPr="008646AD">
        <w:rPr>
          <w:bCs/>
          <w:sz w:val="20"/>
          <w:szCs w:val="20"/>
        </w:rPr>
        <w:t>Výtahy</w:t>
      </w:r>
    </w:p>
    <w:p w14:paraId="72AA03EB" w14:textId="77777777" w:rsidR="00D73CFD" w:rsidRPr="00D73CFD" w:rsidRDefault="00D73CFD" w:rsidP="008263CB">
      <w:pPr>
        <w:pStyle w:val="Odstavecseseznamem"/>
        <w:numPr>
          <w:ilvl w:val="0"/>
          <w:numId w:val="32"/>
        </w:numPr>
        <w:rPr>
          <w:sz w:val="20"/>
          <w:szCs w:val="20"/>
        </w:rPr>
      </w:pPr>
      <w:r w:rsidRPr="00D73CFD">
        <w:rPr>
          <w:sz w:val="20"/>
          <w:szCs w:val="20"/>
        </w:rPr>
        <w:t xml:space="preserve">V roce 2024 dojde k instalaci sklopných sedadel ve výtazích pro osoby se zdravotním postižením. </w:t>
      </w:r>
    </w:p>
    <w:p w14:paraId="7F654428" w14:textId="77777777" w:rsidR="00D73CFD" w:rsidRPr="00D73CFD" w:rsidRDefault="00D73CFD" w:rsidP="008263CB">
      <w:pPr>
        <w:pStyle w:val="Odstavecseseznamem"/>
        <w:numPr>
          <w:ilvl w:val="0"/>
          <w:numId w:val="32"/>
        </w:numPr>
        <w:rPr>
          <w:sz w:val="20"/>
          <w:szCs w:val="20"/>
        </w:rPr>
      </w:pPr>
      <w:r w:rsidRPr="00D73CFD">
        <w:rPr>
          <w:sz w:val="20"/>
          <w:szCs w:val="20"/>
        </w:rPr>
        <w:t>V roce 2025 dojde dle možností k modernizaci ovládacích panelů, které nesplňují požadavky pro potřeby všech druhů postižení.</w:t>
      </w:r>
    </w:p>
    <w:p w14:paraId="45D34691" w14:textId="77777777" w:rsidR="00D73CFD" w:rsidRPr="00D73CFD" w:rsidRDefault="00D73CFD" w:rsidP="00D73CFD">
      <w:pPr>
        <w:rPr>
          <w:b/>
          <w:bCs/>
          <w:sz w:val="20"/>
          <w:szCs w:val="20"/>
        </w:rPr>
      </w:pPr>
      <w:r w:rsidRPr="00D73CFD">
        <w:rPr>
          <w:b/>
          <w:bCs/>
          <w:sz w:val="20"/>
          <w:szCs w:val="20"/>
        </w:rPr>
        <w:t>Plány zpřístupňování přímo řízených organizací</w:t>
      </w:r>
    </w:p>
    <w:p w14:paraId="199472B5" w14:textId="5838615F" w:rsidR="00D73CFD" w:rsidRPr="00D73CFD" w:rsidRDefault="00D73CFD" w:rsidP="00D73CFD">
      <w:pPr>
        <w:rPr>
          <w:rFonts w:cs="Arial"/>
          <w:color w:val="000000" w:themeColor="text1"/>
          <w:sz w:val="20"/>
          <w:szCs w:val="20"/>
        </w:rPr>
      </w:pPr>
      <w:r w:rsidRPr="00D73CFD">
        <w:rPr>
          <w:rFonts w:cs="Arial"/>
          <w:color w:val="000000" w:themeColor="text1"/>
          <w:sz w:val="20"/>
          <w:szCs w:val="20"/>
        </w:rPr>
        <w:t>Odkazy na zveřejněné analýzy přístupnosti přímo řízených organizac</w:t>
      </w:r>
      <w:r w:rsidR="008255FE">
        <w:rPr>
          <w:rFonts w:cs="Arial"/>
          <w:color w:val="000000" w:themeColor="text1"/>
          <w:sz w:val="20"/>
          <w:szCs w:val="20"/>
        </w:rPr>
        <w:t>í na webech těchto organizací a </w:t>
      </w:r>
      <w:r w:rsidRPr="00D73CFD">
        <w:rPr>
          <w:rFonts w:cs="Arial"/>
          <w:color w:val="000000" w:themeColor="text1"/>
          <w:sz w:val="20"/>
          <w:szCs w:val="20"/>
        </w:rPr>
        <w:t xml:space="preserve">plány zpřístupňování jsou k dispozici s ohledem na </w:t>
      </w:r>
      <w:r w:rsidRPr="008646AD">
        <w:rPr>
          <w:rFonts w:cs="Arial"/>
          <w:color w:val="000000" w:themeColor="text1"/>
          <w:sz w:val="20"/>
          <w:szCs w:val="20"/>
        </w:rPr>
        <w:t>jejich rozsah v samostatném sdíleném dokumentu.</w:t>
      </w:r>
    </w:p>
    <w:p w14:paraId="13580D35" w14:textId="5C8B3DF8" w:rsidR="00DC430A" w:rsidRPr="00D73CFD" w:rsidRDefault="00DC430A" w:rsidP="00D73CFD">
      <w:pPr>
        <w:keepNext/>
        <w:tabs>
          <w:tab w:val="left" w:pos="720"/>
        </w:tabs>
        <w:rPr>
          <w:rFonts w:cs="Arial"/>
          <w:b/>
          <w:bCs/>
          <w:sz w:val="20"/>
          <w:szCs w:val="20"/>
          <w:lang w:eastAsia="cs-CZ"/>
        </w:rPr>
      </w:pPr>
      <w:r w:rsidRPr="00D73CFD">
        <w:rPr>
          <w:rFonts w:cs="Arial"/>
          <w:b/>
          <w:bCs/>
          <w:sz w:val="20"/>
          <w:szCs w:val="20"/>
          <w:lang w:eastAsia="cs-CZ"/>
        </w:rPr>
        <w:t>STANOVISKO K PLNĚNÍ:</w:t>
      </w:r>
      <w:r w:rsidRPr="00D73CFD">
        <w:rPr>
          <w:rFonts w:cs="Arial"/>
          <w:b/>
          <w:sz w:val="20"/>
          <w:szCs w:val="20"/>
        </w:rPr>
        <w:t xml:space="preserve"> </w:t>
      </w:r>
      <w:r w:rsidR="00A169B9" w:rsidRPr="007B6AD0">
        <w:rPr>
          <w:rFonts w:cs="Arial"/>
          <w:b/>
          <w:sz w:val="20"/>
          <w:szCs w:val="20"/>
        </w:rPr>
        <w:t>Sp</w:t>
      </w:r>
      <w:r w:rsidRPr="007B6AD0">
        <w:rPr>
          <w:rFonts w:cs="Arial"/>
          <w:b/>
          <w:sz w:val="20"/>
          <w:szCs w:val="20"/>
        </w:rPr>
        <w:t>lněno.</w:t>
      </w:r>
    </w:p>
    <w:p w14:paraId="33FF7602" w14:textId="77777777" w:rsidR="00DC430A" w:rsidRPr="0002060D" w:rsidRDefault="00DC430A" w:rsidP="0002060D">
      <w:pPr>
        <w:rPr>
          <w:rFonts w:cs="Arial"/>
          <w:sz w:val="20"/>
          <w:szCs w:val="20"/>
        </w:rPr>
      </w:pPr>
    </w:p>
    <w:p w14:paraId="6A5EF6B4" w14:textId="77777777" w:rsidR="00DC430A" w:rsidRPr="0002060D" w:rsidRDefault="00DC430A" w:rsidP="0002060D">
      <w:pPr>
        <w:tabs>
          <w:tab w:val="left" w:pos="720"/>
        </w:tabs>
        <w:rPr>
          <w:rFonts w:cs="Arial"/>
          <w:b/>
          <w:bCs/>
          <w:sz w:val="20"/>
          <w:szCs w:val="20"/>
          <w:lang w:eastAsia="cs-CZ"/>
        </w:rPr>
      </w:pPr>
      <w:r w:rsidRPr="0002060D">
        <w:rPr>
          <w:rFonts w:cs="Arial"/>
          <w:b/>
          <w:bCs/>
          <w:sz w:val="20"/>
          <w:szCs w:val="20"/>
          <w:lang w:eastAsia="cs-CZ"/>
        </w:rPr>
        <w:t>PLNĚNÍ MZe:</w:t>
      </w:r>
    </w:p>
    <w:p w14:paraId="05B861D2" w14:textId="4271901D" w:rsidR="0002060D" w:rsidRPr="0002060D" w:rsidRDefault="0002060D" w:rsidP="0002060D">
      <w:pPr>
        <w:rPr>
          <w:color w:val="000000"/>
          <w:sz w:val="20"/>
          <w:szCs w:val="20"/>
        </w:rPr>
      </w:pPr>
      <w:r w:rsidRPr="0002060D">
        <w:rPr>
          <w:color w:val="000000"/>
          <w:sz w:val="20"/>
          <w:szCs w:val="20"/>
        </w:rPr>
        <w:t>Ministerstvo zemědělství zajistilo prostřednictvím odboru vnitřní správy ke všem budovám, kde je příslušné k hospodaření zpracování plánu zpřístupňování budov (v rámci analytických materiálů katalogy budov a dále plánů investic a oprav). Resortní organizace byly v roce 2023 písemně informovány o uvedené povinnosti. Termín podání zprávy o realizaci plánu ještě nenastal.</w:t>
      </w:r>
    </w:p>
    <w:p w14:paraId="582B3846" w14:textId="7B36E4C3" w:rsidR="00DC430A" w:rsidRPr="0002060D" w:rsidRDefault="00DC430A" w:rsidP="0002060D">
      <w:pPr>
        <w:keepNext/>
        <w:tabs>
          <w:tab w:val="left" w:pos="720"/>
        </w:tabs>
        <w:rPr>
          <w:rFonts w:cs="Arial"/>
          <w:b/>
          <w:bCs/>
          <w:sz w:val="20"/>
          <w:szCs w:val="20"/>
          <w:lang w:eastAsia="cs-CZ"/>
        </w:rPr>
      </w:pPr>
      <w:r w:rsidRPr="0002060D">
        <w:rPr>
          <w:rFonts w:cs="Arial"/>
          <w:b/>
          <w:bCs/>
          <w:sz w:val="20"/>
          <w:szCs w:val="20"/>
          <w:lang w:eastAsia="cs-CZ"/>
        </w:rPr>
        <w:t>STANOVISKO K PLNĚNÍ:</w:t>
      </w:r>
      <w:r w:rsidRPr="0002060D">
        <w:rPr>
          <w:rFonts w:cs="Arial"/>
          <w:b/>
          <w:sz w:val="20"/>
          <w:szCs w:val="20"/>
        </w:rPr>
        <w:t xml:space="preserve"> </w:t>
      </w:r>
      <w:r w:rsidR="00FE277A" w:rsidRPr="00911E42">
        <w:rPr>
          <w:rFonts w:cs="Arial"/>
          <w:b/>
          <w:sz w:val="20"/>
          <w:szCs w:val="20"/>
        </w:rPr>
        <w:t>Sp</w:t>
      </w:r>
      <w:r w:rsidRPr="00911E42">
        <w:rPr>
          <w:rFonts w:cs="Arial"/>
          <w:b/>
          <w:sz w:val="20"/>
          <w:szCs w:val="20"/>
        </w:rPr>
        <w:t>lněno.</w:t>
      </w:r>
    </w:p>
    <w:p w14:paraId="0D1AA9F4" w14:textId="77777777" w:rsidR="00DC430A" w:rsidRPr="008A0B9C" w:rsidRDefault="00DC430A" w:rsidP="00DC430A">
      <w:pPr>
        <w:rPr>
          <w:rFonts w:cs="Arial"/>
          <w:sz w:val="20"/>
          <w:szCs w:val="20"/>
        </w:rPr>
      </w:pPr>
    </w:p>
    <w:p w14:paraId="52F6A4EB" w14:textId="77777777" w:rsidR="00DC430A" w:rsidRPr="00A53C08" w:rsidRDefault="00DC430A" w:rsidP="00A53C08">
      <w:pPr>
        <w:tabs>
          <w:tab w:val="left" w:pos="720"/>
        </w:tabs>
        <w:rPr>
          <w:rFonts w:cs="Arial"/>
          <w:b/>
          <w:bCs/>
          <w:sz w:val="20"/>
          <w:szCs w:val="20"/>
          <w:lang w:eastAsia="cs-CZ"/>
        </w:rPr>
      </w:pPr>
      <w:r w:rsidRPr="00A53C08">
        <w:rPr>
          <w:rFonts w:cs="Arial"/>
          <w:b/>
          <w:bCs/>
          <w:sz w:val="20"/>
          <w:szCs w:val="20"/>
          <w:lang w:eastAsia="cs-CZ"/>
        </w:rPr>
        <w:t>PLNĚNÍ MZV:</w:t>
      </w:r>
    </w:p>
    <w:p w14:paraId="1BA30C70" w14:textId="6CE4894F" w:rsidR="00A53C08" w:rsidRPr="00A53C08" w:rsidRDefault="00A53C08" w:rsidP="00A53C08">
      <w:pPr>
        <w:rPr>
          <w:rFonts w:cs="Arial"/>
          <w:bCs/>
          <w:sz w:val="20"/>
          <w:szCs w:val="20"/>
        </w:rPr>
      </w:pPr>
      <w:r w:rsidRPr="00A53C08">
        <w:rPr>
          <w:rFonts w:cs="Arial"/>
          <w:bCs/>
          <w:sz w:val="20"/>
          <w:szCs w:val="20"/>
        </w:rPr>
        <w:t>Plán zajištění přístupnosti na roky 2024 a 2025 je zpracován a zaslán byl sekretariátu VVOZP v samostatné příloze.</w:t>
      </w:r>
    </w:p>
    <w:p w14:paraId="5B21BCD0" w14:textId="37E5E0E1" w:rsidR="00DC430A" w:rsidRPr="00A53C08" w:rsidRDefault="00DC430A" w:rsidP="00A53C08">
      <w:pPr>
        <w:keepNext/>
        <w:tabs>
          <w:tab w:val="left" w:pos="720"/>
        </w:tabs>
        <w:rPr>
          <w:rFonts w:cs="Arial"/>
          <w:b/>
          <w:bCs/>
          <w:sz w:val="20"/>
          <w:szCs w:val="20"/>
          <w:lang w:eastAsia="cs-CZ"/>
        </w:rPr>
      </w:pPr>
      <w:r w:rsidRPr="00A53C08">
        <w:rPr>
          <w:rFonts w:cs="Arial"/>
          <w:b/>
          <w:bCs/>
          <w:sz w:val="20"/>
          <w:szCs w:val="20"/>
          <w:lang w:eastAsia="cs-CZ"/>
        </w:rPr>
        <w:t>STANOVISKO K </w:t>
      </w:r>
      <w:r w:rsidRPr="00807E8B">
        <w:rPr>
          <w:rFonts w:cs="Arial"/>
          <w:b/>
          <w:bCs/>
          <w:sz w:val="20"/>
          <w:szCs w:val="20"/>
          <w:lang w:eastAsia="cs-CZ"/>
        </w:rPr>
        <w:t>PLNĚNÍ:</w:t>
      </w:r>
      <w:r w:rsidRPr="00807E8B">
        <w:rPr>
          <w:rFonts w:cs="Arial"/>
          <w:b/>
          <w:sz w:val="20"/>
          <w:szCs w:val="20"/>
        </w:rPr>
        <w:t xml:space="preserve"> </w:t>
      </w:r>
      <w:r w:rsidR="00A53C08" w:rsidRPr="00807E8B">
        <w:rPr>
          <w:rFonts w:cs="Arial"/>
          <w:b/>
          <w:sz w:val="20"/>
          <w:szCs w:val="20"/>
        </w:rPr>
        <w:t>Sp</w:t>
      </w:r>
      <w:r w:rsidRPr="00807E8B">
        <w:rPr>
          <w:rFonts w:cs="Arial"/>
          <w:b/>
          <w:sz w:val="20"/>
          <w:szCs w:val="20"/>
        </w:rPr>
        <w:t>lněno.</w:t>
      </w:r>
    </w:p>
    <w:p w14:paraId="3855518D" w14:textId="77777777" w:rsidR="00DC430A" w:rsidRPr="000D4CD9" w:rsidRDefault="00DC430A" w:rsidP="00DC430A">
      <w:pPr>
        <w:rPr>
          <w:rFonts w:cs="Arial"/>
          <w:sz w:val="20"/>
          <w:szCs w:val="20"/>
        </w:rPr>
      </w:pPr>
    </w:p>
    <w:p w14:paraId="3C266DD5" w14:textId="77777777" w:rsidR="00DC430A" w:rsidRPr="00126FD6" w:rsidRDefault="00DC430A" w:rsidP="00126FD6">
      <w:pPr>
        <w:tabs>
          <w:tab w:val="left" w:pos="720"/>
        </w:tabs>
        <w:rPr>
          <w:rFonts w:cs="Arial"/>
          <w:b/>
          <w:bCs/>
          <w:sz w:val="20"/>
          <w:szCs w:val="20"/>
          <w:lang w:eastAsia="cs-CZ"/>
        </w:rPr>
      </w:pPr>
      <w:r w:rsidRPr="00126FD6">
        <w:rPr>
          <w:rFonts w:cs="Arial"/>
          <w:b/>
          <w:bCs/>
          <w:sz w:val="20"/>
          <w:szCs w:val="20"/>
          <w:lang w:eastAsia="cs-CZ"/>
        </w:rPr>
        <w:t>PLNĚNÍ MŽP:</w:t>
      </w:r>
    </w:p>
    <w:p w14:paraId="25F9A519" w14:textId="140A2576" w:rsidR="00126FD6" w:rsidRPr="00775639" w:rsidRDefault="00126FD6" w:rsidP="00126FD6">
      <w:pPr>
        <w:rPr>
          <w:rFonts w:cs="Arial"/>
          <w:sz w:val="20"/>
          <w:szCs w:val="20"/>
        </w:rPr>
      </w:pPr>
      <w:r w:rsidRPr="00126FD6">
        <w:rPr>
          <w:rFonts w:cs="Arial"/>
          <w:sz w:val="20"/>
          <w:szCs w:val="20"/>
        </w:rPr>
        <w:t>Budova ministerstva životního prostředí je přístupná osobám se zdravotním postižením. Má bezbariérový přístup, označení výtahů Braillovým písmem, samostatné hygienické zázemí pro tělesně postižené osoby situovaného v přízemí budovy a plošinu pro vozíčkáře spojující jednotlivé mimoúrovňové části budovy. Budova je také vybavena si</w:t>
      </w:r>
      <w:r w:rsidR="008255FE">
        <w:rPr>
          <w:rFonts w:cs="Arial"/>
          <w:sz w:val="20"/>
          <w:szCs w:val="20"/>
        </w:rPr>
        <w:t>gnalizací pro neslyšící osoby a </w:t>
      </w:r>
      <w:r w:rsidRPr="00775639">
        <w:rPr>
          <w:rFonts w:cs="Arial"/>
          <w:sz w:val="20"/>
          <w:szCs w:val="20"/>
        </w:rPr>
        <w:t>bezpečnostními informačními značkami, které určují směr úniku ve snadno srozumitelné formě.</w:t>
      </w:r>
    </w:p>
    <w:p w14:paraId="29505587" w14:textId="3C898CDD" w:rsidR="00DC430A" w:rsidRPr="00126FD6" w:rsidRDefault="00DC430A" w:rsidP="00126FD6">
      <w:pPr>
        <w:keepNext/>
        <w:tabs>
          <w:tab w:val="left" w:pos="720"/>
        </w:tabs>
        <w:rPr>
          <w:rFonts w:cs="Arial"/>
          <w:b/>
          <w:bCs/>
          <w:sz w:val="20"/>
          <w:szCs w:val="20"/>
          <w:lang w:eastAsia="cs-CZ"/>
        </w:rPr>
      </w:pPr>
      <w:r w:rsidRPr="00775639">
        <w:rPr>
          <w:rFonts w:cs="Arial"/>
          <w:b/>
          <w:bCs/>
          <w:sz w:val="20"/>
          <w:szCs w:val="20"/>
          <w:lang w:eastAsia="cs-CZ"/>
        </w:rPr>
        <w:t>STANOVISKO K PLNĚNÍ:</w:t>
      </w:r>
      <w:r w:rsidRPr="00775639">
        <w:rPr>
          <w:rFonts w:cs="Arial"/>
          <w:b/>
          <w:sz w:val="20"/>
          <w:szCs w:val="20"/>
        </w:rPr>
        <w:t xml:space="preserve"> </w:t>
      </w:r>
      <w:r w:rsidR="0014364E" w:rsidRPr="00775639">
        <w:rPr>
          <w:rFonts w:cs="Arial"/>
          <w:b/>
          <w:sz w:val="20"/>
          <w:szCs w:val="20"/>
        </w:rPr>
        <w:t xml:space="preserve">Nesplněno. Chybí konkrétní informace o plánu zpřístupňování. Navržen posun termínu do </w:t>
      </w:r>
      <w:proofErr w:type="gramStart"/>
      <w:r w:rsidR="0014364E" w:rsidRPr="00775639">
        <w:rPr>
          <w:rFonts w:cs="Arial"/>
          <w:b/>
          <w:sz w:val="20"/>
          <w:szCs w:val="20"/>
        </w:rPr>
        <w:t>31.12.2024</w:t>
      </w:r>
      <w:proofErr w:type="gramEnd"/>
      <w:r w:rsidR="0014364E" w:rsidRPr="00775639">
        <w:rPr>
          <w:rFonts w:cs="Arial"/>
          <w:b/>
          <w:sz w:val="20"/>
          <w:szCs w:val="20"/>
        </w:rPr>
        <w:t>.</w:t>
      </w:r>
    </w:p>
    <w:p w14:paraId="09EDEB05" w14:textId="77777777" w:rsidR="00DC430A" w:rsidRPr="000D4CD9" w:rsidRDefault="00DC430A" w:rsidP="00DC430A">
      <w:pPr>
        <w:rPr>
          <w:rFonts w:cs="Arial"/>
          <w:sz w:val="20"/>
          <w:szCs w:val="20"/>
        </w:rPr>
      </w:pPr>
    </w:p>
    <w:p w14:paraId="075DE388" w14:textId="2BFEABD4" w:rsidR="00DC430A" w:rsidRPr="000A412B" w:rsidRDefault="00DC430A" w:rsidP="00DC430A">
      <w:pPr>
        <w:tabs>
          <w:tab w:val="left" w:pos="720"/>
        </w:tabs>
        <w:rPr>
          <w:rFonts w:cs="Arial"/>
          <w:b/>
          <w:bCs/>
          <w:sz w:val="20"/>
          <w:szCs w:val="20"/>
          <w:lang w:eastAsia="cs-CZ"/>
        </w:rPr>
      </w:pPr>
      <w:r w:rsidRPr="000A412B">
        <w:rPr>
          <w:rFonts w:cs="Arial"/>
          <w:b/>
          <w:bCs/>
          <w:sz w:val="20"/>
          <w:szCs w:val="20"/>
          <w:lang w:eastAsia="cs-CZ"/>
        </w:rPr>
        <w:t>PLNĚNÍ ÚV:</w:t>
      </w:r>
    </w:p>
    <w:p w14:paraId="67822E94" w14:textId="374E452D" w:rsidR="00D84329" w:rsidRPr="000A412B" w:rsidRDefault="00D84329" w:rsidP="00D84329">
      <w:pPr>
        <w:rPr>
          <w:rFonts w:cs="Arial"/>
          <w:sz w:val="20"/>
          <w:szCs w:val="20"/>
        </w:rPr>
      </w:pPr>
      <w:r w:rsidRPr="000A412B">
        <w:rPr>
          <w:rFonts w:cs="Arial"/>
          <w:sz w:val="20"/>
          <w:szCs w:val="20"/>
        </w:rPr>
        <w:t>Úřad vlády ČR má příslušnost hospodaření k historickým budovám zapsaným v rejstříku památkově chráněných budov, který spravuje Národní památkový úřad. Při plá</w:t>
      </w:r>
      <w:r w:rsidR="008255FE">
        <w:rPr>
          <w:rFonts w:cs="Arial"/>
          <w:sz w:val="20"/>
          <w:szCs w:val="20"/>
        </w:rPr>
        <w:t>nování renovací, rekonstrukcí a </w:t>
      </w:r>
      <w:r w:rsidRPr="000A412B">
        <w:rPr>
          <w:rFonts w:cs="Arial"/>
          <w:sz w:val="20"/>
          <w:szCs w:val="20"/>
        </w:rPr>
        <w:t xml:space="preserve">jiných prací na budovách Úřadu jsou zohledňovány principy řešení tak, aby vyhovovala i osobám se zdravotním postižením. ÚV je limitován stanovisky dotčených orgánů státní správy a to zejména NPÚ </w:t>
      </w:r>
      <w:r w:rsidRPr="000A412B">
        <w:rPr>
          <w:rFonts w:cs="Arial"/>
          <w:sz w:val="20"/>
          <w:szCs w:val="20"/>
        </w:rPr>
        <w:lastRenderedPageBreak/>
        <w:t>a odborem památkové péče Hl. M. Prahy pro objekty v Praze. V současné době je umožněn přístup osob se zdravotním postižením do budov ÚV tam, kde není čistě bezbariérový vstup, prostřednictvím osobní asistence ostrahy budov. Další osoby se zdravotním postižením, které jsou mobilní, jsou doprovázeny zaměstnanci ÚV. Ve výtazích jsou ovládací panely opatřeny Braillovým písmem. Všechna opatření v budovách ÚV nemají za následek přímou nebo nepřímou diskriminaci osob se zdravotním postižením.</w:t>
      </w:r>
    </w:p>
    <w:p w14:paraId="0841DFA0" w14:textId="77777777" w:rsidR="00D84329" w:rsidRPr="000A412B" w:rsidRDefault="00D84329" w:rsidP="00D84329">
      <w:pPr>
        <w:rPr>
          <w:rFonts w:cs="Arial"/>
          <w:sz w:val="20"/>
          <w:szCs w:val="20"/>
        </w:rPr>
      </w:pPr>
      <w:r w:rsidRPr="000A412B">
        <w:rPr>
          <w:rFonts w:cs="Arial"/>
          <w:sz w:val="20"/>
          <w:szCs w:val="20"/>
        </w:rPr>
        <w:t xml:space="preserve">Odbor správy nemovitostí při tvorbě strategických materiálů souvisejících s plánovanými rekonstrukcemi zohledňuje případné dopady na osoby se zdravotním postižením. Zároveň ale platí, že v některých případech nelze úplně zohlednit všechny aspekty týkající se osob se zdravotním postižením při návštěvě historických budov. Příkladem je plánovaná rekonstrukce Kramářovy vily. Do Kramářovy vily nelze umístit zdvihací zařízení nebo jiný samočinný stroj, který by pomohl překonat vstupní schodiště do 1 patra. Z tohoto důvodu je osobní asistence zaměstnanců ÚV samozřejmostí. Při plánování obměny osobních výtahů je plánováno i se zvukovou informací o poloze výtahu. </w:t>
      </w:r>
    </w:p>
    <w:p w14:paraId="6412AA4C" w14:textId="6847A959" w:rsidR="00D84329" w:rsidRPr="000A412B" w:rsidRDefault="00D84329" w:rsidP="00D84329">
      <w:pPr>
        <w:rPr>
          <w:rFonts w:cs="Arial"/>
          <w:sz w:val="20"/>
          <w:szCs w:val="20"/>
        </w:rPr>
      </w:pPr>
      <w:r w:rsidRPr="000A412B">
        <w:rPr>
          <w:rFonts w:cs="Arial"/>
          <w:sz w:val="20"/>
          <w:szCs w:val="20"/>
        </w:rPr>
        <w:t>Budovy Úřadu nejsou běžně veřejně přístupné, ÚV však dlouhodobě pořádá Dny otevřených dveří (dále také „DOD“) ve všech objektech, které mají historickou hodnotu. Četnost DOD je každým rokem navyšována. Tím je plán zpřístupňování historických budov Úřadu plněn a realizován.</w:t>
      </w:r>
    </w:p>
    <w:p w14:paraId="37EE7B2C" w14:textId="55AB544F" w:rsidR="00DC430A" w:rsidRPr="000D4CD9" w:rsidRDefault="00DC430A" w:rsidP="00DC430A">
      <w:pPr>
        <w:rPr>
          <w:rFonts w:cs="Arial"/>
          <w:b/>
          <w:bCs/>
          <w:sz w:val="20"/>
          <w:szCs w:val="20"/>
          <w:lang w:eastAsia="cs-CZ"/>
        </w:rPr>
      </w:pPr>
      <w:r w:rsidRPr="000A412B">
        <w:rPr>
          <w:rFonts w:cs="Arial"/>
          <w:b/>
          <w:bCs/>
          <w:sz w:val="20"/>
          <w:szCs w:val="20"/>
          <w:lang w:eastAsia="cs-CZ"/>
        </w:rPr>
        <w:t xml:space="preserve">STANOVISKO K PLNĚNÍ: </w:t>
      </w:r>
      <w:r w:rsidR="00B565B6" w:rsidRPr="000A412B">
        <w:rPr>
          <w:rFonts w:cs="Arial"/>
          <w:b/>
          <w:bCs/>
          <w:sz w:val="20"/>
          <w:szCs w:val="20"/>
          <w:lang w:eastAsia="cs-CZ"/>
        </w:rPr>
        <w:t>Sp</w:t>
      </w:r>
      <w:r w:rsidRPr="000A412B">
        <w:rPr>
          <w:rFonts w:cs="Arial"/>
          <w:b/>
          <w:bCs/>
          <w:sz w:val="20"/>
          <w:szCs w:val="20"/>
          <w:lang w:eastAsia="cs-CZ"/>
        </w:rPr>
        <w:t>lněno.</w:t>
      </w:r>
    </w:p>
    <w:p w14:paraId="73660770" w14:textId="12573514" w:rsidR="00DC430A" w:rsidRPr="00A90217" w:rsidRDefault="00DC430A" w:rsidP="003A7C59">
      <w:pPr>
        <w:rPr>
          <w:rFonts w:cs="Arial"/>
          <w:sz w:val="20"/>
          <w:szCs w:val="20"/>
        </w:rPr>
      </w:pPr>
    </w:p>
    <w:p w14:paraId="72565BBE" w14:textId="77777777" w:rsidR="00F17E74" w:rsidRDefault="00F17E74" w:rsidP="00CF0543">
      <w:pPr>
        <w:rPr>
          <w:rFonts w:cs="Arial"/>
          <w:b/>
          <w:bCs/>
          <w:szCs w:val="20"/>
        </w:rPr>
      </w:pPr>
      <w:r>
        <w:rPr>
          <w:rFonts w:cs="Arial"/>
          <w:b/>
          <w:bCs/>
          <w:szCs w:val="20"/>
        </w:rPr>
        <w:t xml:space="preserve">2.2 </w:t>
      </w:r>
      <w:r w:rsidRPr="00006C58">
        <w:rPr>
          <w:rFonts w:cs="Arial"/>
          <w:b/>
          <w:bCs/>
          <w:szCs w:val="20"/>
        </w:rPr>
        <w:t xml:space="preserve">Cíl: </w:t>
      </w:r>
      <w:r w:rsidRPr="008A74B3">
        <w:rPr>
          <w:rFonts w:cs="Arial"/>
          <w:b/>
          <w:bCs/>
          <w:szCs w:val="20"/>
        </w:rPr>
        <w:t>Důsledná aplikace předpisů v oblasti bezbariérového užívání staveb.</w:t>
      </w:r>
    </w:p>
    <w:p w14:paraId="0AA36711" w14:textId="43F69D3D" w:rsidR="00F17E74" w:rsidRPr="00006C58" w:rsidRDefault="00F17E74" w:rsidP="00F17E74">
      <w:pPr>
        <w:rPr>
          <w:rFonts w:cs="Arial"/>
          <w:szCs w:val="20"/>
        </w:rPr>
      </w:pPr>
      <w:r w:rsidRPr="0035060D">
        <w:rPr>
          <w:rFonts w:cs="Arial"/>
          <w:bCs/>
          <w:szCs w:val="20"/>
        </w:rPr>
        <w:t xml:space="preserve">Opatření </w:t>
      </w:r>
      <w:r>
        <w:rPr>
          <w:rFonts w:cs="Arial"/>
          <w:szCs w:val="20"/>
        </w:rPr>
        <w:t xml:space="preserve">2.2.1 </w:t>
      </w:r>
      <w:r w:rsidRPr="00006C58">
        <w:rPr>
          <w:rFonts w:cs="Arial"/>
          <w:szCs w:val="20"/>
        </w:rPr>
        <w:t xml:space="preserve">Sledovat a vyhodnocovat účinnost </w:t>
      </w:r>
      <w:r>
        <w:rPr>
          <w:rFonts w:cs="Arial"/>
          <w:szCs w:val="20"/>
        </w:rPr>
        <w:t>ČSN</w:t>
      </w:r>
      <w:r w:rsidRPr="00006C58">
        <w:rPr>
          <w:rFonts w:cs="Arial"/>
          <w:szCs w:val="20"/>
        </w:rPr>
        <w:t xml:space="preserve"> a dalších technických předpisů v oblasti bezbariérového užívání staveb při jejich aplikaci v praxi a dbát na jejich účelné doplňování a aktualizaci</w:t>
      </w:r>
      <w:r w:rsidR="00377BB9">
        <w:rPr>
          <w:rFonts w:cs="Arial"/>
          <w:szCs w:val="20"/>
        </w:rPr>
        <w:t>.</w:t>
      </w:r>
      <w:r w:rsidRPr="00006C58">
        <w:rPr>
          <w:rFonts w:cs="Arial"/>
          <w:szCs w:val="20"/>
        </w:rPr>
        <w:t xml:space="preserve"> </w:t>
      </w:r>
      <w:r w:rsidR="00377BB9" w:rsidRPr="003A1F7F">
        <w:rPr>
          <w:rFonts w:cs="Arial"/>
          <w:color w:val="000000"/>
          <w:shd w:val="clear" w:color="auto" w:fill="FFFFFF"/>
        </w:rPr>
        <w:t>ÚNMZ (ČAS) v této oblasti</w:t>
      </w:r>
      <w:r w:rsidR="00377BB9">
        <w:rPr>
          <w:rFonts w:cs="Arial"/>
          <w:color w:val="000000"/>
          <w:shd w:val="clear" w:color="auto" w:fill="FFFFFF"/>
        </w:rPr>
        <w:t xml:space="preserve"> dále</w:t>
      </w:r>
      <w:r w:rsidR="00377BB9" w:rsidRPr="003A1F7F">
        <w:rPr>
          <w:rFonts w:cs="Arial"/>
          <w:color w:val="000000"/>
          <w:shd w:val="clear" w:color="auto" w:fill="FFFFFF"/>
        </w:rPr>
        <w:t xml:space="preserve"> spolupracuje s evropskými a mezinárodními technickými organizacemi</w:t>
      </w:r>
      <w:r w:rsidR="00377BB9">
        <w:rPr>
          <w:rFonts w:cs="Arial"/>
          <w:color w:val="000000"/>
          <w:shd w:val="clear" w:color="auto" w:fill="FFFFFF"/>
        </w:rPr>
        <w:t>.</w:t>
      </w:r>
    </w:p>
    <w:p w14:paraId="39B5BE6F" w14:textId="2689FFC7" w:rsidR="00F17E74" w:rsidRPr="00006C58" w:rsidRDefault="00076925" w:rsidP="00F17E74">
      <w:pPr>
        <w:rPr>
          <w:rFonts w:cs="Arial"/>
          <w:szCs w:val="20"/>
        </w:rPr>
      </w:pPr>
      <w:r>
        <w:rPr>
          <w:rFonts w:cs="Arial"/>
          <w:szCs w:val="20"/>
        </w:rPr>
        <w:t>Termín: průběžně</w:t>
      </w:r>
    </w:p>
    <w:p w14:paraId="0C577834" w14:textId="77777777" w:rsidR="00F17E74" w:rsidRPr="00006C58" w:rsidRDefault="00F17E74" w:rsidP="00F17E74">
      <w:pPr>
        <w:rPr>
          <w:rFonts w:cs="Arial"/>
          <w:szCs w:val="20"/>
        </w:rPr>
      </w:pPr>
      <w:r>
        <w:rPr>
          <w:rFonts w:cs="Arial"/>
          <w:szCs w:val="20"/>
        </w:rPr>
        <w:t xml:space="preserve">Gestor: MMR, MD, </w:t>
      </w:r>
      <w:r w:rsidRPr="00006C58">
        <w:rPr>
          <w:rFonts w:cs="Arial"/>
          <w:szCs w:val="20"/>
        </w:rPr>
        <w:t>MPO</w:t>
      </w:r>
    </w:p>
    <w:p w14:paraId="351A5E26" w14:textId="5A88C883" w:rsidR="005B46B6" w:rsidRDefault="00F17E74" w:rsidP="005B46B6">
      <w:pPr>
        <w:rPr>
          <w:rFonts w:cs="Arial"/>
          <w:sz w:val="20"/>
          <w:szCs w:val="20"/>
        </w:rPr>
      </w:pPr>
      <w:r w:rsidRPr="005B46B6">
        <w:rPr>
          <w:rFonts w:cs="Arial"/>
          <w:sz w:val="20"/>
          <w:szCs w:val="20"/>
        </w:rPr>
        <w:t xml:space="preserve">Indikátor: Soulad norem byl v daném roce sledován a byly provedeny případné změny. </w:t>
      </w:r>
    </w:p>
    <w:p w14:paraId="4C814299" w14:textId="77777777" w:rsidR="005B46B6" w:rsidRPr="005B46B6" w:rsidRDefault="005B46B6" w:rsidP="005B46B6">
      <w:pPr>
        <w:rPr>
          <w:rFonts w:cs="Arial"/>
          <w:sz w:val="20"/>
          <w:szCs w:val="20"/>
        </w:rPr>
      </w:pPr>
    </w:p>
    <w:p w14:paraId="222FDA44" w14:textId="6CDB0E75" w:rsidR="003E632A" w:rsidRPr="004B1E4F" w:rsidRDefault="003E632A" w:rsidP="004B1E4F">
      <w:pPr>
        <w:rPr>
          <w:rFonts w:cs="Arial"/>
          <w:b/>
          <w:bCs/>
          <w:sz w:val="20"/>
          <w:szCs w:val="20"/>
          <w:lang w:eastAsia="cs-CZ"/>
        </w:rPr>
      </w:pPr>
      <w:r w:rsidRPr="004B1E4F">
        <w:rPr>
          <w:rFonts w:cs="Arial"/>
          <w:b/>
          <w:bCs/>
          <w:sz w:val="20"/>
          <w:szCs w:val="20"/>
          <w:lang w:eastAsia="cs-CZ"/>
        </w:rPr>
        <w:t>PLNĚNÍ MD:</w:t>
      </w:r>
    </w:p>
    <w:p w14:paraId="2AC682E9" w14:textId="152C5C88" w:rsidR="004B1E4F" w:rsidRPr="004B1E4F" w:rsidRDefault="004B1E4F" w:rsidP="004B1E4F">
      <w:pPr>
        <w:jc w:val="left"/>
        <w:rPr>
          <w:rFonts w:cs="Arial"/>
          <w:sz w:val="20"/>
          <w:szCs w:val="20"/>
        </w:rPr>
      </w:pPr>
      <w:r w:rsidRPr="004B1E4F">
        <w:rPr>
          <w:rFonts w:cs="Arial"/>
          <w:sz w:val="20"/>
          <w:szCs w:val="20"/>
        </w:rPr>
        <w:t>Soulad norem je průběžně zajišťován na základě účasti zástupců MD v příslušných Technických komisích ÚNMZ.</w:t>
      </w:r>
    </w:p>
    <w:p w14:paraId="2A19D060" w14:textId="6B2E46B2" w:rsidR="003E632A" w:rsidRPr="004B1E4F" w:rsidRDefault="003E632A" w:rsidP="004B1E4F">
      <w:pPr>
        <w:keepNext/>
        <w:tabs>
          <w:tab w:val="left" w:pos="720"/>
        </w:tabs>
        <w:rPr>
          <w:rFonts w:cs="Arial"/>
          <w:b/>
          <w:bCs/>
          <w:sz w:val="20"/>
          <w:szCs w:val="20"/>
          <w:lang w:eastAsia="cs-CZ"/>
        </w:rPr>
      </w:pPr>
      <w:r w:rsidRPr="004B1E4F">
        <w:rPr>
          <w:rFonts w:cs="Arial"/>
          <w:b/>
          <w:bCs/>
          <w:sz w:val="20"/>
          <w:szCs w:val="20"/>
          <w:lang w:eastAsia="cs-CZ"/>
        </w:rPr>
        <w:t>STANOVISKO K PLNĚNÍ:</w:t>
      </w:r>
      <w:r w:rsidR="003923B9" w:rsidRPr="004B1E4F">
        <w:rPr>
          <w:rFonts w:cs="Arial"/>
          <w:b/>
          <w:bCs/>
          <w:sz w:val="20"/>
          <w:szCs w:val="20"/>
          <w:lang w:eastAsia="cs-CZ"/>
        </w:rPr>
        <w:t xml:space="preserve"> Plněno.</w:t>
      </w:r>
    </w:p>
    <w:p w14:paraId="14A2D480" w14:textId="77777777" w:rsidR="00B102E3" w:rsidRPr="005B46B6" w:rsidRDefault="00B102E3" w:rsidP="005B46B6">
      <w:pPr>
        <w:tabs>
          <w:tab w:val="left" w:pos="720"/>
        </w:tabs>
        <w:rPr>
          <w:rFonts w:cs="Arial"/>
          <w:b/>
          <w:bCs/>
          <w:sz w:val="20"/>
          <w:szCs w:val="20"/>
          <w:lang w:eastAsia="cs-CZ"/>
        </w:rPr>
      </w:pPr>
    </w:p>
    <w:p w14:paraId="1C344EC6" w14:textId="4EF73D36" w:rsidR="00B102E3" w:rsidRPr="001A7765" w:rsidRDefault="00B102E3" w:rsidP="001A7765">
      <w:pPr>
        <w:tabs>
          <w:tab w:val="left" w:pos="720"/>
        </w:tabs>
        <w:rPr>
          <w:rFonts w:cs="Arial"/>
          <w:b/>
          <w:bCs/>
          <w:sz w:val="20"/>
          <w:szCs w:val="20"/>
          <w:lang w:eastAsia="cs-CZ"/>
        </w:rPr>
      </w:pPr>
      <w:r w:rsidRPr="001A7765">
        <w:rPr>
          <w:rFonts w:cs="Arial"/>
          <w:b/>
          <w:bCs/>
          <w:sz w:val="20"/>
          <w:szCs w:val="20"/>
          <w:lang w:eastAsia="cs-CZ"/>
        </w:rPr>
        <w:t>PLNĚNÍ MMR:</w:t>
      </w:r>
    </w:p>
    <w:p w14:paraId="288F9A9E" w14:textId="77777777" w:rsidR="001A7765" w:rsidRPr="001A7765" w:rsidRDefault="001A7765" w:rsidP="001A7765">
      <w:pPr>
        <w:rPr>
          <w:rFonts w:cs="Arial"/>
          <w:bCs/>
          <w:iCs/>
          <w:sz w:val="20"/>
          <w:szCs w:val="20"/>
        </w:rPr>
      </w:pPr>
      <w:r w:rsidRPr="001A7765">
        <w:rPr>
          <w:rFonts w:cs="Arial"/>
          <w:bCs/>
          <w:iCs/>
          <w:sz w:val="20"/>
          <w:szCs w:val="20"/>
        </w:rPr>
        <w:t>Úvodem zdůrazňujeme, že pro oblast technické normalizace je ústředním orgánem MPO, které zabezpečuje tvorbu a vydávání českých technických norem, jejich změny a zrušení (viz § 13 odst. 1 písm. e) zákona č. 2/1969 Sb., o zřízení ministerstev a jiných ústředních orgánů státní správy České republiky, ve znění pozdějších předpisů a § 5 zákona č. 22/1997 Sb., o technických požadavcích na výrobky, ve znění pozdějších předpisů). MMR sleduje normy pro provádění a navrhování staveb v působnosti obecných stavebních úřadů, MD sleduje dopravní normy a MPO výrobkové normy.</w:t>
      </w:r>
    </w:p>
    <w:p w14:paraId="282B70C6" w14:textId="77777777" w:rsidR="001A7765" w:rsidRPr="001A7765" w:rsidRDefault="001A7765" w:rsidP="001A7765">
      <w:pPr>
        <w:rPr>
          <w:rFonts w:cs="Arial"/>
          <w:bCs/>
          <w:iCs/>
          <w:sz w:val="20"/>
          <w:szCs w:val="20"/>
        </w:rPr>
      </w:pPr>
      <w:r w:rsidRPr="001A7765">
        <w:rPr>
          <w:rFonts w:cs="Arial"/>
          <w:bCs/>
          <w:iCs/>
          <w:sz w:val="20"/>
          <w:szCs w:val="20"/>
        </w:rPr>
        <w:t>MMR ve své působnosti neeviduje žádný problém při aplikaci bezbariérové vyhlášky na úrovni normových hodnot. Konkrétní seznam norem obsahujících normové hodnoty je zde:</w:t>
      </w:r>
    </w:p>
    <w:p w14:paraId="25921973" w14:textId="77777777" w:rsidR="001A7765" w:rsidRPr="001A7765" w:rsidRDefault="001A7765" w:rsidP="001A7765">
      <w:pPr>
        <w:rPr>
          <w:rFonts w:cs="Arial"/>
          <w:bCs/>
          <w:iCs/>
          <w:sz w:val="20"/>
          <w:szCs w:val="20"/>
        </w:rPr>
      </w:pPr>
      <w:r w:rsidRPr="001A7765">
        <w:rPr>
          <w:rFonts w:cs="Arial"/>
          <w:bCs/>
          <w:iCs/>
          <w:sz w:val="20"/>
          <w:szCs w:val="20"/>
        </w:rPr>
        <w:t>- ČSN EN 81-40 (27 4003) Bezpečnostní předpisy pro konstrukci a montáž výtahů - Zvláštní výtahy pro dopravu osob a nákladů - Část 40: Schodišťové výtahy a šikmé zvedací plošiny pro dopravu osob s omezenou pohyblivostí;</w:t>
      </w:r>
    </w:p>
    <w:p w14:paraId="70E7091F" w14:textId="77777777" w:rsidR="001A7765" w:rsidRPr="001A7765" w:rsidRDefault="001A7765" w:rsidP="001A7765">
      <w:pPr>
        <w:rPr>
          <w:rFonts w:cs="Arial"/>
          <w:bCs/>
          <w:iCs/>
          <w:sz w:val="20"/>
          <w:szCs w:val="20"/>
        </w:rPr>
      </w:pPr>
      <w:r w:rsidRPr="001A7765">
        <w:rPr>
          <w:rFonts w:cs="Arial"/>
          <w:bCs/>
          <w:iCs/>
          <w:sz w:val="20"/>
          <w:szCs w:val="20"/>
        </w:rPr>
        <w:t>- ČSN EN 81-41 (27 4003) Bezpečnostní předpisy pro konstrukci a montáž výtahů - Zvláštní výtahy pro dopravu osob a nákladů - Část 41: Svislé zdvihací plošiny pro dopravu osob s omezenou schopností pohybu;</w:t>
      </w:r>
    </w:p>
    <w:p w14:paraId="6A55DAE0" w14:textId="77777777" w:rsidR="001A7765" w:rsidRPr="001A7765" w:rsidRDefault="001A7765" w:rsidP="001A7765">
      <w:pPr>
        <w:rPr>
          <w:rFonts w:cs="Arial"/>
          <w:bCs/>
          <w:iCs/>
          <w:sz w:val="20"/>
          <w:szCs w:val="20"/>
        </w:rPr>
      </w:pPr>
      <w:r w:rsidRPr="001A7765">
        <w:rPr>
          <w:rFonts w:cs="Arial"/>
          <w:bCs/>
          <w:iCs/>
          <w:sz w:val="20"/>
          <w:szCs w:val="20"/>
        </w:rPr>
        <w:lastRenderedPageBreak/>
        <w:t>- ČSN EN 81-70 (27 4003) Bezpečnostní předpisy pro konstrukci a montáž výtahů - Část 70: Zvláštní úprava výtahů určených pro dopravu osob a osob a nákladů - Přístupnost výtahů včetně osob s omezenou schopností pohybu a orientace;</w:t>
      </w:r>
    </w:p>
    <w:p w14:paraId="7ABAC3E0" w14:textId="77777777" w:rsidR="001A7765" w:rsidRPr="001A7765" w:rsidRDefault="001A7765" w:rsidP="001A7765">
      <w:pPr>
        <w:rPr>
          <w:rFonts w:cs="Arial"/>
          <w:bCs/>
          <w:iCs/>
          <w:sz w:val="20"/>
          <w:szCs w:val="20"/>
        </w:rPr>
      </w:pPr>
      <w:r w:rsidRPr="001A7765">
        <w:rPr>
          <w:rFonts w:cs="Arial"/>
          <w:bCs/>
          <w:iCs/>
          <w:sz w:val="20"/>
          <w:szCs w:val="20"/>
        </w:rPr>
        <w:t xml:space="preserve">- ČSN ISO 3864-1 (01 8011) Grafické značky – Bezpečnostní barvy a bezpečnostní značky - Část 1: Zásady navrhování bezpečnostních značek a bezpečnostního značení; </w:t>
      </w:r>
    </w:p>
    <w:p w14:paraId="69F955EB" w14:textId="77777777" w:rsidR="001A7765" w:rsidRPr="001A7765" w:rsidRDefault="001A7765" w:rsidP="001A7765">
      <w:pPr>
        <w:rPr>
          <w:rFonts w:cs="Arial"/>
          <w:bCs/>
          <w:iCs/>
          <w:sz w:val="20"/>
          <w:szCs w:val="20"/>
        </w:rPr>
      </w:pPr>
      <w:r w:rsidRPr="001A7765">
        <w:rPr>
          <w:rFonts w:cs="Arial"/>
          <w:bCs/>
          <w:iCs/>
          <w:sz w:val="20"/>
          <w:szCs w:val="20"/>
        </w:rPr>
        <w:t>- ČSN 73 4301 Obytné budovy;</w:t>
      </w:r>
    </w:p>
    <w:p w14:paraId="1D6207CB" w14:textId="77777777" w:rsidR="001A7765" w:rsidRPr="001A7765" w:rsidRDefault="001A7765" w:rsidP="001A7765">
      <w:pPr>
        <w:rPr>
          <w:rFonts w:cs="Arial"/>
          <w:bCs/>
          <w:iCs/>
          <w:sz w:val="20"/>
          <w:szCs w:val="20"/>
        </w:rPr>
      </w:pPr>
      <w:r w:rsidRPr="001A7765">
        <w:rPr>
          <w:rFonts w:cs="Arial"/>
          <w:bCs/>
          <w:iCs/>
          <w:sz w:val="20"/>
          <w:szCs w:val="20"/>
        </w:rPr>
        <w:t>Konkrétní podrobnosti jsou publikovány při jejich zveřejnění, nebo dle potřeby.</w:t>
      </w:r>
    </w:p>
    <w:p w14:paraId="54D1AE0B" w14:textId="06E18877" w:rsidR="001A7765" w:rsidRPr="001A7765" w:rsidRDefault="001A7765" w:rsidP="001A7765">
      <w:pPr>
        <w:rPr>
          <w:rFonts w:cs="Arial"/>
          <w:bCs/>
          <w:iCs/>
          <w:sz w:val="20"/>
          <w:szCs w:val="20"/>
        </w:rPr>
      </w:pPr>
      <w:r w:rsidRPr="001A7765">
        <w:rPr>
          <w:rFonts w:cs="Arial"/>
          <w:bCs/>
          <w:iCs/>
          <w:sz w:val="20"/>
          <w:szCs w:val="20"/>
        </w:rPr>
        <w:t xml:space="preserve">Dále přikládáme informaci, že existuje nová evropská norma ČSN EN 17210 Přístupnost a využitelnost zastavěného prostředí – Funkční požadavky. Jedná se o mezioborovou normu spadající do aplikační gesce více resortů. Norma je v anglickém </w:t>
      </w:r>
      <w:r w:rsidR="00B11EA1">
        <w:rPr>
          <w:rFonts w:cs="Arial"/>
          <w:bCs/>
          <w:iCs/>
          <w:sz w:val="20"/>
          <w:szCs w:val="20"/>
        </w:rPr>
        <w:t>znění, má koncepční charakter a </w:t>
      </w:r>
      <w:r w:rsidRPr="001A7765">
        <w:rPr>
          <w:rFonts w:cs="Arial"/>
          <w:bCs/>
          <w:iCs/>
          <w:sz w:val="20"/>
          <w:szCs w:val="20"/>
        </w:rPr>
        <w:t>neobsahuje žádné konkrétní požadavky. Určité podrobnosti uvádí doprovodné technické dokumenty. Z těchto důvodů normu nelze "zezávaznit" jednotlivými resorty.</w:t>
      </w:r>
    </w:p>
    <w:p w14:paraId="7DF42F35" w14:textId="0AE78672" w:rsidR="001A7765" w:rsidRPr="001A7765" w:rsidRDefault="001A7765" w:rsidP="001A7765">
      <w:pPr>
        <w:rPr>
          <w:rFonts w:cs="Arial"/>
          <w:bCs/>
          <w:iCs/>
          <w:sz w:val="20"/>
          <w:szCs w:val="20"/>
        </w:rPr>
      </w:pPr>
      <w:r w:rsidRPr="001A7765">
        <w:rPr>
          <w:rFonts w:cs="Arial"/>
          <w:bCs/>
          <w:iCs/>
          <w:sz w:val="20"/>
          <w:szCs w:val="20"/>
        </w:rPr>
        <w:t>MMR pro účely veřejného stavebního práva požádalo ČAS o zařazení nové národní normy na přístupnost staveb do plánu normalizace na rok 2023. Nová norma bude vycházet z principů výše uvedené evropské normy a bude na národní úrovni rozvíjet ustanovení vyhlášky MMR o požadavcích na výstavbu a vyhlášky MD o požadavcích na dopravní stavby. Norma zajistí jednotnou aplikaci požadavků na přístupnost staveb napříč resorty MMR a MD. Zpracovatelkou této normy je Ing. Renata Zdařilová, Ph.D., která je garantem požadavků na bezbariérové užívání staveb v rámci České komory autorizovaných inženýrů a techniků činných ve výstavbě a zároveň se této problematice věnuje na VŠB Technické univerzitě Ostrava. Teze této normy byly představeny na 3. jednání Platformy MMR pro bezbariérovost, které se konalo dne 11. září 2023. Její účinnost se předpokládá k 1. červenci 2024.</w:t>
      </w:r>
    </w:p>
    <w:p w14:paraId="391CB5A1" w14:textId="43083342" w:rsidR="00B102E3" w:rsidRPr="001A7765" w:rsidRDefault="00B102E3" w:rsidP="001A7765">
      <w:pPr>
        <w:keepNext/>
        <w:tabs>
          <w:tab w:val="left" w:pos="720"/>
        </w:tabs>
        <w:rPr>
          <w:rFonts w:cs="Arial"/>
          <w:b/>
          <w:bCs/>
          <w:sz w:val="20"/>
          <w:szCs w:val="20"/>
          <w:lang w:eastAsia="cs-CZ"/>
        </w:rPr>
      </w:pPr>
      <w:r w:rsidRPr="001A7765">
        <w:rPr>
          <w:rFonts w:cs="Arial"/>
          <w:b/>
          <w:bCs/>
          <w:sz w:val="20"/>
          <w:szCs w:val="20"/>
          <w:lang w:eastAsia="cs-CZ"/>
        </w:rPr>
        <w:t>STANOVISKO K PLNĚNÍ:</w:t>
      </w:r>
      <w:r w:rsidR="00353913" w:rsidRPr="001A7765">
        <w:rPr>
          <w:rFonts w:cs="Arial"/>
          <w:b/>
          <w:bCs/>
          <w:sz w:val="20"/>
          <w:szCs w:val="20"/>
          <w:lang w:eastAsia="cs-CZ"/>
        </w:rPr>
        <w:t xml:space="preserve"> Plněno.</w:t>
      </w:r>
    </w:p>
    <w:p w14:paraId="5D2B4E19" w14:textId="77777777" w:rsidR="00391377" w:rsidRPr="001A7765" w:rsidRDefault="00391377" w:rsidP="001A7765">
      <w:pPr>
        <w:tabs>
          <w:tab w:val="left" w:pos="720"/>
        </w:tabs>
        <w:rPr>
          <w:rFonts w:cs="Arial"/>
          <w:b/>
          <w:bCs/>
          <w:sz w:val="20"/>
          <w:szCs w:val="20"/>
          <w:lang w:eastAsia="cs-CZ"/>
        </w:rPr>
      </w:pPr>
    </w:p>
    <w:p w14:paraId="132EFDE1" w14:textId="5FAEDE99" w:rsidR="00391377" w:rsidRPr="0078602D" w:rsidRDefault="00391377" w:rsidP="0078602D">
      <w:pPr>
        <w:tabs>
          <w:tab w:val="left" w:pos="720"/>
        </w:tabs>
        <w:rPr>
          <w:rFonts w:cs="Arial"/>
          <w:b/>
          <w:bCs/>
          <w:sz w:val="20"/>
          <w:szCs w:val="20"/>
          <w:lang w:eastAsia="cs-CZ"/>
        </w:rPr>
      </w:pPr>
      <w:r w:rsidRPr="0078602D">
        <w:rPr>
          <w:rFonts w:cs="Arial"/>
          <w:b/>
          <w:bCs/>
          <w:sz w:val="20"/>
          <w:szCs w:val="20"/>
          <w:lang w:eastAsia="cs-CZ"/>
        </w:rPr>
        <w:t>PLNĚNÍ MPO:</w:t>
      </w:r>
    </w:p>
    <w:p w14:paraId="305F4362" w14:textId="77777777" w:rsidR="0078602D" w:rsidRPr="0078602D" w:rsidRDefault="0078602D" w:rsidP="0078602D">
      <w:pPr>
        <w:rPr>
          <w:rFonts w:cs="Arial"/>
          <w:sz w:val="20"/>
          <w:szCs w:val="20"/>
        </w:rPr>
      </w:pPr>
      <w:r w:rsidRPr="0078602D">
        <w:rPr>
          <w:rFonts w:cs="Arial"/>
          <w:sz w:val="20"/>
          <w:szCs w:val="20"/>
        </w:rPr>
        <w:t>Všechny evropské a mezinárodní normy, které jsou vyhodnoceny jako důležité v předmětné oblasti, jsou přebírány do soustavy ČSN překladem. Z původních norem upozorňujeme v této souvislosti na ČSN 73 6405 (2022) Projektování tramvajových tratí, kde je článek 8.5 Úpravy tramvajových přejezdů a přechodů extravilánového typu pro používání osobami s omezenou schopností pohybu a orientace.</w:t>
      </w:r>
    </w:p>
    <w:p w14:paraId="51A8CFF5" w14:textId="693BA62E" w:rsidR="0078602D" w:rsidRPr="0078602D" w:rsidRDefault="0078602D" w:rsidP="0078602D">
      <w:pPr>
        <w:rPr>
          <w:rFonts w:eastAsia="Times New Roman"/>
          <w:sz w:val="20"/>
          <w:szCs w:val="20"/>
        </w:rPr>
      </w:pPr>
      <w:r w:rsidRPr="0078602D">
        <w:rPr>
          <w:rFonts w:cs="Arial"/>
          <w:sz w:val="20"/>
          <w:szCs w:val="20"/>
        </w:rPr>
        <w:t>K tomuto opatření dále doplňujeme, že od října 2022 Česká republika má ve správě řízení evropské technické komise CEN/TC 452 Asistenční psi. Předsedkyní komise je paní Jana</w:t>
      </w:r>
      <w:r w:rsidRPr="0078602D">
        <w:rPr>
          <w:rFonts w:eastAsia="Times New Roman" w:cs="Arial"/>
          <w:sz w:val="20"/>
          <w:szCs w:val="20"/>
        </w:rPr>
        <w:t xml:space="preserve"> </w:t>
      </w:r>
      <w:r w:rsidR="00B11EA1">
        <w:rPr>
          <w:rFonts w:cs="Arial"/>
          <w:sz w:val="20"/>
          <w:szCs w:val="20"/>
        </w:rPr>
        <w:t>Sirotková z </w:t>
      </w:r>
      <w:r w:rsidRPr="0078602D">
        <w:rPr>
          <w:rFonts w:cs="Arial"/>
          <w:sz w:val="20"/>
          <w:szCs w:val="20"/>
        </w:rPr>
        <w:t xml:space="preserve">organizace Pestrá, o. p. s. </w:t>
      </w:r>
      <w:r w:rsidRPr="0078602D">
        <w:rPr>
          <w:rFonts w:eastAsia="Times New Roman" w:cs="Arial"/>
          <w:sz w:val="20"/>
          <w:szCs w:val="20"/>
        </w:rPr>
        <w:t>(</w:t>
      </w:r>
      <w:hyperlink r:id="rId49" w:history="1">
        <w:r w:rsidRPr="0078602D">
          <w:rPr>
            <w:rStyle w:val="Hypertextovodkaz"/>
            <w:rFonts w:eastAsia="Times New Roman"/>
            <w:sz w:val="20"/>
            <w:szCs w:val="20"/>
          </w:rPr>
          <w:t>https://www.pestra.cz/</w:t>
        </w:r>
      </w:hyperlink>
      <w:r w:rsidRPr="0078602D">
        <w:rPr>
          <w:rFonts w:eastAsia="Times New Roman" w:cs="Arial"/>
          <w:sz w:val="20"/>
          <w:szCs w:val="20"/>
        </w:rPr>
        <w:t>)</w:t>
      </w:r>
      <w:r w:rsidRPr="0078602D">
        <w:rPr>
          <w:rFonts w:eastAsia="Times New Roman"/>
          <w:sz w:val="20"/>
          <w:szCs w:val="20"/>
        </w:rPr>
        <w:t xml:space="preserve"> </w:t>
      </w:r>
    </w:p>
    <w:p w14:paraId="543EBD2C" w14:textId="77777777" w:rsidR="0078602D" w:rsidRPr="0078602D" w:rsidRDefault="0078602D" w:rsidP="0078602D">
      <w:pPr>
        <w:contextualSpacing/>
        <w:rPr>
          <w:rFonts w:cs="Arial"/>
          <w:sz w:val="20"/>
          <w:szCs w:val="20"/>
        </w:rPr>
      </w:pPr>
      <w:r w:rsidRPr="0078602D">
        <w:rPr>
          <w:rFonts w:cs="Arial"/>
          <w:sz w:val="20"/>
          <w:szCs w:val="20"/>
        </w:rPr>
        <w:t xml:space="preserve">Technická komise má 40 členů z celé Evropy a v rámci komise působí 7 pracovních skupin: </w:t>
      </w:r>
    </w:p>
    <w:p w14:paraId="05EC32A8" w14:textId="77777777" w:rsidR="0078602D" w:rsidRPr="0078602D" w:rsidRDefault="0078602D" w:rsidP="0078602D">
      <w:pPr>
        <w:pStyle w:val="Odstavecseseznamem"/>
        <w:numPr>
          <w:ilvl w:val="0"/>
          <w:numId w:val="18"/>
        </w:numPr>
        <w:rPr>
          <w:rFonts w:cs="Arial"/>
          <w:sz w:val="20"/>
          <w:szCs w:val="20"/>
        </w:rPr>
      </w:pPr>
      <w:r w:rsidRPr="0078602D">
        <w:rPr>
          <w:rFonts w:cs="Arial"/>
          <w:sz w:val="20"/>
          <w:szCs w:val="20"/>
        </w:rPr>
        <w:t xml:space="preserve">EN/TC 452/WG 1 Terminology </w:t>
      </w:r>
    </w:p>
    <w:p w14:paraId="515FF933" w14:textId="77777777" w:rsidR="0078602D" w:rsidRPr="0078602D" w:rsidRDefault="0078602D" w:rsidP="0078602D">
      <w:pPr>
        <w:pStyle w:val="Odstavecseseznamem"/>
        <w:numPr>
          <w:ilvl w:val="0"/>
          <w:numId w:val="18"/>
        </w:numPr>
        <w:rPr>
          <w:rFonts w:cs="Arial"/>
          <w:sz w:val="20"/>
          <w:szCs w:val="20"/>
        </w:rPr>
      </w:pPr>
      <w:r w:rsidRPr="0078602D">
        <w:rPr>
          <w:rFonts w:cs="Arial"/>
          <w:sz w:val="20"/>
          <w:szCs w:val="20"/>
        </w:rPr>
        <w:t xml:space="preserve">CEN/TC 452/WG 2 Lifetime welfare </w:t>
      </w:r>
    </w:p>
    <w:p w14:paraId="69E7ECC5" w14:textId="77777777" w:rsidR="0078602D" w:rsidRPr="0078602D" w:rsidRDefault="0078602D" w:rsidP="0078602D">
      <w:pPr>
        <w:pStyle w:val="Odstavecseseznamem"/>
        <w:numPr>
          <w:ilvl w:val="0"/>
          <w:numId w:val="18"/>
        </w:numPr>
        <w:rPr>
          <w:rFonts w:cs="Arial"/>
          <w:sz w:val="20"/>
          <w:szCs w:val="20"/>
        </w:rPr>
      </w:pPr>
      <w:r w:rsidRPr="0078602D">
        <w:rPr>
          <w:rFonts w:cs="Arial"/>
          <w:sz w:val="20"/>
          <w:szCs w:val="20"/>
        </w:rPr>
        <w:t xml:space="preserve">CEN/TC 452/WG 3 Competencies for assistance dogs’ professionals </w:t>
      </w:r>
    </w:p>
    <w:p w14:paraId="01733A35" w14:textId="77777777" w:rsidR="0078602D" w:rsidRPr="0078602D" w:rsidRDefault="0078602D" w:rsidP="0078602D">
      <w:pPr>
        <w:pStyle w:val="Odstavecseseznamem"/>
        <w:numPr>
          <w:ilvl w:val="0"/>
          <w:numId w:val="18"/>
        </w:numPr>
        <w:rPr>
          <w:rFonts w:cs="Arial"/>
          <w:sz w:val="20"/>
          <w:szCs w:val="20"/>
        </w:rPr>
      </w:pPr>
      <w:r w:rsidRPr="0078602D">
        <w:rPr>
          <w:rFonts w:cs="Arial"/>
          <w:sz w:val="20"/>
          <w:szCs w:val="20"/>
        </w:rPr>
        <w:t xml:space="preserve">CEN/TC 452/WG 4 Pre-training, Training and Tasks </w:t>
      </w:r>
    </w:p>
    <w:p w14:paraId="3C8CA14D" w14:textId="77777777" w:rsidR="0078602D" w:rsidRPr="0078602D" w:rsidRDefault="0078602D" w:rsidP="0078602D">
      <w:pPr>
        <w:pStyle w:val="Odstavecseseznamem"/>
        <w:numPr>
          <w:ilvl w:val="0"/>
          <w:numId w:val="18"/>
        </w:numPr>
        <w:rPr>
          <w:rFonts w:cs="Arial"/>
          <w:sz w:val="20"/>
          <w:szCs w:val="20"/>
        </w:rPr>
      </w:pPr>
      <w:r w:rsidRPr="0078602D">
        <w:rPr>
          <w:rFonts w:cs="Arial"/>
          <w:sz w:val="20"/>
          <w:szCs w:val="20"/>
        </w:rPr>
        <w:t xml:space="preserve">CEN/TC 452/WG 5 Client Services </w:t>
      </w:r>
    </w:p>
    <w:p w14:paraId="7A14DA97" w14:textId="77777777" w:rsidR="0078602D" w:rsidRPr="0078602D" w:rsidRDefault="0078602D" w:rsidP="0078602D">
      <w:pPr>
        <w:pStyle w:val="Odstavecseseznamem"/>
        <w:numPr>
          <w:ilvl w:val="0"/>
          <w:numId w:val="18"/>
        </w:numPr>
        <w:rPr>
          <w:rFonts w:cs="Arial"/>
          <w:sz w:val="20"/>
          <w:szCs w:val="20"/>
        </w:rPr>
      </w:pPr>
      <w:r w:rsidRPr="0078602D">
        <w:rPr>
          <w:rFonts w:cs="Arial"/>
          <w:sz w:val="20"/>
          <w:szCs w:val="20"/>
        </w:rPr>
        <w:t xml:space="preserve">CEN/TC 452/WG 6 Accessibility and Universal Access </w:t>
      </w:r>
    </w:p>
    <w:p w14:paraId="0D12D370" w14:textId="77777777" w:rsidR="0078602D" w:rsidRPr="0078602D" w:rsidRDefault="0078602D" w:rsidP="0078602D">
      <w:pPr>
        <w:pStyle w:val="Odstavecseseznamem"/>
        <w:numPr>
          <w:ilvl w:val="0"/>
          <w:numId w:val="18"/>
        </w:numPr>
        <w:rPr>
          <w:rFonts w:cs="Arial"/>
          <w:sz w:val="20"/>
          <w:szCs w:val="20"/>
        </w:rPr>
      </w:pPr>
      <w:r w:rsidRPr="0078602D">
        <w:rPr>
          <w:rFonts w:cs="Arial"/>
          <w:sz w:val="20"/>
          <w:szCs w:val="20"/>
        </w:rPr>
        <w:t xml:space="preserve">CEN/TC 452/WG 7 Conformity assessment </w:t>
      </w:r>
    </w:p>
    <w:p w14:paraId="2646177A" w14:textId="77777777" w:rsidR="0078602D" w:rsidRPr="0078602D" w:rsidRDefault="0078602D" w:rsidP="004D0463">
      <w:pPr>
        <w:spacing w:after="0"/>
        <w:rPr>
          <w:rFonts w:cs="Arial"/>
          <w:sz w:val="20"/>
          <w:szCs w:val="20"/>
        </w:rPr>
      </w:pPr>
      <w:r w:rsidRPr="0078602D">
        <w:rPr>
          <w:rFonts w:cs="Arial"/>
          <w:sz w:val="20"/>
          <w:szCs w:val="20"/>
        </w:rPr>
        <w:t xml:space="preserve">V současné době jsou v procesu tvorby tyto evropské normy: </w:t>
      </w:r>
    </w:p>
    <w:p w14:paraId="69FF681A" w14:textId="77777777" w:rsidR="0078602D" w:rsidRPr="0078602D" w:rsidRDefault="0078602D" w:rsidP="004D0463">
      <w:pPr>
        <w:pStyle w:val="Odstavecseseznamem"/>
        <w:numPr>
          <w:ilvl w:val="0"/>
          <w:numId w:val="19"/>
        </w:numPr>
        <w:spacing w:after="0"/>
        <w:contextualSpacing w:val="0"/>
        <w:rPr>
          <w:rFonts w:cs="Arial"/>
          <w:sz w:val="20"/>
          <w:szCs w:val="20"/>
        </w:rPr>
      </w:pPr>
      <w:r w:rsidRPr="0078602D">
        <w:rPr>
          <w:rFonts w:cs="Arial"/>
          <w:sz w:val="20"/>
          <w:szCs w:val="20"/>
        </w:rPr>
        <w:t xml:space="preserve">EN 17984-1 Assistance dogs – Part 1: Vocabulary a </w:t>
      </w:r>
    </w:p>
    <w:p w14:paraId="0649A3E9" w14:textId="77777777" w:rsidR="0078602D" w:rsidRPr="0078602D" w:rsidRDefault="0078602D" w:rsidP="0078602D">
      <w:pPr>
        <w:pStyle w:val="Odstavecseseznamem"/>
        <w:numPr>
          <w:ilvl w:val="0"/>
          <w:numId w:val="19"/>
        </w:numPr>
        <w:rPr>
          <w:rFonts w:cs="Arial"/>
          <w:sz w:val="20"/>
          <w:szCs w:val="20"/>
        </w:rPr>
      </w:pPr>
      <w:r w:rsidRPr="0078602D">
        <w:rPr>
          <w:rFonts w:cs="Arial"/>
          <w:sz w:val="20"/>
          <w:szCs w:val="20"/>
        </w:rPr>
        <w:t xml:space="preserve">EN 17984-6 Assistance dogs – Part 6: Accessibility and Universal Access (nelze odhadnout termín vydání). </w:t>
      </w:r>
    </w:p>
    <w:p w14:paraId="529E7C68" w14:textId="2C4E0C03" w:rsidR="0078602D" w:rsidRPr="0078602D" w:rsidRDefault="0078602D" w:rsidP="0078602D">
      <w:pPr>
        <w:rPr>
          <w:rFonts w:cs="Arial"/>
          <w:sz w:val="20"/>
          <w:szCs w:val="20"/>
        </w:rPr>
      </w:pPr>
      <w:r w:rsidRPr="0078602D">
        <w:rPr>
          <w:rFonts w:cs="Arial"/>
          <w:sz w:val="20"/>
          <w:szCs w:val="20"/>
        </w:rPr>
        <w:t xml:space="preserve">Na národní úrovni působí od roku 2019 TNK 154 Asistenční psi. </w:t>
      </w:r>
    </w:p>
    <w:p w14:paraId="2C4C9266" w14:textId="77777777" w:rsidR="00354C97" w:rsidRPr="0078602D" w:rsidRDefault="00354C97" w:rsidP="0078602D">
      <w:pPr>
        <w:keepNext/>
        <w:tabs>
          <w:tab w:val="left" w:pos="720"/>
        </w:tabs>
        <w:rPr>
          <w:rFonts w:cs="Arial"/>
          <w:b/>
          <w:bCs/>
          <w:sz w:val="20"/>
          <w:szCs w:val="20"/>
          <w:lang w:eastAsia="cs-CZ"/>
        </w:rPr>
      </w:pPr>
      <w:r w:rsidRPr="0078602D">
        <w:rPr>
          <w:rFonts w:cs="Arial"/>
          <w:b/>
          <w:bCs/>
          <w:sz w:val="20"/>
          <w:szCs w:val="20"/>
          <w:lang w:eastAsia="cs-CZ"/>
        </w:rPr>
        <w:t>STANOVISKO K PLNĚNÍ: Plněno.</w:t>
      </w:r>
    </w:p>
    <w:p w14:paraId="1656F461" w14:textId="77777777" w:rsidR="00B102E3" w:rsidRPr="005B46B6" w:rsidRDefault="00B102E3" w:rsidP="005B46B6">
      <w:pPr>
        <w:rPr>
          <w:rFonts w:cs="Arial"/>
          <w:sz w:val="20"/>
          <w:szCs w:val="20"/>
        </w:rPr>
      </w:pPr>
    </w:p>
    <w:p w14:paraId="4663BE64" w14:textId="6E0D8C11" w:rsidR="00F17E74" w:rsidRPr="00ED049D" w:rsidRDefault="00F17E74" w:rsidP="00F17E74">
      <w:pPr>
        <w:rPr>
          <w:rFonts w:cs="Arial"/>
          <w:szCs w:val="20"/>
        </w:rPr>
      </w:pPr>
      <w:r w:rsidRPr="0035060D">
        <w:rPr>
          <w:rFonts w:cs="Arial"/>
          <w:bCs/>
          <w:szCs w:val="20"/>
        </w:rPr>
        <w:t xml:space="preserve">Opatření </w:t>
      </w:r>
      <w:r>
        <w:rPr>
          <w:rFonts w:cs="Arial"/>
          <w:szCs w:val="20"/>
        </w:rPr>
        <w:t xml:space="preserve">2.2.2 </w:t>
      </w:r>
      <w:r w:rsidRPr="00006C58">
        <w:rPr>
          <w:rFonts w:cs="Arial"/>
          <w:szCs w:val="20"/>
        </w:rPr>
        <w:t xml:space="preserve">Provádět metodickou činnost vůči </w:t>
      </w:r>
      <w:r w:rsidRPr="00ED049D">
        <w:rPr>
          <w:rFonts w:cs="Arial"/>
          <w:szCs w:val="20"/>
        </w:rPr>
        <w:t>stavebním úřadům v oblasti obecných technických požadavků zabezpečující</w:t>
      </w:r>
      <w:r w:rsidR="00C27E69">
        <w:rPr>
          <w:rFonts w:cs="Arial"/>
          <w:szCs w:val="20"/>
        </w:rPr>
        <w:t>ch bezbariérové užívání staveb.</w:t>
      </w:r>
    </w:p>
    <w:p w14:paraId="7B8BEB73" w14:textId="456768F2" w:rsidR="00F17E74" w:rsidRPr="00ED049D" w:rsidRDefault="00D568F9" w:rsidP="00F17E74">
      <w:pPr>
        <w:rPr>
          <w:rFonts w:cs="Arial"/>
          <w:szCs w:val="20"/>
        </w:rPr>
      </w:pPr>
      <w:r>
        <w:rPr>
          <w:rFonts w:cs="Arial"/>
          <w:szCs w:val="20"/>
        </w:rPr>
        <w:lastRenderedPageBreak/>
        <w:t>Termín: průběžně</w:t>
      </w:r>
    </w:p>
    <w:p w14:paraId="41D494E9" w14:textId="77777777" w:rsidR="00F17E74" w:rsidRPr="00ED049D" w:rsidRDefault="00F17E74" w:rsidP="00F17E74">
      <w:pPr>
        <w:rPr>
          <w:rFonts w:cs="Arial"/>
          <w:szCs w:val="20"/>
        </w:rPr>
      </w:pPr>
      <w:r w:rsidRPr="00ED049D">
        <w:rPr>
          <w:rFonts w:cs="Arial"/>
          <w:szCs w:val="20"/>
        </w:rPr>
        <w:t>Gestor: MMR</w:t>
      </w:r>
    </w:p>
    <w:p w14:paraId="13618B7C" w14:textId="27957773" w:rsidR="00F17E74" w:rsidRDefault="00F17E74" w:rsidP="00B312FC">
      <w:pPr>
        <w:rPr>
          <w:rFonts w:cs="Arial"/>
          <w:szCs w:val="20"/>
        </w:rPr>
      </w:pPr>
      <w:r w:rsidRPr="00ED049D">
        <w:rPr>
          <w:rFonts w:cs="Arial"/>
          <w:szCs w:val="20"/>
        </w:rPr>
        <w:t>Indikátor: Alespoň jednou ročně je vydán metodický pokyn či jiný metodický dokument nebo je provedeno školení pracovníků stavebních úřadů v dané oblasti</w:t>
      </w:r>
      <w:r>
        <w:rPr>
          <w:rFonts w:cs="Arial"/>
          <w:szCs w:val="20"/>
        </w:rPr>
        <w:t xml:space="preserve">. </w:t>
      </w:r>
    </w:p>
    <w:p w14:paraId="2C14399D" w14:textId="77777777" w:rsidR="00B312FC" w:rsidRPr="00F43A71" w:rsidRDefault="00B312FC" w:rsidP="00F43A71">
      <w:pPr>
        <w:rPr>
          <w:rFonts w:cs="Arial"/>
          <w:sz w:val="20"/>
          <w:szCs w:val="20"/>
        </w:rPr>
      </w:pPr>
    </w:p>
    <w:p w14:paraId="1D25C636" w14:textId="562DB08F" w:rsidR="008646E3" w:rsidRPr="002B483E" w:rsidRDefault="008646E3" w:rsidP="002B483E">
      <w:pPr>
        <w:tabs>
          <w:tab w:val="left" w:pos="720"/>
        </w:tabs>
        <w:rPr>
          <w:rFonts w:cs="Arial"/>
          <w:b/>
          <w:bCs/>
          <w:sz w:val="20"/>
          <w:szCs w:val="20"/>
          <w:lang w:eastAsia="cs-CZ"/>
        </w:rPr>
      </w:pPr>
      <w:r w:rsidRPr="002B483E">
        <w:rPr>
          <w:rFonts w:cs="Arial"/>
          <w:b/>
          <w:bCs/>
          <w:sz w:val="20"/>
          <w:szCs w:val="20"/>
          <w:lang w:eastAsia="cs-CZ"/>
        </w:rPr>
        <w:t>PLNĚNÍ MMR:</w:t>
      </w:r>
    </w:p>
    <w:p w14:paraId="45225BB1" w14:textId="77777777" w:rsidR="002B483E" w:rsidRPr="002B483E" w:rsidRDefault="002B483E" w:rsidP="002B483E">
      <w:pPr>
        <w:rPr>
          <w:rFonts w:cs="Arial"/>
          <w:bCs/>
          <w:iCs/>
          <w:sz w:val="20"/>
          <w:szCs w:val="20"/>
        </w:rPr>
      </w:pPr>
      <w:r w:rsidRPr="002B483E">
        <w:rPr>
          <w:rFonts w:cs="Arial"/>
          <w:bCs/>
          <w:iCs/>
          <w:sz w:val="20"/>
          <w:szCs w:val="20"/>
        </w:rPr>
        <w:t>MMR má ve své gesci mj. zákon č. 183/2006 Sb., o územním plánování a stavebním řádu (stavební zákon), ve znění pozdějších předpisů a jeho prováděcí vyhlášky, včetně vyhlášky č. 398/2009 Sb., o obecných technických požadavcích zabezpečujících bezbariérové užívání staveb. MMR svoji metodickou činnost provádí více způsoby a jejich kombinacemi:</w:t>
      </w:r>
    </w:p>
    <w:p w14:paraId="522478BB" w14:textId="77777777" w:rsidR="002B483E" w:rsidRPr="002B483E" w:rsidRDefault="002B483E" w:rsidP="002B483E">
      <w:pPr>
        <w:rPr>
          <w:rFonts w:cs="Arial"/>
          <w:bCs/>
          <w:iCs/>
          <w:sz w:val="20"/>
          <w:szCs w:val="20"/>
        </w:rPr>
      </w:pPr>
      <w:r w:rsidRPr="002B483E">
        <w:rPr>
          <w:rFonts w:cs="Arial"/>
          <w:bCs/>
          <w:iCs/>
          <w:sz w:val="20"/>
          <w:szCs w:val="20"/>
        </w:rPr>
        <w:t>- Problematika bezbariérového užívání staveb je začleněna do systému vzdělávání a ověřování zvláštní odborné způsobilosti úředníků obecných stavebních úřadů na úseku územního rozhodování a stavebního řádu.</w:t>
      </w:r>
    </w:p>
    <w:p w14:paraId="5C387932" w14:textId="77777777" w:rsidR="002B483E" w:rsidRPr="002B483E" w:rsidRDefault="002B483E" w:rsidP="002B483E">
      <w:pPr>
        <w:rPr>
          <w:rFonts w:cs="Arial"/>
          <w:bCs/>
          <w:iCs/>
          <w:sz w:val="20"/>
          <w:szCs w:val="20"/>
        </w:rPr>
      </w:pPr>
      <w:r w:rsidRPr="002B483E">
        <w:rPr>
          <w:rFonts w:cs="Arial"/>
          <w:bCs/>
          <w:iCs/>
          <w:sz w:val="20"/>
          <w:szCs w:val="20"/>
        </w:rPr>
        <w:t>- MMR průběžně a dle potřeby zpracovává stanoviska k aplikaci ustanovení předpisů stavebního práva týkajících se požadavků na bezbariérové užívání staveb.</w:t>
      </w:r>
    </w:p>
    <w:p w14:paraId="7D8E5624" w14:textId="77777777" w:rsidR="002B483E" w:rsidRPr="002B483E" w:rsidRDefault="002B483E" w:rsidP="002B483E">
      <w:pPr>
        <w:rPr>
          <w:rFonts w:cs="Arial"/>
          <w:bCs/>
          <w:iCs/>
          <w:sz w:val="20"/>
          <w:szCs w:val="20"/>
        </w:rPr>
      </w:pPr>
      <w:r w:rsidRPr="002B483E">
        <w:rPr>
          <w:rFonts w:cs="Arial"/>
          <w:bCs/>
          <w:iCs/>
          <w:sz w:val="20"/>
          <w:szCs w:val="20"/>
        </w:rPr>
        <w:t>Na webu MMR byly zveřejněny dvě pomůcky:</w:t>
      </w:r>
    </w:p>
    <w:p w14:paraId="588BA142" w14:textId="27DF3FF7" w:rsidR="002B483E" w:rsidRPr="002B483E" w:rsidRDefault="002B483E" w:rsidP="002B483E">
      <w:pPr>
        <w:rPr>
          <w:rFonts w:cs="Arial"/>
          <w:bCs/>
          <w:iCs/>
          <w:sz w:val="20"/>
          <w:szCs w:val="20"/>
        </w:rPr>
      </w:pPr>
      <w:r w:rsidRPr="002B483E">
        <w:rPr>
          <w:rFonts w:cs="Arial"/>
          <w:bCs/>
          <w:iCs/>
          <w:sz w:val="20"/>
          <w:szCs w:val="20"/>
        </w:rPr>
        <w:t>Uplatnění hmatových prvků na pochozích plochách pro chodce s ohledem na zájmy státní památkové péče</w:t>
      </w:r>
    </w:p>
    <w:p w14:paraId="7FB63651" w14:textId="21572B3A" w:rsidR="002B483E" w:rsidRPr="002B483E" w:rsidRDefault="002B483E" w:rsidP="002B483E">
      <w:pPr>
        <w:rPr>
          <w:rFonts w:cs="Arial"/>
          <w:bCs/>
          <w:iCs/>
          <w:sz w:val="20"/>
          <w:szCs w:val="20"/>
        </w:rPr>
      </w:pPr>
      <w:r w:rsidRPr="002B483E">
        <w:rPr>
          <w:rFonts w:cs="Arial"/>
          <w:bCs/>
          <w:iCs/>
          <w:sz w:val="20"/>
          <w:szCs w:val="20"/>
        </w:rPr>
        <w:t>Cílem tohoto stanoviska je sjednotit aplikační praxi pro pochozí plochy pro chodce, na nichž se provádí hmatové úpravy pro osoby se zrakovým postižením a zároveň se zohledňuje ochrana památkové péče. Jeho znění vychází z dohody mezi MMR, MD, MK, MPO, ČKA, ČKAIT a SONS. Stanovisko má 4 části a 8 bodů. První část obsahuje úvod a kompetence resortů. Ve druhé části je stavební zákon, bezbariérová vyhláška a hmatové prvky. Třetí část obsahuje zabránění ohrožení života, zdraví a bezpečnosti osob a zajištění ochrany veřejných zájmů. Ve čtvrté části jsou uvedeny závěry.</w:t>
      </w:r>
    </w:p>
    <w:p w14:paraId="0C4EBD5C" w14:textId="77777777" w:rsidR="002B483E" w:rsidRPr="002B483E" w:rsidRDefault="007C49CB" w:rsidP="002B483E">
      <w:pPr>
        <w:rPr>
          <w:rFonts w:cs="Arial"/>
          <w:bCs/>
          <w:iCs/>
          <w:sz w:val="20"/>
          <w:szCs w:val="20"/>
        </w:rPr>
      </w:pPr>
      <w:hyperlink r:id="rId50" w:history="1">
        <w:r w:rsidR="002B483E" w:rsidRPr="002B483E">
          <w:rPr>
            <w:rStyle w:val="Hypertextovodkaz"/>
            <w:rFonts w:cs="Arial"/>
            <w:bCs/>
            <w:iCs/>
            <w:sz w:val="20"/>
            <w:szCs w:val="20"/>
          </w:rPr>
          <w:t>https://www.mmr.cz/cs/ministerstvo/stavebni-pravo/informace-a-aktuality/stavebni-rad/informace-z-oblasti-bezbarieroveho-uzivani-sta-(1)/uplatneni-hmatovych-prvku-na-pochozich-plochach-pr</w:t>
        </w:r>
      </w:hyperlink>
    </w:p>
    <w:p w14:paraId="43C336AF" w14:textId="77777777" w:rsidR="002B483E" w:rsidRPr="002B483E" w:rsidRDefault="002B483E" w:rsidP="002B483E">
      <w:pPr>
        <w:rPr>
          <w:rFonts w:cs="Arial"/>
          <w:bCs/>
          <w:iCs/>
          <w:sz w:val="20"/>
          <w:szCs w:val="20"/>
        </w:rPr>
      </w:pPr>
      <w:r w:rsidRPr="002B483E">
        <w:rPr>
          <w:rFonts w:cs="Arial"/>
          <w:bCs/>
          <w:iCs/>
          <w:sz w:val="20"/>
          <w:szCs w:val="20"/>
        </w:rPr>
        <w:t>Přehled informací k požadavkům na bezbariérové užívání staveb za období 2010-2023:</w:t>
      </w:r>
    </w:p>
    <w:p w14:paraId="33159D42" w14:textId="77777777" w:rsidR="002B483E" w:rsidRPr="002B483E" w:rsidRDefault="007C49CB" w:rsidP="002B483E">
      <w:pPr>
        <w:rPr>
          <w:rFonts w:cs="Arial"/>
          <w:bCs/>
          <w:iCs/>
          <w:sz w:val="20"/>
          <w:szCs w:val="20"/>
        </w:rPr>
      </w:pPr>
      <w:hyperlink r:id="rId51" w:history="1">
        <w:r w:rsidR="002B483E" w:rsidRPr="002B483E">
          <w:rPr>
            <w:rStyle w:val="Hypertextovodkaz"/>
            <w:rFonts w:cs="Arial"/>
            <w:bCs/>
            <w:iCs/>
            <w:sz w:val="20"/>
            <w:szCs w:val="20"/>
          </w:rPr>
          <w:t>https://www.mmr.cz/cs/ministerstvo/stavebni-pravo/informace-a-aktuality/stavebni-rad/informace-z-oblasti-bezbarieroveho-uzivani-sta-(1)/bezbarierove-uzivani-staveb-v-prispevcich</w:t>
        </w:r>
      </w:hyperlink>
    </w:p>
    <w:p w14:paraId="07C77D32" w14:textId="7E017587" w:rsidR="008646E3" w:rsidRPr="002B483E" w:rsidRDefault="008646E3" w:rsidP="002B483E">
      <w:pPr>
        <w:keepNext/>
        <w:tabs>
          <w:tab w:val="left" w:pos="720"/>
        </w:tabs>
        <w:rPr>
          <w:rFonts w:cs="Arial"/>
          <w:b/>
          <w:bCs/>
          <w:sz w:val="20"/>
          <w:szCs w:val="20"/>
          <w:lang w:eastAsia="cs-CZ"/>
        </w:rPr>
      </w:pPr>
      <w:r w:rsidRPr="002B483E">
        <w:rPr>
          <w:rFonts w:cs="Arial"/>
          <w:b/>
          <w:bCs/>
          <w:sz w:val="20"/>
          <w:szCs w:val="20"/>
          <w:lang w:eastAsia="cs-CZ"/>
        </w:rPr>
        <w:t>STANOVISKO K PLNĚNÍ:</w:t>
      </w:r>
      <w:r w:rsidR="00AF76AE" w:rsidRPr="002B483E">
        <w:rPr>
          <w:rFonts w:cs="Arial"/>
          <w:b/>
          <w:bCs/>
          <w:sz w:val="20"/>
          <w:szCs w:val="20"/>
          <w:lang w:eastAsia="cs-CZ"/>
        </w:rPr>
        <w:t xml:space="preserve"> Plněno.</w:t>
      </w:r>
    </w:p>
    <w:p w14:paraId="40A9B27C" w14:textId="77777777" w:rsidR="008646E3" w:rsidRPr="00972684" w:rsidRDefault="008646E3" w:rsidP="00B312FC">
      <w:pPr>
        <w:rPr>
          <w:rFonts w:cs="Arial"/>
          <w:sz w:val="20"/>
          <w:szCs w:val="20"/>
        </w:rPr>
      </w:pPr>
    </w:p>
    <w:p w14:paraId="2030C98C" w14:textId="3CFC15C6" w:rsidR="00F17E74" w:rsidRPr="00006C58" w:rsidRDefault="00F17E74" w:rsidP="00F17E74">
      <w:pPr>
        <w:rPr>
          <w:rFonts w:cs="Arial"/>
          <w:szCs w:val="20"/>
        </w:rPr>
      </w:pPr>
      <w:r w:rsidRPr="0035060D">
        <w:rPr>
          <w:rFonts w:cs="Arial"/>
          <w:bCs/>
          <w:szCs w:val="20"/>
        </w:rPr>
        <w:t xml:space="preserve">Opatření </w:t>
      </w:r>
      <w:r>
        <w:rPr>
          <w:rFonts w:cs="Arial"/>
          <w:szCs w:val="20"/>
        </w:rPr>
        <w:t xml:space="preserve">2.2.3 </w:t>
      </w:r>
      <w:r w:rsidRPr="00ED049D">
        <w:rPr>
          <w:rFonts w:cs="Arial"/>
          <w:szCs w:val="20"/>
        </w:rPr>
        <w:t>Pravidelně</w:t>
      </w:r>
      <w:r>
        <w:rPr>
          <w:rFonts w:cs="Arial"/>
          <w:szCs w:val="20"/>
        </w:rPr>
        <w:t xml:space="preserve"> v</w:t>
      </w:r>
      <w:r w:rsidRPr="00006C58">
        <w:rPr>
          <w:rFonts w:cs="Arial"/>
          <w:szCs w:val="20"/>
        </w:rPr>
        <w:t>yhlašovat dotační program pro nestátní neziskové organizace Podpora a ochrana veřejného zájmu na úseku</w:t>
      </w:r>
      <w:r w:rsidR="00B11EA1">
        <w:rPr>
          <w:rFonts w:cs="Arial"/>
          <w:szCs w:val="20"/>
        </w:rPr>
        <w:t xml:space="preserve"> bezbariérového užívání staveb.</w:t>
      </w:r>
    </w:p>
    <w:p w14:paraId="0AB0CDDD" w14:textId="74EFF387" w:rsidR="00F17E74" w:rsidRPr="00006C58" w:rsidRDefault="00B500DA" w:rsidP="00F17E74">
      <w:pPr>
        <w:rPr>
          <w:rFonts w:cs="Arial"/>
          <w:szCs w:val="20"/>
        </w:rPr>
      </w:pPr>
      <w:r>
        <w:rPr>
          <w:rFonts w:cs="Arial"/>
          <w:szCs w:val="20"/>
        </w:rPr>
        <w:t>Termín: průběžně</w:t>
      </w:r>
    </w:p>
    <w:p w14:paraId="3BD64E22" w14:textId="77777777" w:rsidR="00F17E74" w:rsidRPr="00006C58" w:rsidRDefault="00F17E74" w:rsidP="00F17E74">
      <w:pPr>
        <w:rPr>
          <w:rFonts w:cs="Arial"/>
          <w:szCs w:val="20"/>
        </w:rPr>
      </w:pPr>
      <w:r w:rsidRPr="00006C58">
        <w:rPr>
          <w:rFonts w:cs="Arial"/>
          <w:szCs w:val="20"/>
        </w:rPr>
        <w:t>Gestor: MMR</w:t>
      </w:r>
    </w:p>
    <w:p w14:paraId="278046B2" w14:textId="73902EF9" w:rsidR="00F17E74" w:rsidRDefault="00F17E74" w:rsidP="00211483">
      <w:pPr>
        <w:rPr>
          <w:rFonts w:cs="Arial"/>
          <w:szCs w:val="20"/>
        </w:rPr>
      </w:pPr>
      <w:r>
        <w:rPr>
          <w:rFonts w:cs="Arial"/>
          <w:szCs w:val="20"/>
        </w:rPr>
        <w:t>Indikátor</w:t>
      </w:r>
      <w:r w:rsidR="00993250">
        <w:rPr>
          <w:rFonts w:cs="Arial"/>
          <w:szCs w:val="20"/>
        </w:rPr>
        <w:t>: U</w:t>
      </w:r>
      <w:r w:rsidRPr="00BC08B2">
        <w:rPr>
          <w:rFonts w:cs="Arial"/>
          <w:szCs w:val="20"/>
        </w:rPr>
        <w:t>ve</w:t>
      </w:r>
      <w:r>
        <w:rPr>
          <w:rFonts w:cs="Arial"/>
          <w:szCs w:val="20"/>
        </w:rPr>
        <w:t>dený dotační program je každoročně vyhlašován</w:t>
      </w:r>
      <w:r w:rsidRPr="00BC08B2">
        <w:rPr>
          <w:rFonts w:cs="Arial"/>
          <w:szCs w:val="20"/>
        </w:rPr>
        <w:t xml:space="preserve">. </w:t>
      </w:r>
    </w:p>
    <w:p w14:paraId="7D6704DC" w14:textId="77777777" w:rsidR="00211483" w:rsidRPr="00290CF5" w:rsidRDefault="00211483" w:rsidP="00290CF5">
      <w:pPr>
        <w:rPr>
          <w:rFonts w:cs="Arial"/>
          <w:sz w:val="20"/>
          <w:szCs w:val="20"/>
        </w:rPr>
      </w:pPr>
    </w:p>
    <w:p w14:paraId="5317BEA5" w14:textId="66211459" w:rsidR="00291C23" w:rsidRPr="00290CF5" w:rsidRDefault="00291C23" w:rsidP="00290CF5">
      <w:pPr>
        <w:tabs>
          <w:tab w:val="left" w:pos="720"/>
        </w:tabs>
        <w:rPr>
          <w:rFonts w:cs="Arial"/>
          <w:b/>
          <w:bCs/>
          <w:sz w:val="20"/>
          <w:szCs w:val="20"/>
          <w:lang w:eastAsia="cs-CZ"/>
        </w:rPr>
      </w:pPr>
      <w:r w:rsidRPr="00290CF5">
        <w:rPr>
          <w:rFonts w:cs="Arial"/>
          <w:b/>
          <w:bCs/>
          <w:sz w:val="20"/>
          <w:szCs w:val="20"/>
          <w:lang w:eastAsia="cs-CZ"/>
        </w:rPr>
        <w:t>PLNĚNÍ MMR:</w:t>
      </w:r>
    </w:p>
    <w:p w14:paraId="1E1686D5" w14:textId="1D68730F" w:rsidR="00290CF5" w:rsidRPr="00290CF5" w:rsidRDefault="00290CF5" w:rsidP="00290CF5">
      <w:pPr>
        <w:rPr>
          <w:rFonts w:cs="Arial"/>
          <w:iCs/>
          <w:sz w:val="20"/>
          <w:szCs w:val="20"/>
        </w:rPr>
      </w:pPr>
      <w:r w:rsidRPr="00290CF5">
        <w:rPr>
          <w:rFonts w:cs="Arial"/>
          <w:iCs/>
          <w:sz w:val="20"/>
          <w:szCs w:val="20"/>
        </w:rPr>
        <w:t>MMR každoročně vyhlašuje výzvu na podporu nestátních neziskových organizací, mj. i</w:t>
      </w:r>
      <w:r w:rsidRPr="00290CF5">
        <w:rPr>
          <w:rFonts w:ascii="Calibri" w:hAnsi="Calibri" w:cs="Calibri"/>
          <w:iCs/>
          <w:sz w:val="20"/>
          <w:szCs w:val="20"/>
        </w:rPr>
        <w:t> </w:t>
      </w:r>
      <w:r w:rsidRPr="00290CF5">
        <w:rPr>
          <w:rFonts w:cs="Arial"/>
          <w:iCs/>
          <w:sz w:val="20"/>
          <w:szCs w:val="20"/>
        </w:rPr>
        <w:t xml:space="preserve">v oblasti Podpora a ochrana veřejného zájmu na úseku bezbariérového užívání staveb. V dané oblasti budou NNO podporovány i v roce 2024. Podporována bude správná aplikace bezbariérové vyhlášky, zejména spoluprací se stavebními úřady. Podporováno bude iniciování řešení nebezpečných míst a iniciování odstraňování architektonických bariér ve stávajících stavbách. Podporováno bude rovněž zpracovávání a poskytování metodických informací pro osoby s omezenou schopností pohybu nebo orientace o bezbariérovém prostředí. Podpora bude navazovat na Úmluvu OSN o právech osob se zdravotním postižením (sdělení MZV č. 10/2010 Sb. m. s.), Národní plán podpory rovných příležitostí </w:t>
      </w:r>
      <w:r w:rsidRPr="00290CF5">
        <w:rPr>
          <w:rFonts w:cs="Arial"/>
          <w:iCs/>
          <w:sz w:val="20"/>
          <w:szCs w:val="20"/>
        </w:rPr>
        <w:lastRenderedPageBreak/>
        <w:t>pro osoby se zdravotním postižením na období 2021–2025 a vyhlášku č. 398/2009 Sb. o obecných technických požadavcích zabezpečujících bezbariérové užívání staveb. Vyšší prioritu mají projekty s</w:t>
      </w:r>
      <w:r w:rsidRPr="00290CF5">
        <w:rPr>
          <w:rFonts w:ascii="Calibri" w:hAnsi="Calibri" w:cs="Calibri"/>
          <w:iCs/>
          <w:sz w:val="20"/>
          <w:szCs w:val="20"/>
        </w:rPr>
        <w:t> </w:t>
      </w:r>
      <w:r w:rsidRPr="00290CF5">
        <w:rPr>
          <w:rFonts w:cs="Arial"/>
          <w:iCs/>
          <w:sz w:val="20"/>
          <w:szCs w:val="20"/>
        </w:rPr>
        <w:t>celostátní působností.</w:t>
      </w:r>
    </w:p>
    <w:p w14:paraId="6AB9633C" w14:textId="171E3349" w:rsidR="00EB6FAD" w:rsidRPr="00290CF5" w:rsidRDefault="00291C23" w:rsidP="00290CF5">
      <w:pPr>
        <w:keepNext/>
        <w:tabs>
          <w:tab w:val="left" w:pos="720"/>
        </w:tabs>
        <w:rPr>
          <w:rFonts w:cs="Arial"/>
          <w:b/>
          <w:bCs/>
          <w:sz w:val="20"/>
          <w:szCs w:val="20"/>
          <w:lang w:eastAsia="cs-CZ"/>
        </w:rPr>
      </w:pPr>
      <w:r w:rsidRPr="00290CF5">
        <w:rPr>
          <w:rFonts w:cs="Arial"/>
          <w:b/>
          <w:bCs/>
          <w:sz w:val="20"/>
          <w:szCs w:val="20"/>
          <w:lang w:eastAsia="cs-CZ"/>
        </w:rPr>
        <w:t>STANOVISKO K PLNĚNÍ:</w:t>
      </w:r>
      <w:r w:rsidR="006A7D1F" w:rsidRPr="00290CF5">
        <w:rPr>
          <w:rFonts w:cs="Arial"/>
          <w:b/>
          <w:bCs/>
          <w:sz w:val="20"/>
          <w:szCs w:val="20"/>
          <w:lang w:eastAsia="cs-CZ"/>
        </w:rPr>
        <w:t xml:space="preserve"> Plněno.</w:t>
      </w:r>
    </w:p>
    <w:p w14:paraId="0DCB5A8A" w14:textId="62FF9087" w:rsidR="00BC5ADA" w:rsidRPr="00045271" w:rsidRDefault="00BC5ADA" w:rsidP="00045271">
      <w:pPr>
        <w:jc w:val="left"/>
        <w:rPr>
          <w:rFonts w:cs="Arial"/>
          <w:b/>
          <w:sz w:val="20"/>
          <w:szCs w:val="20"/>
        </w:rPr>
      </w:pPr>
    </w:p>
    <w:p w14:paraId="42E82289" w14:textId="47006E5A" w:rsidR="00F17E74" w:rsidRPr="00006C58" w:rsidRDefault="00F17E74" w:rsidP="0099077A">
      <w:pPr>
        <w:rPr>
          <w:rFonts w:cs="Arial"/>
          <w:b/>
          <w:szCs w:val="20"/>
        </w:rPr>
      </w:pPr>
      <w:r>
        <w:rPr>
          <w:rFonts w:cs="Arial"/>
          <w:b/>
          <w:szCs w:val="20"/>
        </w:rPr>
        <w:t xml:space="preserve">2.3 </w:t>
      </w:r>
      <w:r w:rsidRPr="00006C58">
        <w:rPr>
          <w:rFonts w:cs="Arial"/>
          <w:b/>
          <w:szCs w:val="20"/>
        </w:rPr>
        <w:t xml:space="preserve">Cíl: </w:t>
      </w:r>
      <w:r w:rsidRPr="00006C58">
        <w:rPr>
          <w:rFonts w:cs="Arial"/>
          <w:b/>
          <w:bCs/>
          <w:szCs w:val="20"/>
        </w:rPr>
        <w:t>Vyšší bezpečnost osob se zdravotním postižením při pohybu na pozemních komunikacích.</w:t>
      </w:r>
    </w:p>
    <w:p w14:paraId="2F2D0232" w14:textId="629D5695" w:rsidR="00F17E74" w:rsidRPr="00006C58" w:rsidRDefault="00F17E74" w:rsidP="00F17E74">
      <w:pPr>
        <w:rPr>
          <w:rFonts w:cs="Arial"/>
          <w:szCs w:val="20"/>
        </w:rPr>
      </w:pPr>
      <w:r w:rsidRPr="0035060D">
        <w:rPr>
          <w:rFonts w:cs="Arial"/>
          <w:bCs/>
          <w:szCs w:val="20"/>
        </w:rPr>
        <w:t xml:space="preserve">Opatření </w:t>
      </w:r>
      <w:r>
        <w:rPr>
          <w:rFonts w:cs="Arial"/>
          <w:szCs w:val="20"/>
        </w:rPr>
        <w:t xml:space="preserve">2.3.1 </w:t>
      </w:r>
      <w:r w:rsidRPr="00006C58">
        <w:rPr>
          <w:rFonts w:cs="Arial"/>
          <w:szCs w:val="20"/>
        </w:rPr>
        <w:t>Prostřednictvím osvětové kampaně určené všem účastníkům silničního provozu upozorňovat na zajištění bezpečnosti osob se zdravotním</w:t>
      </w:r>
      <w:r w:rsidR="00936629">
        <w:rPr>
          <w:rFonts w:cs="Arial"/>
          <w:szCs w:val="20"/>
        </w:rPr>
        <w:t xml:space="preserve"> postižením.</w:t>
      </w:r>
    </w:p>
    <w:p w14:paraId="6CB9F621" w14:textId="5D781E3B" w:rsidR="00F17E74" w:rsidRPr="00006C58" w:rsidRDefault="00AB36EC" w:rsidP="00F17E74">
      <w:pPr>
        <w:rPr>
          <w:rFonts w:cs="Arial"/>
          <w:szCs w:val="20"/>
        </w:rPr>
      </w:pPr>
      <w:r>
        <w:rPr>
          <w:rFonts w:cs="Arial"/>
          <w:szCs w:val="20"/>
        </w:rPr>
        <w:t>Termín: průběžně</w:t>
      </w:r>
    </w:p>
    <w:p w14:paraId="35243225" w14:textId="77777777" w:rsidR="00F17E74" w:rsidRPr="00006C58" w:rsidRDefault="00F17E74" w:rsidP="002A5DD5">
      <w:pPr>
        <w:rPr>
          <w:rFonts w:cs="Arial"/>
          <w:szCs w:val="20"/>
        </w:rPr>
      </w:pPr>
      <w:r w:rsidRPr="00006C58">
        <w:rPr>
          <w:rFonts w:cs="Arial"/>
          <w:szCs w:val="20"/>
        </w:rPr>
        <w:t>Gestor: MD</w:t>
      </w:r>
      <w:r>
        <w:rPr>
          <w:rFonts w:cs="Arial"/>
          <w:szCs w:val="20"/>
        </w:rPr>
        <w:t xml:space="preserve"> (BESIP)</w:t>
      </w:r>
    </w:p>
    <w:p w14:paraId="48A48D7B" w14:textId="4526974A" w:rsidR="00F17E74" w:rsidRDefault="00F17E74" w:rsidP="002A5DD5">
      <w:pPr>
        <w:rPr>
          <w:rFonts w:cs="Arial"/>
          <w:szCs w:val="20"/>
        </w:rPr>
      </w:pPr>
      <w:r>
        <w:rPr>
          <w:rFonts w:cs="Arial"/>
          <w:szCs w:val="20"/>
        </w:rPr>
        <w:t>Indikátor: O</w:t>
      </w:r>
      <w:r w:rsidRPr="00BC08B2">
        <w:rPr>
          <w:rFonts w:cs="Arial"/>
          <w:szCs w:val="20"/>
        </w:rPr>
        <w:t>světová kampaň</w:t>
      </w:r>
      <w:r>
        <w:rPr>
          <w:rFonts w:cs="Arial"/>
          <w:szCs w:val="20"/>
        </w:rPr>
        <w:t xml:space="preserve"> je realizována</w:t>
      </w:r>
      <w:r w:rsidRPr="00BC08B2">
        <w:rPr>
          <w:rFonts w:cs="Arial"/>
          <w:szCs w:val="20"/>
        </w:rPr>
        <w:t>.</w:t>
      </w:r>
      <w:r>
        <w:rPr>
          <w:rFonts w:cs="Arial"/>
          <w:szCs w:val="20"/>
        </w:rPr>
        <w:t xml:space="preserve"> </w:t>
      </w:r>
    </w:p>
    <w:p w14:paraId="7486DE73" w14:textId="77777777" w:rsidR="002A5DD5" w:rsidRDefault="002A5DD5" w:rsidP="002A5DD5">
      <w:pPr>
        <w:rPr>
          <w:rFonts w:cs="Arial"/>
          <w:szCs w:val="20"/>
        </w:rPr>
      </w:pPr>
    </w:p>
    <w:p w14:paraId="107F5C14" w14:textId="0DCE61E3" w:rsidR="008607D2" w:rsidRPr="002A5DD5" w:rsidRDefault="008607D2" w:rsidP="002A5DD5">
      <w:pPr>
        <w:tabs>
          <w:tab w:val="left" w:pos="720"/>
        </w:tabs>
        <w:rPr>
          <w:rFonts w:cs="Arial"/>
          <w:b/>
          <w:bCs/>
          <w:sz w:val="20"/>
          <w:szCs w:val="20"/>
          <w:lang w:eastAsia="cs-CZ"/>
        </w:rPr>
      </w:pPr>
      <w:r w:rsidRPr="002A5DD5">
        <w:rPr>
          <w:rFonts w:cs="Arial"/>
          <w:b/>
          <w:bCs/>
          <w:sz w:val="20"/>
          <w:szCs w:val="20"/>
          <w:lang w:eastAsia="cs-CZ"/>
        </w:rPr>
        <w:t>PLNĚNÍ MD:</w:t>
      </w:r>
    </w:p>
    <w:p w14:paraId="6BD3FEAA" w14:textId="77777777" w:rsidR="00145AD6" w:rsidRPr="002A5DD5" w:rsidRDefault="00145AD6" w:rsidP="00145AD6">
      <w:pPr>
        <w:rPr>
          <w:rFonts w:eastAsia="Calibri" w:cs="Arial"/>
          <w:sz w:val="20"/>
          <w:szCs w:val="20"/>
        </w:rPr>
      </w:pPr>
      <w:r w:rsidRPr="002A5DD5">
        <w:rPr>
          <w:rFonts w:eastAsia="Calibri" w:cs="Arial"/>
          <w:sz w:val="20"/>
          <w:szCs w:val="20"/>
        </w:rPr>
        <w:t>V rámci projektu EUROKLÍČ v roce 2023 Ministerstvo dopravy ČR spolufinancovalo propagační materiál tohoto projektu v následujícím rozsahu:</w:t>
      </w:r>
    </w:p>
    <w:p w14:paraId="3EDDB373" w14:textId="77777777" w:rsidR="00145AD6" w:rsidRPr="002A5DD5" w:rsidRDefault="00145AD6" w:rsidP="006A1E1C">
      <w:pPr>
        <w:numPr>
          <w:ilvl w:val="1"/>
          <w:numId w:val="4"/>
        </w:numPr>
        <w:spacing w:after="480"/>
        <w:ind w:left="1134" w:hanging="567"/>
        <w:contextualSpacing/>
        <w:rPr>
          <w:rFonts w:eastAsia="Calibri" w:cs="Arial"/>
          <w:sz w:val="20"/>
          <w:szCs w:val="20"/>
        </w:rPr>
      </w:pPr>
      <w:r w:rsidRPr="002A5DD5">
        <w:rPr>
          <w:rFonts w:eastAsia="Calibri" w:cs="Arial"/>
          <w:sz w:val="20"/>
          <w:szCs w:val="20"/>
        </w:rPr>
        <w:t xml:space="preserve">Průvodce po místech v ČR osazených Eurozámky – 2 000 ks </w:t>
      </w:r>
    </w:p>
    <w:p w14:paraId="5A3A07A3" w14:textId="77777777" w:rsidR="00145AD6" w:rsidRPr="002A5DD5" w:rsidRDefault="00145AD6" w:rsidP="006A1E1C">
      <w:pPr>
        <w:numPr>
          <w:ilvl w:val="1"/>
          <w:numId w:val="4"/>
        </w:numPr>
        <w:spacing w:after="480"/>
        <w:ind w:left="1134" w:hanging="567"/>
        <w:contextualSpacing/>
        <w:rPr>
          <w:rFonts w:eastAsia="Calibri" w:cs="Arial"/>
          <w:sz w:val="20"/>
          <w:szCs w:val="20"/>
        </w:rPr>
      </w:pPr>
      <w:r w:rsidRPr="002A5DD5">
        <w:rPr>
          <w:rFonts w:eastAsia="Calibri" w:cs="Arial"/>
          <w:sz w:val="20"/>
          <w:szCs w:val="20"/>
        </w:rPr>
        <w:t xml:space="preserve">Pamětní deska 20,5 x 20,5 cm samolepicí 14krajů x 40 ks </w:t>
      </w:r>
    </w:p>
    <w:p w14:paraId="7F43CF47" w14:textId="77777777" w:rsidR="00145AD6" w:rsidRPr="002A5DD5" w:rsidRDefault="00145AD6" w:rsidP="006A1E1C">
      <w:pPr>
        <w:numPr>
          <w:ilvl w:val="1"/>
          <w:numId w:val="4"/>
        </w:numPr>
        <w:spacing w:after="480"/>
        <w:ind w:left="1134" w:hanging="567"/>
        <w:contextualSpacing/>
        <w:rPr>
          <w:rFonts w:eastAsia="Calibri" w:cs="Arial"/>
          <w:sz w:val="20"/>
          <w:szCs w:val="20"/>
        </w:rPr>
      </w:pPr>
      <w:r w:rsidRPr="002A5DD5">
        <w:rPr>
          <w:rFonts w:eastAsia="Calibri" w:cs="Arial"/>
          <w:sz w:val="20"/>
          <w:szCs w:val="20"/>
        </w:rPr>
        <w:t xml:space="preserve">Informační leták A5, 6 stran – 14krajů x 600 ks  </w:t>
      </w:r>
    </w:p>
    <w:p w14:paraId="418DFF0E" w14:textId="42BE8563" w:rsidR="00145AD6" w:rsidRPr="00E67402" w:rsidRDefault="00145AD6" w:rsidP="006A1E1C">
      <w:pPr>
        <w:numPr>
          <w:ilvl w:val="1"/>
          <w:numId w:val="4"/>
        </w:numPr>
        <w:ind w:left="1134" w:hanging="567"/>
        <w:rPr>
          <w:rFonts w:eastAsia="Calibri" w:cs="Arial"/>
          <w:sz w:val="20"/>
          <w:szCs w:val="20"/>
        </w:rPr>
      </w:pPr>
      <w:r w:rsidRPr="00E67402">
        <w:rPr>
          <w:rFonts w:eastAsia="Calibri" w:cs="Arial"/>
          <w:sz w:val="20"/>
          <w:szCs w:val="20"/>
        </w:rPr>
        <w:t>Označení dveří - "Prosím, klepejte", samolepicí - 560 ks</w:t>
      </w:r>
    </w:p>
    <w:p w14:paraId="374E4466" w14:textId="45C431EA" w:rsidR="002A5DD5" w:rsidRPr="002A5DD5" w:rsidRDefault="00E2633B" w:rsidP="002A5DD5">
      <w:pPr>
        <w:rPr>
          <w:rFonts w:cs="Arial"/>
          <w:sz w:val="20"/>
          <w:szCs w:val="20"/>
        </w:rPr>
      </w:pPr>
      <w:r w:rsidRPr="00E67402">
        <w:rPr>
          <w:rFonts w:cs="Arial"/>
          <w:sz w:val="20"/>
          <w:szCs w:val="20"/>
        </w:rPr>
        <w:t>Jako příklady</w:t>
      </w:r>
      <w:r w:rsidR="00766491" w:rsidRPr="00E67402">
        <w:rPr>
          <w:rFonts w:cs="Arial"/>
          <w:sz w:val="20"/>
          <w:szCs w:val="20"/>
        </w:rPr>
        <w:t xml:space="preserve"> osvětové kampaně v rámci ČR lze úvést:</w:t>
      </w:r>
    </w:p>
    <w:p w14:paraId="1871C066" w14:textId="77777777" w:rsidR="002A5DD5" w:rsidRPr="002A5DD5" w:rsidRDefault="002A5DD5" w:rsidP="002A5DD5">
      <w:pPr>
        <w:spacing w:after="0" w:line="259" w:lineRule="auto"/>
        <w:rPr>
          <w:rFonts w:eastAsia="Calibri" w:cs="Arial"/>
          <w:sz w:val="20"/>
          <w:szCs w:val="20"/>
        </w:rPr>
      </w:pPr>
      <w:r w:rsidRPr="002A5DD5">
        <w:rPr>
          <w:rFonts w:eastAsia="Calibri" w:cs="Arial"/>
          <w:sz w:val="20"/>
          <w:szCs w:val="20"/>
        </w:rPr>
        <w:t>Olomoucký kraj:</w:t>
      </w:r>
    </w:p>
    <w:p w14:paraId="5EEEBC27" w14:textId="77777777" w:rsidR="002A5DD5" w:rsidRPr="00E67402" w:rsidRDefault="002A5DD5" w:rsidP="002A5DD5">
      <w:pPr>
        <w:spacing w:after="160" w:line="259" w:lineRule="auto"/>
        <w:rPr>
          <w:rFonts w:eastAsia="Calibri" w:cs="Arial"/>
          <w:sz w:val="20"/>
          <w:szCs w:val="20"/>
        </w:rPr>
      </w:pPr>
      <w:r w:rsidRPr="00E67402">
        <w:rPr>
          <w:rFonts w:eastAsia="Calibri" w:cs="Arial"/>
          <w:sz w:val="20"/>
          <w:szCs w:val="20"/>
        </w:rPr>
        <w:t>Dětský den pro handicapované děti, Koloběžkářské závody, Den s IZS, besedy se seniory</w:t>
      </w:r>
    </w:p>
    <w:p w14:paraId="3EA0367C" w14:textId="77777777" w:rsidR="002A5DD5" w:rsidRPr="00E67402" w:rsidRDefault="002A5DD5" w:rsidP="002A5DD5">
      <w:pPr>
        <w:spacing w:after="0" w:line="259" w:lineRule="auto"/>
        <w:rPr>
          <w:rFonts w:eastAsia="Calibri" w:cs="Arial"/>
          <w:sz w:val="20"/>
          <w:szCs w:val="20"/>
        </w:rPr>
      </w:pPr>
      <w:r w:rsidRPr="00E67402">
        <w:rPr>
          <w:rFonts w:eastAsia="Calibri" w:cs="Arial"/>
          <w:sz w:val="20"/>
          <w:szCs w:val="20"/>
        </w:rPr>
        <w:t>Středočeský kraj:</w:t>
      </w:r>
    </w:p>
    <w:p w14:paraId="23571342" w14:textId="2BC4D390" w:rsidR="002A5DD5" w:rsidRPr="00E67402" w:rsidRDefault="002A5DD5" w:rsidP="002A5DD5">
      <w:pPr>
        <w:spacing w:after="160" w:line="259" w:lineRule="auto"/>
        <w:rPr>
          <w:rFonts w:eastAsia="Calibri" w:cs="Arial"/>
          <w:sz w:val="20"/>
          <w:szCs w:val="20"/>
        </w:rPr>
      </w:pPr>
      <w:r w:rsidRPr="00E67402">
        <w:rPr>
          <w:rFonts w:eastAsia="Calibri" w:cs="Arial"/>
          <w:sz w:val="20"/>
          <w:szCs w:val="20"/>
        </w:rPr>
        <w:t>Charitativní běh „Od nevidím do nevidím“ – akce pro nevidomé; besedy se seniory; Den dopravy v MŠ a ZŠ – pro děti z Jedličkova ústavu, akce na dopravním hřišti ve Vlašimi – akce pro postižené školáky z </w:t>
      </w:r>
      <w:r w:rsidR="00766491" w:rsidRPr="00E67402">
        <w:rPr>
          <w:rFonts w:eastAsia="Calibri" w:cs="Arial"/>
          <w:sz w:val="20"/>
          <w:szCs w:val="20"/>
        </w:rPr>
        <w:t>Jedličkova ústavu</w:t>
      </w:r>
    </w:p>
    <w:p w14:paraId="71A7CE34" w14:textId="77777777" w:rsidR="002A5DD5" w:rsidRPr="00E67402" w:rsidRDefault="002A5DD5" w:rsidP="002A5DD5">
      <w:pPr>
        <w:spacing w:after="0" w:line="259" w:lineRule="auto"/>
        <w:rPr>
          <w:rFonts w:eastAsia="Calibri" w:cs="Arial"/>
          <w:sz w:val="20"/>
          <w:szCs w:val="20"/>
        </w:rPr>
      </w:pPr>
      <w:r w:rsidRPr="00E67402">
        <w:rPr>
          <w:rFonts w:eastAsia="Calibri" w:cs="Arial"/>
          <w:sz w:val="20"/>
          <w:szCs w:val="20"/>
        </w:rPr>
        <w:t>Zlínský kraj:</w:t>
      </w:r>
    </w:p>
    <w:p w14:paraId="4D9E878B" w14:textId="77777777" w:rsidR="002A5DD5" w:rsidRPr="00E67402" w:rsidRDefault="002A5DD5" w:rsidP="002A5DD5">
      <w:pPr>
        <w:spacing w:after="160" w:line="259" w:lineRule="auto"/>
        <w:rPr>
          <w:rFonts w:eastAsia="Calibri" w:cs="Arial"/>
          <w:sz w:val="20"/>
          <w:szCs w:val="20"/>
        </w:rPr>
      </w:pPr>
      <w:r w:rsidRPr="00E67402">
        <w:rPr>
          <w:rFonts w:eastAsia="Calibri" w:cs="Arial"/>
          <w:sz w:val="20"/>
          <w:szCs w:val="20"/>
        </w:rPr>
        <w:t>Beseda pro žáky ZŠ speciální Zlín; Dopravní soutěž mladých cyklistů – celostátní finále pro sluchově handicapované děti</w:t>
      </w:r>
    </w:p>
    <w:p w14:paraId="55C2B3A4" w14:textId="77777777" w:rsidR="002A5DD5" w:rsidRPr="00E67402" w:rsidRDefault="002A5DD5" w:rsidP="002A5DD5">
      <w:pPr>
        <w:spacing w:after="0" w:line="259" w:lineRule="auto"/>
        <w:rPr>
          <w:rFonts w:eastAsia="Calibri" w:cs="Arial"/>
          <w:sz w:val="20"/>
          <w:szCs w:val="20"/>
        </w:rPr>
      </w:pPr>
      <w:r w:rsidRPr="00E67402">
        <w:rPr>
          <w:rFonts w:eastAsia="Calibri" w:cs="Arial"/>
          <w:sz w:val="20"/>
          <w:szCs w:val="20"/>
        </w:rPr>
        <w:t>Vysočina:</w:t>
      </w:r>
    </w:p>
    <w:p w14:paraId="5112DB00" w14:textId="3165FE6B" w:rsidR="002A5DD5" w:rsidRPr="002A5DD5" w:rsidRDefault="002A5DD5" w:rsidP="002A5DD5">
      <w:pPr>
        <w:spacing w:after="160" w:line="259" w:lineRule="auto"/>
        <w:rPr>
          <w:rFonts w:eastAsia="Calibri" w:cs="Arial"/>
          <w:sz w:val="20"/>
          <w:szCs w:val="20"/>
        </w:rPr>
      </w:pPr>
      <w:r w:rsidRPr="00E67402">
        <w:rPr>
          <w:rFonts w:eastAsia="Calibri" w:cs="Arial"/>
          <w:sz w:val="20"/>
          <w:szCs w:val="20"/>
        </w:rPr>
        <w:t>Seniorská akademie – senior v silničním provozu, Nebe nemá bariéry – preventivní akce pro tělesně handicapované občany</w:t>
      </w:r>
    </w:p>
    <w:p w14:paraId="43FC4104" w14:textId="1701C7EE" w:rsidR="008607D2" w:rsidRPr="0016026E" w:rsidRDefault="008607D2" w:rsidP="00FD45E2">
      <w:pPr>
        <w:rPr>
          <w:rFonts w:cs="Arial"/>
          <w:sz w:val="20"/>
          <w:szCs w:val="20"/>
        </w:rPr>
      </w:pPr>
      <w:r w:rsidRPr="0016026E">
        <w:rPr>
          <w:rFonts w:cs="Arial"/>
          <w:b/>
          <w:bCs/>
          <w:sz w:val="20"/>
          <w:szCs w:val="20"/>
          <w:lang w:eastAsia="cs-CZ"/>
        </w:rPr>
        <w:t>STANOVISKO K PLNĚNÍ:</w:t>
      </w:r>
      <w:r w:rsidR="00212B1A" w:rsidRPr="0016026E">
        <w:rPr>
          <w:rFonts w:cs="Arial"/>
          <w:b/>
          <w:bCs/>
          <w:sz w:val="20"/>
          <w:szCs w:val="20"/>
          <w:lang w:eastAsia="cs-CZ"/>
        </w:rPr>
        <w:t xml:space="preserve"> Plněno.</w:t>
      </w:r>
    </w:p>
    <w:p w14:paraId="678AFAE4" w14:textId="5974C99B" w:rsidR="008607D2" w:rsidRPr="00006C58" w:rsidRDefault="008607D2" w:rsidP="002F2868">
      <w:pPr>
        <w:rPr>
          <w:rFonts w:cs="Arial"/>
          <w:szCs w:val="20"/>
        </w:rPr>
      </w:pPr>
    </w:p>
    <w:p w14:paraId="7C493710" w14:textId="6A9C906E" w:rsidR="007006D4" w:rsidRPr="00362BA0" w:rsidRDefault="00F17E74" w:rsidP="00CB5A2F">
      <w:pPr>
        <w:rPr>
          <w:rFonts w:cs="Arial"/>
          <w:b/>
          <w:bCs/>
          <w:szCs w:val="20"/>
        </w:rPr>
      </w:pPr>
      <w:r w:rsidRPr="00551999">
        <w:rPr>
          <w:rFonts w:cs="Arial"/>
          <w:b/>
          <w:bCs/>
          <w:szCs w:val="20"/>
        </w:rPr>
        <w:t>2.4 Cíl: Veřejná doprava přístupná pro všechny skupiny osob se zdravotním postižením.</w:t>
      </w:r>
    </w:p>
    <w:p w14:paraId="63BBDCB1" w14:textId="77777777" w:rsidR="0052125E" w:rsidRPr="00006C58" w:rsidRDefault="0052125E" w:rsidP="0052125E">
      <w:pPr>
        <w:rPr>
          <w:rFonts w:cs="Arial"/>
          <w:szCs w:val="20"/>
        </w:rPr>
      </w:pPr>
      <w:r w:rsidRPr="0035060D">
        <w:rPr>
          <w:rFonts w:cs="Arial"/>
          <w:bCs/>
          <w:szCs w:val="20"/>
        </w:rPr>
        <w:t xml:space="preserve">Opatření </w:t>
      </w:r>
      <w:r>
        <w:rPr>
          <w:rFonts w:cs="Arial"/>
          <w:szCs w:val="20"/>
        </w:rPr>
        <w:t xml:space="preserve">2.4.4 </w:t>
      </w:r>
      <w:r w:rsidRPr="00006C58">
        <w:rPr>
          <w:rFonts w:cs="Arial"/>
          <w:szCs w:val="20"/>
        </w:rPr>
        <w:t>Legislativně zakotvit povinnost osazování vozů MHD vnějšími akustickými hlásiči čísla linky a směru vozu.</w:t>
      </w:r>
    </w:p>
    <w:p w14:paraId="390E604C" w14:textId="7389E6BE" w:rsidR="0052125E" w:rsidRPr="00006C58" w:rsidRDefault="0052125E" w:rsidP="0052125E">
      <w:pPr>
        <w:rPr>
          <w:rFonts w:cs="Arial"/>
          <w:szCs w:val="20"/>
        </w:rPr>
      </w:pPr>
      <w:r>
        <w:rPr>
          <w:rFonts w:cs="Arial"/>
          <w:szCs w:val="20"/>
        </w:rPr>
        <w:t xml:space="preserve">Termín: </w:t>
      </w:r>
      <w:proofErr w:type="gramStart"/>
      <w:r>
        <w:rPr>
          <w:rFonts w:cs="Arial"/>
          <w:szCs w:val="20"/>
        </w:rPr>
        <w:t>31.12.</w:t>
      </w:r>
      <w:r w:rsidR="00485321">
        <w:rPr>
          <w:rFonts w:cs="Arial"/>
          <w:szCs w:val="20"/>
        </w:rPr>
        <w:t>2023</w:t>
      </w:r>
      <w:proofErr w:type="gramEnd"/>
    </w:p>
    <w:p w14:paraId="77910FF5" w14:textId="77777777" w:rsidR="0052125E" w:rsidRPr="00006C58" w:rsidRDefault="0052125E" w:rsidP="0052125E">
      <w:pPr>
        <w:rPr>
          <w:rFonts w:cs="Arial"/>
          <w:szCs w:val="20"/>
        </w:rPr>
      </w:pPr>
      <w:r w:rsidRPr="00006C58">
        <w:rPr>
          <w:rFonts w:cs="Arial"/>
          <w:szCs w:val="20"/>
        </w:rPr>
        <w:t>Gestor: MD</w:t>
      </w:r>
    </w:p>
    <w:p w14:paraId="131E2DBB" w14:textId="34C84054" w:rsidR="0052125E" w:rsidRDefault="0052125E" w:rsidP="0063495F">
      <w:pPr>
        <w:rPr>
          <w:rFonts w:cs="Arial"/>
          <w:szCs w:val="20"/>
        </w:rPr>
      </w:pPr>
      <w:r>
        <w:rPr>
          <w:rFonts w:cs="Arial"/>
          <w:szCs w:val="20"/>
        </w:rPr>
        <w:t xml:space="preserve">Indikátor: Byla provedena uvedená legislativní úprava. </w:t>
      </w:r>
    </w:p>
    <w:p w14:paraId="015897DB" w14:textId="77777777" w:rsidR="0063495F" w:rsidRPr="00DD632F" w:rsidRDefault="0063495F" w:rsidP="0063495F">
      <w:pPr>
        <w:rPr>
          <w:rFonts w:cs="Arial"/>
          <w:sz w:val="20"/>
          <w:szCs w:val="20"/>
        </w:rPr>
      </w:pPr>
    </w:p>
    <w:p w14:paraId="4AB2D072" w14:textId="7568C5F2" w:rsidR="0052125E" w:rsidRPr="00DD632F" w:rsidRDefault="0052125E" w:rsidP="0063495F">
      <w:pPr>
        <w:tabs>
          <w:tab w:val="left" w:pos="720"/>
        </w:tabs>
        <w:rPr>
          <w:rFonts w:cs="Arial"/>
          <w:b/>
          <w:bCs/>
          <w:sz w:val="20"/>
          <w:szCs w:val="20"/>
          <w:lang w:eastAsia="cs-CZ"/>
        </w:rPr>
      </w:pPr>
      <w:r w:rsidRPr="00DD632F">
        <w:rPr>
          <w:rFonts w:cs="Arial"/>
          <w:b/>
          <w:bCs/>
          <w:sz w:val="20"/>
          <w:szCs w:val="20"/>
          <w:lang w:eastAsia="cs-CZ"/>
        </w:rPr>
        <w:lastRenderedPageBreak/>
        <w:t>PLNĚNÍ MD:</w:t>
      </w:r>
    </w:p>
    <w:p w14:paraId="58A43DF5" w14:textId="77777777" w:rsidR="00DD632F" w:rsidRPr="00DD632F" w:rsidRDefault="00DD632F" w:rsidP="00DD632F">
      <w:pPr>
        <w:rPr>
          <w:rFonts w:cs="Arial"/>
          <w:sz w:val="20"/>
          <w:szCs w:val="20"/>
        </w:rPr>
      </w:pPr>
      <w:r w:rsidRPr="00DD632F">
        <w:rPr>
          <w:rFonts w:cs="Arial"/>
          <w:sz w:val="20"/>
          <w:szCs w:val="20"/>
        </w:rPr>
        <w:t xml:space="preserve">Novela nařízení vlády č. 63/2011 Sb., proběhla nařízením č. 451/2023 Sb., kterým se mění některá nařízení vlády v souvislosti se zrušením technických průkazů vozidel, která však změnila pouze technikálie vztahující se k technickým průkazům vozidel. Dále je připravena novela tohoto nařízení reflektující požadavky osob se zdravotním postižením, která je v současné době v procesu projednávání na Odboru legislativy Ministerstva dopravy. </w:t>
      </w:r>
    </w:p>
    <w:p w14:paraId="4F7EB9B1" w14:textId="6BBE9C56" w:rsidR="00DD632F" w:rsidRPr="00DD632F" w:rsidRDefault="00DD632F" w:rsidP="00DD632F">
      <w:pPr>
        <w:rPr>
          <w:rFonts w:cs="Arial"/>
          <w:sz w:val="20"/>
          <w:szCs w:val="20"/>
        </w:rPr>
      </w:pPr>
      <w:r w:rsidRPr="00DD632F">
        <w:rPr>
          <w:rFonts w:cs="Arial"/>
          <w:sz w:val="20"/>
          <w:szCs w:val="20"/>
        </w:rPr>
        <w:t>Problematika majáčků zatím řešena není, protože chybí zákonné zmocnění pro takovou úpravu, proto v rámci Ministerstva dopravy byly věcné odbory k vozidlům požádány, zda by nebylo možné provést úpravu v rámci jiných technických předpisů.</w:t>
      </w:r>
    </w:p>
    <w:p w14:paraId="76E3CC54" w14:textId="039E25E5" w:rsidR="0052125E" w:rsidRDefault="00800CC5" w:rsidP="0063495F">
      <w:pPr>
        <w:rPr>
          <w:rFonts w:cs="Arial"/>
          <w:b/>
          <w:bCs/>
          <w:sz w:val="20"/>
          <w:szCs w:val="20"/>
          <w:lang w:eastAsia="cs-CZ"/>
        </w:rPr>
      </w:pPr>
      <w:r w:rsidRPr="00DD632F">
        <w:rPr>
          <w:rFonts w:cs="Arial"/>
          <w:b/>
          <w:bCs/>
          <w:sz w:val="20"/>
          <w:szCs w:val="20"/>
          <w:lang w:eastAsia="cs-CZ"/>
        </w:rPr>
        <w:t xml:space="preserve">STANOVISKO K PLNĚNÍ: </w:t>
      </w:r>
      <w:r w:rsidRPr="00A264CD">
        <w:rPr>
          <w:rFonts w:cs="Arial"/>
          <w:b/>
          <w:bCs/>
          <w:sz w:val="20"/>
          <w:szCs w:val="20"/>
          <w:lang w:eastAsia="cs-CZ"/>
        </w:rPr>
        <w:t>Nesplněno. Nav</w:t>
      </w:r>
      <w:r w:rsidR="008E5DC8" w:rsidRPr="00A264CD">
        <w:rPr>
          <w:rFonts w:cs="Arial"/>
          <w:b/>
          <w:bCs/>
          <w:sz w:val="20"/>
          <w:szCs w:val="20"/>
          <w:lang w:eastAsia="cs-CZ"/>
        </w:rPr>
        <w:t xml:space="preserve">ržen posun termínu do </w:t>
      </w:r>
      <w:proofErr w:type="gramStart"/>
      <w:r w:rsidR="008E5DC8" w:rsidRPr="00A264CD">
        <w:rPr>
          <w:rFonts w:cs="Arial"/>
          <w:b/>
          <w:bCs/>
          <w:sz w:val="20"/>
          <w:szCs w:val="20"/>
          <w:lang w:eastAsia="cs-CZ"/>
        </w:rPr>
        <w:t>31</w:t>
      </w:r>
      <w:r w:rsidR="00F10A26" w:rsidRPr="00A264CD">
        <w:rPr>
          <w:rFonts w:cs="Arial"/>
          <w:b/>
          <w:bCs/>
          <w:sz w:val="20"/>
          <w:szCs w:val="20"/>
          <w:lang w:eastAsia="cs-CZ"/>
        </w:rPr>
        <w:t>.12.2024</w:t>
      </w:r>
      <w:proofErr w:type="gramEnd"/>
      <w:r w:rsidR="00F10A26" w:rsidRPr="00A264CD">
        <w:rPr>
          <w:rFonts w:cs="Arial"/>
          <w:b/>
          <w:bCs/>
          <w:sz w:val="20"/>
          <w:szCs w:val="20"/>
          <w:lang w:eastAsia="cs-CZ"/>
        </w:rPr>
        <w:t>.</w:t>
      </w:r>
    </w:p>
    <w:p w14:paraId="38CACF87" w14:textId="77777777" w:rsidR="00DD632F" w:rsidRDefault="00DD632F" w:rsidP="0063495F">
      <w:pPr>
        <w:rPr>
          <w:rFonts w:cs="Arial"/>
          <w:b/>
          <w:bCs/>
          <w:sz w:val="20"/>
          <w:szCs w:val="20"/>
          <w:lang w:eastAsia="cs-CZ"/>
        </w:rPr>
      </w:pPr>
    </w:p>
    <w:p w14:paraId="63E28B9D" w14:textId="77777777" w:rsidR="00C02BF8" w:rsidRPr="00006C58" w:rsidRDefault="00C02BF8" w:rsidP="00C02BF8">
      <w:pPr>
        <w:keepNext/>
        <w:rPr>
          <w:rFonts w:cs="Arial"/>
          <w:szCs w:val="20"/>
        </w:rPr>
      </w:pPr>
      <w:r w:rsidRPr="0035060D">
        <w:rPr>
          <w:rFonts w:cs="Arial"/>
          <w:bCs/>
          <w:szCs w:val="20"/>
        </w:rPr>
        <w:t xml:space="preserve">Opatření </w:t>
      </w:r>
      <w:r>
        <w:rPr>
          <w:rFonts w:cs="Arial"/>
          <w:szCs w:val="20"/>
        </w:rPr>
        <w:t xml:space="preserve">2.4.6 </w:t>
      </w:r>
      <w:r w:rsidRPr="00006C58">
        <w:rPr>
          <w:rFonts w:cs="Arial"/>
          <w:szCs w:val="20"/>
        </w:rPr>
        <w:t>Vyhodnocovat provedení zakázek krajů týkajících se veřejné dopravy z hlediska zajištění bezbariérové dopravy. Při zjištění nedostatků v zajištění bezbariérové dopravy vydat nebo upravit metodické doporučení, které bude vodítk</w:t>
      </w:r>
      <w:r>
        <w:rPr>
          <w:rFonts w:cs="Arial"/>
          <w:szCs w:val="20"/>
        </w:rPr>
        <w:t>em krajům ke zlepšení situace. Zprávu o vyhodnocení představit na jednání VVOZP.</w:t>
      </w:r>
    </w:p>
    <w:p w14:paraId="0512EC2B" w14:textId="77777777" w:rsidR="00C02BF8" w:rsidRPr="00006C58" w:rsidRDefault="00C02BF8" w:rsidP="00C02BF8">
      <w:pPr>
        <w:rPr>
          <w:rFonts w:cs="Arial"/>
          <w:szCs w:val="20"/>
        </w:rPr>
      </w:pPr>
      <w:r>
        <w:rPr>
          <w:rFonts w:cs="Arial"/>
          <w:szCs w:val="20"/>
        </w:rPr>
        <w:t xml:space="preserve">Termín: </w:t>
      </w:r>
      <w:proofErr w:type="gramStart"/>
      <w:r>
        <w:rPr>
          <w:rFonts w:cs="Arial"/>
          <w:szCs w:val="20"/>
        </w:rPr>
        <w:t>31.12.2021</w:t>
      </w:r>
      <w:proofErr w:type="gramEnd"/>
      <w:r>
        <w:rPr>
          <w:rFonts w:cs="Arial"/>
          <w:szCs w:val="20"/>
        </w:rPr>
        <w:t>, 31.12.2023, 31.12.</w:t>
      </w:r>
      <w:r w:rsidRPr="00006C58">
        <w:rPr>
          <w:rFonts w:cs="Arial"/>
          <w:szCs w:val="20"/>
        </w:rPr>
        <w:t>2025</w:t>
      </w:r>
    </w:p>
    <w:p w14:paraId="41FAD0D6" w14:textId="77777777" w:rsidR="00C02BF8" w:rsidRPr="00006C58" w:rsidRDefault="00C02BF8" w:rsidP="00C02BF8">
      <w:pPr>
        <w:rPr>
          <w:rFonts w:cs="Arial"/>
          <w:szCs w:val="20"/>
        </w:rPr>
      </w:pPr>
      <w:r w:rsidRPr="00006C58">
        <w:rPr>
          <w:rFonts w:cs="Arial"/>
          <w:szCs w:val="20"/>
        </w:rPr>
        <w:t>Gestor: MD</w:t>
      </w:r>
    </w:p>
    <w:p w14:paraId="4E2A89D1" w14:textId="0F82A605" w:rsidR="00C02BF8" w:rsidRDefault="00C02BF8" w:rsidP="00C02BF8">
      <w:pPr>
        <w:rPr>
          <w:rFonts w:cs="Arial"/>
          <w:szCs w:val="20"/>
        </w:rPr>
      </w:pPr>
      <w:r w:rsidRPr="00BC08B2">
        <w:rPr>
          <w:rFonts w:cs="Arial"/>
          <w:szCs w:val="20"/>
        </w:rPr>
        <w:t>Indikátor: Je provedeno výše uvedené vyhodnocení a v případě zjištění nedostatků vydáno či</w:t>
      </w:r>
      <w:r>
        <w:rPr>
          <w:rFonts w:cs="Arial"/>
          <w:szCs w:val="20"/>
        </w:rPr>
        <w:t> </w:t>
      </w:r>
      <w:r w:rsidRPr="00BC08B2">
        <w:rPr>
          <w:rFonts w:cs="Arial"/>
          <w:szCs w:val="20"/>
        </w:rPr>
        <w:t>upraveno metodické doporučení.</w:t>
      </w:r>
    </w:p>
    <w:p w14:paraId="56AB0E3D" w14:textId="77777777" w:rsidR="00C02BF8" w:rsidRDefault="00C02BF8" w:rsidP="00C02BF8">
      <w:pPr>
        <w:tabs>
          <w:tab w:val="left" w:pos="720"/>
        </w:tabs>
        <w:rPr>
          <w:rFonts w:cs="Arial"/>
          <w:b/>
          <w:bCs/>
          <w:sz w:val="20"/>
          <w:szCs w:val="20"/>
          <w:lang w:eastAsia="cs-CZ"/>
        </w:rPr>
      </w:pPr>
    </w:p>
    <w:p w14:paraId="58B25B7C" w14:textId="3BA24A07" w:rsidR="00C02BF8" w:rsidRPr="00B7200D" w:rsidRDefault="00C02BF8" w:rsidP="00C02BF8">
      <w:pPr>
        <w:tabs>
          <w:tab w:val="left" w:pos="720"/>
        </w:tabs>
        <w:rPr>
          <w:rFonts w:cs="Arial"/>
          <w:b/>
          <w:bCs/>
          <w:sz w:val="20"/>
          <w:szCs w:val="20"/>
          <w:lang w:eastAsia="cs-CZ"/>
        </w:rPr>
      </w:pPr>
      <w:r w:rsidRPr="00B7200D">
        <w:rPr>
          <w:rFonts w:cs="Arial"/>
          <w:b/>
          <w:bCs/>
          <w:sz w:val="20"/>
          <w:szCs w:val="20"/>
          <w:lang w:eastAsia="cs-CZ"/>
        </w:rPr>
        <w:t>PLNĚNÍ MD:</w:t>
      </w:r>
    </w:p>
    <w:p w14:paraId="58DB7DA0" w14:textId="77777777" w:rsidR="00B7200D" w:rsidRPr="00B7200D" w:rsidRDefault="00B7200D" w:rsidP="00B7200D">
      <w:pPr>
        <w:rPr>
          <w:rFonts w:cs="Arial"/>
          <w:sz w:val="20"/>
          <w:szCs w:val="20"/>
        </w:rPr>
      </w:pPr>
      <w:r w:rsidRPr="00B7200D">
        <w:rPr>
          <w:rFonts w:cs="Arial"/>
          <w:sz w:val="20"/>
          <w:szCs w:val="20"/>
        </w:rPr>
        <w:t xml:space="preserve">Ministerstvo dopravy oslovilo dopisem č. j. MD/38875/2023/190-1 jednotlivé kraje, aby mohlo provést analýzu jejich přístupu k zajištění bezbariérovosti veřejné osobní regionální dopravy. První analýza byla provedena v roce 2021, s ohledem na několikaletou platnost smluv a cíl této analýzy přispět k zajištění větší přístupnosti veřejné dopravy byly v roce 2023 hodnoceny pouze smlouvy nově uzavřené, tedy uzavřené v letech 2022 a 2023. </w:t>
      </w:r>
    </w:p>
    <w:p w14:paraId="776F4248" w14:textId="13B275DB" w:rsidR="00B7200D" w:rsidRPr="00B7200D" w:rsidRDefault="00B7200D" w:rsidP="00B7200D">
      <w:pPr>
        <w:rPr>
          <w:rFonts w:cs="Arial"/>
          <w:sz w:val="20"/>
          <w:szCs w:val="20"/>
        </w:rPr>
      </w:pPr>
      <w:r w:rsidRPr="00B7200D">
        <w:rPr>
          <w:rFonts w:cs="Arial"/>
          <w:sz w:val="20"/>
          <w:szCs w:val="20"/>
        </w:rPr>
        <w:t xml:space="preserve">Ministerstvo dopravy </w:t>
      </w:r>
      <w:r w:rsidR="005923BE">
        <w:rPr>
          <w:rFonts w:cs="Arial"/>
          <w:sz w:val="20"/>
          <w:szCs w:val="20"/>
        </w:rPr>
        <w:t xml:space="preserve">obdrželo </w:t>
      </w:r>
      <w:r w:rsidRPr="00B7200D">
        <w:rPr>
          <w:rFonts w:cs="Arial"/>
          <w:sz w:val="20"/>
          <w:szCs w:val="20"/>
        </w:rPr>
        <w:t xml:space="preserve">reakci od 13 krajů, kraj Královéhradecký svou dopověď nezaslal. Ve většině krajů byly v letech 2022 a 2023 uzavřeny nové smlouvy o veřejných službách v přepravě cestujících. Kraje v rámci nových smluv zpřísňují ustanovení nařízení vlády </w:t>
      </w:r>
      <w:r>
        <w:rPr>
          <w:rFonts w:cs="Arial"/>
          <w:sz w:val="20"/>
          <w:szCs w:val="20"/>
        </w:rPr>
        <w:t xml:space="preserve">č. 63/2011 Sb., </w:t>
      </w:r>
      <w:r w:rsidR="00604881">
        <w:rPr>
          <w:rFonts w:cs="Arial"/>
          <w:sz w:val="20"/>
          <w:szCs w:val="20"/>
        </w:rPr>
        <w:t>o </w:t>
      </w:r>
      <w:r w:rsidRPr="00B7200D">
        <w:rPr>
          <w:rFonts w:cs="Arial"/>
          <w:sz w:val="20"/>
          <w:szCs w:val="20"/>
        </w:rPr>
        <w:t>stanovení minimálních hodnot a ukazatelů standardů kvality a bezpečnosti a o způsobu jejich prokazování v souvislosti s poskytováním služeb v přepravě ce</w:t>
      </w:r>
      <w:r w:rsidR="004A416A">
        <w:rPr>
          <w:rFonts w:cs="Arial"/>
          <w:sz w:val="20"/>
          <w:szCs w:val="20"/>
        </w:rPr>
        <w:t>stujících</w:t>
      </w:r>
      <w:r w:rsidRPr="00B7200D">
        <w:rPr>
          <w:rFonts w:cs="Arial"/>
          <w:sz w:val="20"/>
          <w:szCs w:val="20"/>
        </w:rPr>
        <w:t xml:space="preserve">, ve znění pozdějších předpisů (dále jen „nařízení vlády“). Všechny nově uzavřené smlouvy vyžadují po dopravci vizuální i akustický informační systém. </w:t>
      </w:r>
    </w:p>
    <w:p w14:paraId="20FE241F" w14:textId="77777777" w:rsidR="00B7200D" w:rsidRPr="00B7200D" w:rsidRDefault="00B7200D" w:rsidP="00B7200D">
      <w:pPr>
        <w:rPr>
          <w:rFonts w:cs="Arial"/>
          <w:sz w:val="20"/>
          <w:szCs w:val="20"/>
        </w:rPr>
      </w:pPr>
      <w:r w:rsidRPr="00B7200D">
        <w:rPr>
          <w:rFonts w:cs="Arial"/>
          <w:sz w:val="20"/>
          <w:szCs w:val="20"/>
        </w:rPr>
        <w:t>V drážní dopravě uzavřelo nové smlouvy 6 krajů (Jihočeský, Plzeňský, Liberecký, Jihomoravský, Zlínský a Moravskoslezský). V nových smlouvách byla požadována nová vozidla, případně vozidla zánovní (Moravskoslezské soupravy PUSH-PULL, jednotky „InterPanter“, „RegioShark“ a „RegioFox“, motorové vozy „RegioSpider“ a Stadler GTW 2/6)</w:t>
      </w:r>
      <w:r w:rsidRPr="00B7200D">
        <w:rPr>
          <w:rFonts w:cs="Arial"/>
          <w:sz w:val="20"/>
          <w:szCs w:val="20"/>
        </w:rPr>
        <w:footnoteReference w:id="1"/>
      </w:r>
      <w:r w:rsidRPr="00B7200D">
        <w:rPr>
          <w:rFonts w:cs="Arial"/>
          <w:sz w:val="20"/>
          <w:szCs w:val="20"/>
        </w:rPr>
        <w:t xml:space="preserve">, která soudobé standardy na přístupnost splňují již z výroby. </w:t>
      </w:r>
    </w:p>
    <w:p w14:paraId="6AEEB171" w14:textId="77777777" w:rsidR="00B7200D" w:rsidRPr="00B7200D" w:rsidRDefault="00B7200D" w:rsidP="00B7200D">
      <w:pPr>
        <w:rPr>
          <w:rFonts w:cs="Arial"/>
          <w:sz w:val="20"/>
          <w:szCs w:val="20"/>
        </w:rPr>
      </w:pPr>
      <w:r w:rsidRPr="00B7200D">
        <w:rPr>
          <w:rFonts w:cs="Arial"/>
          <w:sz w:val="20"/>
          <w:szCs w:val="20"/>
        </w:rPr>
        <w:t>Pozitivním zjištěním je, že po dopravcích je regionálními objednateli požadováno, aby jednotlivé nízkopodlažní spoje na linkách označil do jízdního řádu. Tuto povinnost ve smlouvě nemá zakotvenou Zlínský kraj v případě smlouvy na osobní železniční dopravu a Karlovarský kraj ve smlouvě na zajištění veřejné linkové dopravy, které obě požadují zajištění všech spojů vozidlem umožňujícím nástup do nízkopodlažní části vozu. V tomto ohledu jde o výrazné zlepšení situace v oblasti informování cestujících, že bude na spoj nasazeno garantovaně nízkopodlažní vozidlo.</w:t>
      </w:r>
    </w:p>
    <w:p w14:paraId="5BFECCBA" w14:textId="742DF63F" w:rsidR="00B7200D" w:rsidRPr="001635D2" w:rsidRDefault="00B7200D" w:rsidP="00B7200D">
      <w:pPr>
        <w:rPr>
          <w:rFonts w:cs="Arial"/>
          <w:sz w:val="20"/>
          <w:szCs w:val="20"/>
        </w:rPr>
      </w:pPr>
      <w:r w:rsidRPr="00B7200D">
        <w:rPr>
          <w:rFonts w:cs="Arial"/>
          <w:sz w:val="20"/>
          <w:szCs w:val="20"/>
        </w:rPr>
        <w:t xml:space="preserve">Od analýzy provedené v roce 2021 došlo k pozitivnímu posunu v oblasti železniční dopravy, kdy jsou v rámci nových smluv požadována nová, nebo zánovní vozidla umožňující nástup do nízkopodlažní části vozidla. Proběhla rovněž unifikace standardů kvality, kdy regionální spoje jsou objednávány </w:t>
      </w:r>
      <w:r w:rsidRPr="00B7200D">
        <w:rPr>
          <w:rFonts w:cs="Arial"/>
          <w:sz w:val="20"/>
          <w:szCs w:val="20"/>
        </w:rPr>
        <w:lastRenderedPageBreak/>
        <w:t>podle komplexních standardů kvality integrovaných dopravních systémů, nebo je problematika přístupnosti řešena přímo ve smlouvě. Obecně je možné uvést, že nové smlouvy zohledňují požadavky na přístupnost a i kraje, které v minulosti spoléhaly výhradně na ustanovení nařízení vlády (</w:t>
      </w:r>
      <w:r w:rsidRPr="001635D2">
        <w:rPr>
          <w:rFonts w:cs="Arial"/>
          <w:sz w:val="20"/>
          <w:szCs w:val="20"/>
        </w:rPr>
        <w:t>Karlovarský a Jihočeský), uzavírají smlouvy s přísnějšími podmínkami.</w:t>
      </w:r>
    </w:p>
    <w:p w14:paraId="188007E6" w14:textId="61085800" w:rsidR="009A6DD7" w:rsidRPr="005923BE" w:rsidRDefault="009A6DD7" w:rsidP="00C02BF8">
      <w:pPr>
        <w:tabs>
          <w:tab w:val="left" w:pos="720"/>
        </w:tabs>
        <w:rPr>
          <w:rFonts w:cs="Arial"/>
          <w:bCs/>
          <w:sz w:val="20"/>
          <w:szCs w:val="20"/>
          <w:lang w:eastAsia="cs-CZ"/>
        </w:rPr>
      </w:pPr>
      <w:r w:rsidRPr="001635D2">
        <w:rPr>
          <w:rFonts w:cs="Arial"/>
          <w:bCs/>
          <w:sz w:val="20"/>
          <w:szCs w:val="20"/>
          <w:lang w:eastAsia="cs-CZ"/>
        </w:rPr>
        <w:t xml:space="preserve">Zpráva o vyhodnocení byla představena na zasedání VVOZP dne </w:t>
      </w:r>
      <w:proofErr w:type="gramStart"/>
      <w:r w:rsidRPr="001635D2">
        <w:rPr>
          <w:rFonts w:cs="Arial"/>
          <w:bCs/>
          <w:sz w:val="20"/>
          <w:szCs w:val="20"/>
          <w:lang w:eastAsia="cs-CZ"/>
        </w:rPr>
        <w:t>25.03.2024</w:t>
      </w:r>
      <w:proofErr w:type="gramEnd"/>
      <w:r w:rsidRPr="001635D2">
        <w:rPr>
          <w:rFonts w:cs="Arial"/>
          <w:bCs/>
          <w:sz w:val="20"/>
          <w:szCs w:val="20"/>
          <w:lang w:eastAsia="cs-CZ"/>
        </w:rPr>
        <w:t>.</w:t>
      </w:r>
    </w:p>
    <w:p w14:paraId="2227C87D" w14:textId="712A4FE9" w:rsidR="00C02BF8" w:rsidRPr="00B7200D" w:rsidRDefault="00C02BF8" w:rsidP="00C02BF8">
      <w:pPr>
        <w:rPr>
          <w:rFonts w:cs="Arial"/>
          <w:b/>
          <w:bCs/>
          <w:sz w:val="20"/>
          <w:szCs w:val="20"/>
          <w:lang w:eastAsia="cs-CZ"/>
        </w:rPr>
      </w:pPr>
      <w:r w:rsidRPr="00B7200D">
        <w:rPr>
          <w:rFonts w:cs="Arial"/>
          <w:b/>
          <w:bCs/>
          <w:sz w:val="20"/>
          <w:szCs w:val="20"/>
          <w:lang w:eastAsia="cs-CZ"/>
        </w:rPr>
        <w:t>STANOVISKO K PLNĚNÍ: Splněno.</w:t>
      </w:r>
    </w:p>
    <w:p w14:paraId="1B28C353" w14:textId="77777777" w:rsidR="00C02BF8" w:rsidRPr="00006C58" w:rsidRDefault="00C02BF8" w:rsidP="00C02BF8">
      <w:pPr>
        <w:rPr>
          <w:rFonts w:cs="Arial"/>
          <w:szCs w:val="20"/>
        </w:rPr>
      </w:pPr>
    </w:p>
    <w:p w14:paraId="50F5FC3A" w14:textId="77777777" w:rsidR="00C02BF8" w:rsidRPr="00006C58" w:rsidRDefault="00C02BF8" w:rsidP="00C02BF8">
      <w:pPr>
        <w:rPr>
          <w:rFonts w:cs="Arial"/>
          <w:szCs w:val="20"/>
        </w:rPr>
      </w:pPr>
      <w:r w:rsidRPr="0035060D">
        <w:rPr>
          <w:rFonts w:cs="Arial"/>
          <w:bCs/>
          <w:szCs w:val="20"/>
        </w:rPr>
        <w:t xml:space="preserve">Opatření </w:t>
      </w:r>
      <w:r>
        <w:rPr>
          <w:rFonts w:cs="Arial"/>
          <w:szCs w:val="20"/>
        </w:rPr>
        <w:t xml:space="preserve">2.4.7 </w:t>
      </w:r>
      <w:r w:rsidRPr="00006C58">
        <w:rPr>
          <w:rFonts w:cs="Arial"/>
          <w:szCs w:val="20"/>
        </w:rPr>
        <w:t>Podporovat rozvoj nových technologií z hl</w:t>
      </w:r>
      <w:r>
        <w:rPr>
          <w:rFonts w:cs="Arial"/>
          <w:szCs w:val="20"/>
        </w:rPr>
        <w:t>ediska jejich využitelnosti pro </w:t>
      </w:r>
      <w:r w:rsidRPr="00006C58">
        <w:rPr>
          <w:rFonts w:cs="Arial"/>
          <w:szCs w:val="20"/>
        </w:rPr>
        <w:t>podporu samostatného a bezpečného pohybu osob se zdravotním postižením. V případech, kdy jsou tyto technologie připraveny k nasazení do ostrého provozu, podporovat jejich uvedení do</w:t>
      </w:r>
      <w:r>
        <w:rPr>
          <w:rFonts w:cs="Arial"/>
          <w:szCs w:val="20"/>
        </w:rPr>
        <w:t> praxe.</w:t>
      </w:r>
    </w:p>
    <w:p w14:paraId="07DA2D18" w14:textId="77777777" w:rsidR="00C02BF8" w:rsidRPr="00006C58" w:rsidRDefault="00C02BF8" w:rsidP="00C02BF8">
      <w:pPr>
        <w:rPr>
          <w:rFonts w:cs="Arial"/>
          <w:szCs w:val="20"/>
        </w:rPr>
      </w:pPr>
      <w:r w:rsidRPr="00006C58">
        <w:rPr>
          <w:rFonts w:cs="Arial"/>
          <w:szCs w:val="20"/>
        </w:rPr>
        <w:t>Termín: průběžně (zpráva se podává za roky 2021, 2023, 2025)</w:t>
      </w:r>
    </w:p>
    <w:p w14:paraId="58009409" w14:textId="77777777" w:rsidR="00C02BF8" w:rsidRPr="00006C58" w:rsidRDefault="00C02BF8" w:rsidP="00C02BF8">
      <w:pPr>
        <w:rPr>
          <w:rFonts w:cs="Arial"/>
          <w:szCs w:val="20"/>
        </w:rPr>
      </w:pPr>
      <w:r w:rsidRPr="00006C58">
        <w:rPr>
          <w:rFonts w:cs="Arial"/>
          <w:szCs w:val="20"/>
        </w:rPr>
        <w:t>Gestor: MD</w:t>
      </w:r>
    </w:p>
    <w:p w14:paraId="293BFE74" w14:textId="77777777" w:rsidR="00C02BF8" w:rsidRPr="00006C58" w:rsidRDefault="00C02BF8" w:rsidP="00C02BF8">
      <w:pPr>
        <w:rPr>
          <w:rFonts w:cs="Arial"/>
          <w:szCs w:val="20"/>
        </w:rPr>
      </w:pPr>
      <w:r w:rsidRPr="00BC08B2">
        <w:rPr>
          <w:rFonts w:cs="Arial"/>
          <w:szCs w:val="20"/>
        </w:rPr>
        <w:t>Indikátor: V daném období byly podpořeny uvedené aktiv</w:t>
      </w:r>
      <w:r>
        <w:rPr>
          <w:rFonts w:cs="Arial"/>
          <w:szCs w:val="20"/>
        </w:rPr>
        <w:t>ity a jejich uvedení do praxe.</w:t>
      </w:r>
    </w:p>
    <w:p w14:paraId="59ADC7A4" w14:textId="77777777" w:rsidR="00110317" w:rsidRDefault="00110317" w:rsidP="00110317">
      <w:pPr>
        <w:tabs>
          <w:tab w:val="left" w:pos="720"/>
        </w:tabs>
        <w:rPr>
          <w:rFonts w:cs="Arial"/>
          <w:b/>
          <w:bCs/>
          <w:sz w:val="20"/>
          <w:szCs w:val="20"/>
          <w:lang w:eastAsia="cs-CZ"/>
        </w:rPr>
      </w:pPr>
    </w:p>
    <w:p w14:paraId="69F5227D" w14:textId="0FFB2E48" w:rsidR="00110317" w:rsidRDefault="00110317" w:rsidP="00110317">
      <w:pPr>
        <w:tabs>
          <w:tab w:val="left" w:pos="720"/>
        </w:tabs>
        <w:rPr>
          <w:rFonts w:cs="Arial"/>
          <w:b/>
          <w:bCs/>
          <w:sz w:val="20"/>
          <w:szCs w:val="20"/>
          <w:lang w:eastAsia="cs-CZ"/>
        </w:rPr>
      </w:pPr>
      <w:r w:rsidRPr="0063495F">
        <w:rPr>
          <w:rFonts w:cs="Arial"/>
          <w:b/>
          <w:bCs/>
          <w:sz w:val="20"/>
          <w:szCs w:val="20"/>
          <w:lang w:eastAsia="cs-CZ"/>
        </w:rPr>
        <w:t>PLNĚNÍ MD:</w:t>
      </w:r>
    </w:p>
    <w:p w14:paraId="322B3788" w14:textId="03A7FF6C" w:rsidR="004304E3" w:rsidRPr="004304E3" w:rsidRDefault="004304E3" w:rsidP="004304E3">
      <w:pPr>
        <w:rPr>
          <w:rFonts w:cs="Arial"/>
          <w:sz w:val="20"/>
          <w:szCs w:val="20"/>
        </w:rPr>
      </w:pPr>
      <w:r w:rsidRPr="004304E3">
        <w:rPr>
          <w:rFonts w:cs="Arial"/>
          <w:sz w:val="20"/>
          <w:szCs w:val="20"/>
        </w:rPr>
        <w:t>Projekt Využití mapových podkladů Zabaged pro návrh přesných navigačních aplikací pro cestující se zrakovým nebo jiným omezením ve veřejné dopravě (TIRSMD704), který byl ukončen 2021 a jehož systém byl úspěšně testován s reálnými uživateli, je využíván v rámci tu</w:t>
      </w:r>
      <w:r w:rsidR="00604881">
        <w:rPr>
          <w:rFonts w:cs="Arial"/>
          <w:sz w:val="20"/>
          <w:szCs w:val="20"/>
        </w:rPr>
        <w:t>rn by turn navigační aplikace a </w:t>
      </w:r>
      <w:r w:rsidRPr="004304E3">
        <w:rPr>
          <w:rFonts w:cs="Arial"/>
          <w:sz w:val="20"/>
          <w:szCs w:val="20"/>
        </w:rPr>
        <w:t>slouží k reálné ukázce možné funkcionality na území hlavního města Prahy, Ministerstvo dopravy dále nabízí, že tento systém je možné využít pro případné další doplněn</w:t>
      </w:r>
      <w:r w:rsidR="00604881">
        <w:rPr>
          <w:rFonts w:cs="Arial"/>
          <w:sz w:val="20"/>
          <w:szCs w:val="20"/>
        </w:rPr>
        <w:t>í/zpřesnění mapových podkladů i </w:t>
      </w:r>
      <w:r w:rsidRPr="004304E3">
        <w:rPr>
          <w:rFonts w:cs="Arial"/>
          <w:sz w:val="20"/>
          <w:szCs w:val="20"/>
        </w:rPr>
        <w:t xml:space="preserve">mimo hl. m. Prahu, např. v Brně, případně v Ostravě. </w:t>
      </w:r>
    </w:p>
    <w:p w14:paraId="14856119" w14:textId="5E713561" w:rsidR="00C02BF8" w:rsidRPr="00110317" w:rsidRDefault="00110317" w:rsidP="00C02BF8">
      <w:pPr>
        <w:rPr>
          <w:rFonts w:cs="Arial"/>
          <w:b/>
          <w:bCs/>
          <w:sz w:val="20"/>
          <w:szCs w:val="20"/>
          <w:lang w:eastAsia="cs-CZ"/>
        </w:rPr>
      </w:pPr>
      <w:r>
        <w:rPr>
          <w:rFonts w:cs="Arial"/>
          <w:b/>
          <w:bCs/>
          <w:sz w:val="20"/>
          <w:szCs w:val="20"/>
          <w:lang w:eastAsia="cs-CZ"/>
        </w:rPr>
        <w:t xml:space="preserve">STANOVISKO K PLNĚNÍ: </w:t>
      </w:r>
      <w:r w:rsidR="000364A2" w:rsidRPr="00DF0DD7">
        <w:rPr>
          <w:rFonts w:cs="Arial"/>
          <w:b/>
          <w:bCs/>
          <w:sz w:val="20"/>
          <w:szCs w:val="20"/>
          <w:lang w:eastAsia="cs-CZ"/>
        </w:rPr>
        <w:t>P</w:t>
      </w:r>
      <w:r w:rsidRPr="00DF0DD7">
        <w:rPr>
          <w:rFonts w:cs="Arial"/>
          <w:b/>
          <w:bCs/>
          <w:sz w:val="20"/>
          <w:szCs w:val="20"/>
          <w:lang w:eastAsia="cs-CZ"/>
        </w:rPr>
        <w:t>lněno.</w:t>
      </w:r>
    </w:p>
    <w:p w14:paraId="65B9900E" w14:textId="1BF9B46C" w:rsidR="0052125E" w:rsidRPr="00D95B2F" w:rsidRDefault="0052125E" w:rsidP="0063495F">
      <w:pPr>
        <w:rPr>
          <w:rFonts w:cs="Arial"/>
          <w:sz w:val="20"/>
          <w:szCs w:val="20"/>
        </w:rPr>
      </w:pPr>
    </w:p>
    <w:p w14:paraId="1C40204E" w14:textId="71E0E4EB" w:rsidR="00645956" w:rsidRDefault="00F17E74" w:rsidP="00551A83">
      <w:pPr>
        <w:rPr>
          <w:rFonts w:cs="Arial"/>
          <w:b/>
          <w:bCs/>
          <w:szCs w:val="20"/>
        </w:rPr>
      </w:pPr>
      <w:r>
        <w:rPr>
          <w:rFonts w:cs="Arial"/>
          <w:b/>
          <w:bCs/>
          <w:szCs w:val="20"/>
        </w:rPr>
        <w:t xml:space="preserve">2.5 </w:t>
      </w:r>
      <w:r w:rsidRPr="00006C58">
        <w:rPr>
          <w:rFonts w:cs="Arial"/>
          <w:b/>
          <w:bCs/>
          <w:szCs w:val="20"/>
        </w:rPr>
        <w:t xml:space="preserve">Cíl: </w:t>
      </w:r>
      <w:r>
        <w:rPr>
          <w:rFonts w:cs="Arial"/>
          <w:b/>
          <w:bCs/>
          <w:szCs w:val="20"/>
        </w:rPr>
        <w:t xml:space="preserve">Zajištění </w:t>
      </w:r>
      <w:r w:rsidRPr="00A72274">
        <w:rPr>
          <w:rFonts w:cs="Arial"/>
          <w:b/>
          <w:szCs w:val="20"/>
        </w:rPr>
        <w:t>přístupnosti</w:t>
      </w:r>
      <w:r>
        <w:rPr>
          <w:rFonts w:cs="Arial"/>
          <w:b/>
          <w:bCs/>
          <w:szCs w:val="20"/>
        </w:rPr>
        <w:t xml:space="preserve"> </w:t>
      </w:r>
      <w:r w:rsidRPr="009D0841">
        <w:rPr>
          <w:rFonts w:cs="Arial"/>
          <w:b/>
          <w:bCs/>
          <w:szCs w:val="20"/>
        </w:rPr>
        <w:t>dopravních staveb.</w:t>
      </w:r>
      <w:r w:rsidRPr="00006C58">
        <w:rPr>
          <w:rFonts w:cs="Arial"/>
          <w:b/>
          <w:bCs/>
          <w:szCs w:val="20"/>
        </w:rPr>
        <w:t xml:space="preserve"> </w:t>
      </w:r>
    </w:p>
    <w:p w14:paraId="650C2477" w14:textId="77777777" w:rsidR="00603734" w:rsidRPr="00006C58" w:rsidRDefault="00603734" w:rsidP="00603734">
      <w:pPr>
        <w:rPr>
          <w:rFonts w:cs="Arial"/>
          <w:szCs w:val="20"/>
        </w:rPr>
      </w:pPr>
      <w:r w:rsidRPr="0035060D">
        <w:rPr>
          <w:rFonts w:cs="Arial"/>
          <w:bCs/>
          <w:szCs w:val="20"/>
        </w:rPr>
        <w:t xml:space="preserve">Opatření </w:t>
      </w:r>
      <w:r>
        <w:rPr>
          <w:rFonts w:cs="Arial"/>
          <w:szCs w:val="20"/>
        </w:rPr>
        <w:t xml:space="preserve">2.5.1 </w:t>
      </w:r>
      <w:r w:rsidRPr="00006C58">
        <w:rPr>
          <w:rFonts w:cs="Arial"/>
          <w:szCs w:val="20"/>
        </w:rPr>
        <w:t>Vypracovat plán zpřístupňování nádraží a n</w:t>
      </w:r>
      <w:r>
        <w:rPr>
          <w:rFonts w:cs="Arial"/>
          <w:szCs w:val="20"/>
        </w:rPr>
        <w:t>ástupišť ve správě Správy železnic</w:t>
      </w:r>
      <w:r w:rsidRPr="00006C58">
        <w:rPr>
          <w:rFonts w:cs="Arial"/>
          <w:szCs w:val="20"/>
        </w:rPr>
        <w:t xml:space="preserve"> a s jeho plněním</w:t>
      </w:r>
      <w:r>
        <w:rPr>
          <w:rFonts w:cs="Arial"/>
          <w:szCs w:val="20"/>
        </w:rPr>
        <w:t xml:space="preserve"> pravidelně</w:t>
      </w:r>
      <w:r w:rsidRPr="00006C58">
        <w:rPr>
          <w:rFonts w:cs="Arial"/>
          <w:szCs w:val="20"/>
        </w:rPr>
        <w:t xml:space="preserve"> seznamovat VVOZP.</w:t>
      </w:r>
    </w:p>
    <w:p w14:paraId="1DDFC77E" w14:textId="77777777" w:rsidR="00603734" w:rsidRPr="00006C58" w:rsidRDefault="00603734" w:rsidP="00603734">
      <w:pPr>
        <w:rPr>
          <w:rFonts w:cs="Arial"/>
          <w:szCs w:val="20"/>
        </w:rPr>
      </w:pPr>
      <w:r>
        <w:rPr>
          <w:rFonts w:cs="Arial"/>
          <w:szCs w:val="20"/>
        </w:rPr>
        <w:t xml:space="preserve">Termín: </w:t>
      </w:r>
      <w:proofErr w:type="gramStart"/>
      <w:r>
        <w:rPr>
          <w:rFonts w:cs="Arial"/>
          <w:szCs w:val="20"/>
        </w:rPr>
        <w:t>31.12.2021</w:t>
      </w:r>
      <w:proofErr w:type="gramEnd"/>
      <w:r>
        <w:rPr>
          <w:rFonts w:cs="Arial"/>
          <w:szCs w:val="20"/>
        </w:rPr>
        <w:t>, dále</w:t>
      </w:r>
      <w:r w:rsidRPr="00006C58">
        <w:rPr>
          <w:rFonts w:cs="Arial"/>
          <w:szCs w:val="20"/>
        </w:rPr>
        <w:t xml:space="preserve"> průběžně (zpráv</w:t>
      </w:r>
      <w:r>
        <w:rPr>
          <w:rFonts w:cs="Arial"/>
          <w:szCs w:val="20"/>
        </w:rPr>
        <w:t>a se podává za rok 2023 a 2025)</w:t>
      </w:r>
    </w:p>
    <w:p w14:paraId="2CF4F395" w14:textId="77777777" w:rsidR="00603734" w:rsidRPr="00006C58" w:rsidRDefault="00603734" w:rsidP="00603734">
      <w:pPr>
        <w:rPr>
          <w:rFonts w:cs="Arial"/>
          <w:szCs w:val="20"/>
        </w:rPr>
      </w:pPr>
      <w:r w:rsidRPr="00006C58">
        <w:rPr>
          <w:rFonts w:cs="Arial"/>
          <w:szCs w:val="20"/>
        </w:rPr>
        <w:t>Gestor: MD</w:t>
      </w:r>
    </w:p>
    <w:p w14:paraId="5BBB013B" w14:textId="4D76931F" w:rsidR="00603734" w:rsidRDefault="00603734" w:rsidP="00603734">
      <w:pPr>
        <w:rPr>
          <w:rFonts w:cs="Arial"/>
          <w:szCs w:val="20"/>
        </w:rPr>
      </w:pPr>
      <w:r w:rsidRPr="00955403">
        <w:rPr>
          <w:rFonts w:cs="Arial"/>
          <w:szCs w:val="20"/>
        </w:rPr>
        <w:t xml:space="preserve">Indikátor: Je vypracován plán. </w:t>
      </w:r>
      <w:r>
        <w:rPr>
          <w:rFonts w:cs="Arial"/>
          <w:szCs w:val="20"/>
        </w:rPr>
        <w:t>VVOZP je seznámen s jeho plněním za rok 2023 a 2025.</w:t>
      </w:r>
    </w:p>
    <w:p w14:paraId="52473B6F" w14:textId="77777777" w:rsidR="007D0EA3" w:rsidRDefault="007D0EA3" w:rsidP="007D0EA3">
      <w:pPr>
        <w:tabs>
          <w:tab w:val="left" w:pos="720"/>
        </w:tabs>
        <w:rPr>
          <w:rFonts w:cs="Arial"/>
          <w:b/>
          <w:bCs/>
          <w:sz w:val="20"/>
          <w:szCs w:val="20"/>
          <w:lang w:eastAsia="cs-CZ"/>
        </w:rPr>
      </w:pPr>
    </w:p>
    <w:p w14:paraId="509C622D" w14:textId="074D2222" w:rsidR="007D0EA3" w:rsidRPr="00587ACA" w:rsidRDefault="007D0EA3" w:rsidP="007D0EA3">
      <w:pPr>
        <w:tabs>
          <w:tab w:val="left" w:pos="720"/>
        </w:tabs>
        <w:rPr>
          <w:rFonts w:cs="Arial"/>
          <w:b/>
          <w:bCs/>
          <w:sz w:val="20"/>
          <w:szCs w:val="20"/>
          <w:lang w:eastAsia="cs-CZ"/>
        </w:rPr>
      </w:pPr>
      <w:r w:rsidRPr="00587ACA">
        <w:rPr>
          <w:rFonts w:cs="Arial"/>
          <w:b/>
          <w:bCs/>
          <w:sz w:val="20"/>
          <w:szCs w:val="20"/>
          <w:lang w:eastAsia="cs-CZ"/>
        </w:rPr>
        <w:t>PLNĚNÍ MD:</w:t>
      </w:r>
    </w:p>
    <w:p w14:paraId="26B94FF1" w14:textId="2D0A1722" w:rsidR="00587ACA" w:rsidRPr="00587ACA" w:rsidRDefault="00587ACA" w:rsidP="00587ACA">
      <w:pPr>
        <w:pStyle w:val="Normlnweb"/>
        <w:rPr>
          <w:rFonts w:ascii="Arial" w:eastAsiaTheme="minorHAnsi" w:hAnsi="Arial" w:cs="Arial"/>
          <w:sz w:val="20"/>
          <w:szCs w:val="20"/>
          <w:lang w:eastAsia="en-US"/>
        </w:rPr>
      </w:pPr>
      <w:r w:rsidRPr="00587ACA">
        <w:rPr>
          <w:rFonts w:ascii="Arial" w:eastAsiaTheme="minorHAnsi" w:hAnsi="Arial" w:cs="Arial"/>
          <w:sz w:val="20"/>
          <w:szCs w:val="20"/>
          <w:lang w:eastAsia="en-US"/>
        </w:rPr>
        <w:t>Správa železnic disponuje interaktivní mapou, která přehledně poskytuje informace o přístupnosti jednotlivých stanic -</w:t>
      </w:r>
      <w:r w:rsidRPr="00587ACA">
        <w:rPr>
          <w:rFonts w:ascii="Arial" w:hAnsi="Arial" w:cs="Arial"/>
          <w:sz w:val="20"/>
          <w:szCs w:val="20"/>
        </w:rPr>
        <w:t xml:space="preserve"> </w:t>
      </w:r>
      <w:hyperlink r:id="rId52" w:tgtFrame="_blank" w:tooltip="https://mapy.spravazeleznic.cz/" w:history="1">
        <w:r w:rsidRPr="00587ACA">
          <w:rPr>
            <w:rStyle w:val="Hypertextovodkaz"/>
            <w:rFonts w:ascii="Arial" w:eastAsia="Calibri" w:hAnsi="Arial" w:cs="Arial"/>
            <w:sz w:val="20"/>
            <w:szCs w:val="20"/>
          </w:rPr>
          <w:t>Interaktivní mapa Správy železnic (spravazeleznic.cz)</w:t>
        </w:r>
      </w:hyperlink>
      <w:r w:rsidRPr="00587ACA">
        <w:rPr>
          <w:rFonts w:ascii="Arial" w:hAnsi="Arial" w:cs="Arial"/>
          <w:sz w:val="20"/>
          <w:szCs w:val="20"/>
        </w:rPr>
        <w:t xml:space="preserve"> </w:t>
      </w:r>
      <w:r w:rsidRPr="00587ACA">
        <w:rPr>
          <w:rFonts w:ascii="Arial" w:eastAsiaTheme="minorHAnsi" w:hAnsi="Arial" w:cs="Arial"/>
          <w:sz w:val="20"/>
          <w:szCs w:val="20"/>
          <w:lang w:eastAsia="en-US"/>
        </w:rPr>
        <w:t>(v záložce „kategorie“ je nutné zvolit „přístupnost stanice“.</w:t>
      </w:r>
    </w:p>
    <w:p w14:paraId="352327A0" w14:textId="29DF647A" w:rsidR="00587ACA" w:rsidRPr="00587ACA" w:rsidRDefault="00587ACA" w:rsidP="00587ACA">
      <w:pPr>
        <w:rPr>
          <w:rFonts w:cs="Arial"/>
          <w:sz w:val="20"/>
          <w:szCs w:val="20"/>
        </w:rPr>
      </w:pPr>
      <w:r w:rsidRPr="00587ACA">
        <w:rPr>
          <w:rFonts w:cs="Arial"/>
          <w:sz w:val="20"/>
          <w:szCs w:val="20"/>
        </w:rPr>
        <w:t>Program rekonstrukce a revitalizace osobních nádraží 2024-2028</w:t>
      </w:r>
      <w:r w:rsidR="00DB03AF">
        <w:rPr>
          <w:rFonts w:cs="Arial"/>
          <w:sz w:val="20"/>
          <w:szCs w:val="20"/>
        </w:rPr>
        <w:t xml:space="preserve"> byl zaslán sekretariátu VVOZP v samostatné příloze.</w:t>
      </w:r>
    </w:p>
    <w:p w14:paraId="58F6DE75" w14:textId="587FAD87" w:rsidR="007D0EA3" w:rsidRPr="00587ACA" w:rsidRDefault="007D0EA3" w:rsidP="00603734">
      <w:pPr>
        <w:rPr>
          <w:rFonts w:cs="Arial"/>
          <w:b/>
          <w:bCs/>
          <w:sz w:val="20"/>
          <w:szCs w:val="20"/>
          <w:lang w:eastAsia="cs-CZ"/>
        </w:rPr>
      </w:pPr>
      <w:r w:rsidRPr="00587ACA">
        <w:rPr>
          <w:rFonts w:cs="Arial"/>
          <w:b/>
          <w:bCs/>
          <w:sz w:val="20"/>
          <w:szCs w:val="20"/>
          <w:lang w:eastAsia="cs-CZ"/>
        </w:rPr>
        <w:t>STANOVISKO K </w:t>
      </w:r>
      <w:r w:rsidRPr="00DB03AF">
        <w:rPr>
          <w:rFonts w:cs="Arial"/>
          <w:b/>
          <w:bCs/>
          <w:sz w:val="20"/>
          <w:szCs w:val="20"/>
          <w:lang w:eastAsia="cs-CZ"/>
        </w:rPr>
        <w:t xml:space="preserve">PLNĚNÍ: </w:t>
      </w:r>
      <w:r w:rsidR="000364A2" w:rsidRPr="00DB03AF">
        <w:rPr>
          <w:rFonts w:cs="Arial"/>
          <w:b/>
          <w:bCs/>
          <w:sz w:val="20"/>
          <w:szCs w:val="20"/>
          <w:lang w:eastAsia="cs-CZ"/>
        </w:rPr>
        <w:t>P</w:t>
      </w:r>
      <w:r w:rsidRPr="00DB03AF">
        <w:rPr>
          <w:rFonts w:cs="Arial"/>
          <w:b/>
          <w:bCs/>
          <w:sz w:val="20"/>
          <w:szCs w:val="20"/>
          <w:lang w:eastAsia="cs-CZ"/>
        </w:rPr>
        <w:t>lněno.</w:t>
      </w:r>
    </w:p>
    <w:p w14:paraId="0EF28A72" w14:textId="1FB3BA6B" w:rsidR="004E098E" w:rsidRPr="002B7A17" w:rsidRDefault="004E098E" w:rsidP="002B7A17">
      <w:pPr>
        <w:rPr>
          <w:rFonts w:cs="Arial"/>
          <w:b/>
          <w:bCs/>
          <w:sz w:val="20"/>
          <w:szCs w:val="20"/>
        </w:rPr>
      </w:pPr>
    </w:p>
    <w:p w14:paraId="683873FB" w14:textId="279C9591" w:rsidR="00F17E74" w:rsidRPr="00006C58" w:rsidRDefault="00F17E74" w:rsidP="00551A83">
      <w:pPr>
        <w:rPr>
          <w:rFonts w:cs="Arial"/>
          <w:szCs w:val="20"/>
        </w:rPr>
      </w:pPr>
      <w:r w:rsidRPr="0035060D">
        <w:rPr>
          <w:rFonts w:cs="Arial"/>
          <w:bCs/>
          <w:szCs w:val="20"/>
        </w:rPr>
        <w:t xml:space="preserve">Opatření </w:t>
      </w:r>
      <w:r>
        <w:rPr>
          <w:rFonts w:cs="Arial"/>
          <w:szCs w:val="20"/>
        </w:rPr>
        <w:t xml:space="preserve">2.5.4 </w:t>
      </w:r>
      <w:r w:rsidRPr="00006C58">
        <w:rPr>
          <w:rFonts w:cs="Arial"/>
          <w:szCs w:val="20"/>
        </w:rPr>
        <w:t xml:space="preserve">Ve své působnosti zajišťovat konzultační a poradenskou činnost v oblasti bezbariérového užívání dopravních </w:t>
      </w:r>
      <w:r w:rsidR="00FD423B">
        <w:rPr>
          <w:rFonts w:cs="Arial"/>
          <w:szCs w:val="20"/>
        </w:rPr>
        <w:t>staveb a dopravních prostředků.</w:t>
      </w:r>
    </w:p>
    <w:p w14:paraId="58C64CB5" w14:textId="77777777" w:rsidR="00F17E74" w:rsidRPr="00006C58" w:rsidRDefault="00F17E74" w:rsidP="00551A83">
      <w:pPr>
        <w:rPr>
          <w:rFonts w:cs="Arial"/>
          <w:szCs w:val="20"/>
        </w:rPr>
      </w:pPr>
      <w:r w:rsidRPr="00006C58">
        <w:rPr>
          <w:rFonts w:cs="Arial"/>
          <w:szCs w:val="20"/>
        </w:rPr>
        <w:t>Termín: průběžně</w:t>
      </w:r>
    </w:p>
    <w:p w14:paraId="4A79A481" w14:textId="77777777" w:rsidR="00F17E74" w:rsidRPr="00006C58" w:rsidRDefault="00F17E74" w:rsidP="00551A83">
      <w:pPr>
        <w:rPr>
          <w:rFonts w:cs="Arial"/>
          <w:szCs w:val="20"/>
        </w:rPr>
      </w:pPr>
      <w:r w:rsidRPr="00006C58">
        <w:rPr>
          <w:rFonts w:cs="Arial"/>
          <w:szCs w:val="20"/>
        </w:rPr>
        <w:t>Gestor: MD</w:t>
      </w:r>
    </w:p>
    <w:p w14:paraId="37A8C028" w14:textId="2E6BC38E" w:rsidR="00F17E74" w:rsidRDefault="00F17E74" w:rsidP="00551A83">
      <w:pPr>
        <w:rPr>
          <w:rFonts w:cs="Arial"/>
          <w:szCs w:val="20"/>
        </w:rPr>
      </w:pPr>
      <w:r w:rsidRPr="00955403">
        <w:rPr>
          <w:rFonts w:cs="Arial"/>
          <w:szCs w:val="20"/>
        </w:rPr>
        <w:t xml:space="preserve">Indikátor: </w:t>
      </w:r>
      <w:r w:rsidR="00DB2B8F">
        <w:rPr>
          <w:rFonts w:cs="Arial"/>
          <w:szCs w:val="20"/>
        </w:rPr>
        <w:t>Na MD j</w:t>
      </w:r>
      <w:r w:rsidRPr="00955403">
        <w:rPr>
          <w:rFonts w:cs="Arial"/>
          <w:szCs w:val="20"/>
        </w:rPr>
        <w:t xml:space="preserve">e </w:t>
      </w:r>
      <w:r w:rsidR="00DB2B8F">
        <w:rPr>
          <w:rFonts w:cs="Arial"/>
          <w:szCs w:val="20"/>
        </w:rPr>
        <w:t>us</w:t>
      </w:r>
      <w:r w:rsidRPr="00955403">
        <w:rPr>
          <w:rFonts w:cs="Arial"/>
          <w:szCs w:val="20"/>
        </w:rPr>
        <w:t>taveno konzultační místo pro veřejnost týkající se uvedené oblasti</w:t>
      </w:r>
      <w:r w:rsidR="00DB2B8F">
        <w:rPr>
          <w:rFonts w:cs="Arial"/>
          <w:szCs w:val="20"/>
        </w:rPr>
        <w:t>.</w:t>
      </w:r>
    </w:p>
    <w:p w14:paraId="7739D7AE" w14:textId="77777777" w:rsidR="00551A83" w:rsidRPr="00A05C8D" w:rsidRDefault="00551A83" w:rsidP="00551A83">
      <w:pPr>
        <w:rPr>
          <w:rFonts w:cs="Arial"/>
          <w:sz w:val="20"/>
          <w:szCs w:val="20"/>
        </w:rPr>
      </w:pPr>
    </w:p>
    <w:p w14:paraId="5525E5F2" w14:textId="0D3A74E1" w:rsidR="00C5502E" w:rsidRPr="007E0800" w:rsidRDefault="00C5502E" w:rsidP="00073B6F">
      <w:pPr>
        <w:tabs>
          <w:tab w:val="left" w:pos="720"/>
        </w:tabs>
        <w:rPr>
          <w:rFonts w:cs="Arial"/>
          <w:b/>
          <w:bCs/>
          <w:sz w:val="20"/>
          <w:szCs w:val="20"/>
          <w:lang w:eastAsia="cs-CZ"/>
        </w:rPr>
      </w:pPr>
      <w:r w:rsidRPr="007E0800">
        <w:rPr>
          <w:rFonts w:cs="Arial"/>
          <w:b/>
          <w:bCs/>
          <w:sz w:val="20"/>
          <w:szCs w:val="20"/>
          <w:lang w:eastAsia="cs-CZ"/>
        </w:rPr>
        <w:t>PLNĚNÍ MD:</w:t>
      </w:r>
    </w:p>
    <w:p w14:paraId="633F8B10" w14:textId="77777777" w:rsidR="007E0800" w:rsidRPr="007E0800" w:rsidRDefault="007E0800" w:rsidP="007E0800">
      <w:pPr>
        <w:rPr>
          <w:rFonts w:cs="Arial"/>
          <w:sz w:val="20"/>
          <w:szCs w:val="20"/>
        </w:rPr>
      </w:pPr>
      <w:r w:rsidRPr="007E0800">
        <w:rPr>
          <w:rFonts w:cs="Arial"/>
          <w:sz w:val="20"/>
          <w:szCs w:val="20"/>
        </w:rPr>
        <w:t>MD zajišťuje konzultační a poradenskou činnost v oblasti bezbariérového užívání staveb a dopravních prostředků prostřednictvím věcně příslušných odborů k dané problematice.</w:t>
      </w:r>
    </w:p>
    <w:p w14:paraId="16A29044" w14:textId="23F79C83" w:rsidR="007E0800" w:rsidRPr="007E0800" w:rsidRDefault="007E0800" w:rsidP="007E0800">
      <w:pPr>
        <w:rPr>
          <w:rFonts w:cs="Arial"/>
          <w:sz w:val="20"/>
          <w:szCs w:val="20"/>
        </w:rPr>
      </w:pPr>
      <w:r w:rsidRPr="007E0800">
        <w:rPr>
          <w:rFonts w:cs="Arial"/>
          <w:sz w:val="20"/>
          <w:szCs w:val="20"/>
        </w:rPr>
        <w:t xml:space="preserve">Státní fond dopravní infrastruktury poskytuje pravidla a zajišťuje konzultaci v oblasti zvyšování bezpečnosti nebo plynulosti dopravy nebo opatření ke zpřístupňování dopravy osobám s omezenou schopností pohybu, orientace nebo komunikace. </w:t>
      </w:r>
    </w:p>
    <w:p w14:paraId="7654D174" w14:textId="7F091E71" w:rsidR="00C5502E" w:rsidRPr="00A05C8D" w:rsidRDefault="00C5502E" w:rsidP="00073B6F">
      <w:pPr>
        <w:rPr>
          <w:rFonts w:cs="Arial"/>
          <w:sz w:val="20"/>
          <w:szCs w:val="20"/>
        </w:rPr>
      </w:pPr>
      <w:r w:rsidRPr="00A05C8D">
        <w:rPr>
          <w:rFonts w:cs="Arial"/>
          <w:b/>
          <w:bCs/>
          <w:sz w:val="20"/>
          <w:szCs w:val="20"/>
          <w:lang w:eastAsia="cs-CZ"/>
        </w:rPr>
        <w:t>STANOVISKO K PLNĚNÍ:</w:t>
      </w:r>
      <w:r w:rsidR="00BD56AB" w:rsidRPr="00A05C8D">
        <w:rPr>
          <w:rFonts w:cs="Arial"/>
          <w:b/>
          <w:bCs/>
          <w:sz w:val="20"/>
          <w:szCs w:val="20"/>
          <w:lang w:eastAsia="cs-CZ"/>
        </w:rPr>
        <w:t xml:space="preserve"> Plněno.</w:t>
      </w:r>
    </w:p>
    <w:p w14:paraId="74DB1EC5" w14:textId="77777777" w:rsidR="00C5502E" w:rsidRPr="00A05C8D" w:rsidRDefault="00C5502E" w:rsidP="00D86EF3">
      <w:pPr>
        <w:rPr>
          <w:rFonts w:cs="Arial"/>
          <w:sz w:val="20"/>
          <w:szCs w:val="20"/>
        </w:rPr>
      </w:pPr>
    </w:p>
    <w:p w14:paraId="5FE08975" w14:textId="42FE0A6C" w:rsidR="00F17E74" w:rsidRPr="00DC74C8" w:rsidRDefault="00544214" w:rsidP="00D86EF3">
      <w:pPr>
        <w:pStyle w:val="Nadpis2"/>
        <w:numPr>
          <w:ilvl w:val="0"/>
          <w:numId w:val="0"/>
        </w:numPr>
        <w:spacing w:before="0" w:after="120"/>
        <w:ind w:left="576" w:hanging="576"/>
      </w:pPr>
      <w:bookmarkStart w:id="16" w:name="_Toc38548788"/>
      <w:bookmarkStart w:id="17" w:name="_Toc38828885"/>
      <w:bookmarkStart w:id="18" w:name="_Toc101957891"/>
      <w:r w:rsidRPr="00DC74C8">
        <w:t>Oblast č. 3</w:t>
      </w:r>
      <w:r w:rsidR="00B345A2" w:rsidRPr="00DC74C8">
        <w:t>:</w:t>
      </w:r>
      <w:r w:rsidRPr="00DC74C8">
        <w:t xml:space="preserve"> </w:t>
      </w:r>
      <w:r w:rsidR="00F17E74" w:rsidRPr="00DC74C8">
        <w:t>Přístupnost informací a služeb veřejné správy</w:t>
      </w:r>
      <w:bookmarkEnd w:id="16"/>
      <w:bookmarkEnd w:id="17"/>
      <w:bookmarkEnd w:id="18"/>
    </w:p>
    <w:p w14:paraId="7842C692" w14:textId="437097FC" w:rsidR="00F17E74" w:rsidRPr="00AE4766" w:rsidRDefault="00F17E74" w:rsidP="00F17E74">
      <w:pPr>
        <w:rPr>
          <w:rFonts w:cs="Arial"/>
          <w:sz w:val="20"/>
          <w:szCs w:val="20"/>
          <w:lang w:val="cs"/>
        </w:rPr>
      </w:pPr>
      <w:r w:rsidRPr="00AE4766">
        <w:rPr>
          <w:rFonts w:cs="Arial"/>
          <w:sz w:val="20"/>
          <w:szCs w:val="20"/>
        </w:rPr>
        <w:t xml:space="preserve">Téma přístupnosti informací a služeb veřejné správy je v souvislosti s elektronizací a rozvojem služeb eGovernmentu velice aktuální. </w:t>
      </w:r>
      <w:r w:rsidRPr="00AE4766">
        <w:rPr>
          <w:rFonts w:cs="Arial"/>
          <w:sz w:val="20"/>
          <w:szCs w:val="20"/>
          <w:lang w:val="cs"/>
        </w:rPr>
        <w:t>Pro osoby se zdravotní</w:t>
      </w:r>
      <w:r w:rsidR="004F2179" w:rsidRPr="00AE4766">
        <w:rPr>
          <w:rFonts w:cs="Arial"/>
          <w:sz w:val="20"/>
          <w:szCs w:val="20"/>
          <w:lang w:val="cs"/>
        </w:rPr>
        <w:t>m</w:t>
      </w:r>
      <w:r w:rsidRPr="00AE4766">
        <w:rPr>
          <w:rFonts w:cs="Arial"/>
          <w:sz w:val="20"/>
          <w:szCs w:val="20"/>
          <w:lang w:val="cs"/>
        </w:rPr>
        <w:t xml:space="preserve"> postižením je důležité, aby veřejné služby poskytované a regulované veřejnou správou byly přístupné a využitelné na rovnoprávném základě s ostatními. K tomu přispívá</w:t>
      </w:r>
      <w:r w:rsidR="00AB2FC7">
        <w:rPr>
          <w:rFonts w:cs="Arial"/>
          <w:sz w:val="20"/>
          <w:szCs w:val="20"/>
          <w:lang w:val="cs"/>
        </w:rPr>
        <w:t>,</w:t>
      </w:r>
      <w:r w:rsidRPr="00AE4766">
        <w:rPr>
          <w:rFonts w:cs="Arial"/>
          <w:sz w:val="20"/>
          <w:szCs w:val="20"/>
          <w:lang w:val="cs"/>
        </w:rPr>
        <w:t xml:space="preserve"> mimo samotné elektronizace</w:t>
      </w:r>
      <w:r w:rsidR="00AB2FC7">
        <w:rPr>
          <w:rFonts w:cs="Arial"/>
          <w:sz w:val="20"/>
          <w:szCs w:val="20"/>
          <w:lang w:val="cs"/>
        </w:rPr>
        <w:t>,</w:t>
      </w:r>
      <w:r w:rsidRPr="00AE4766">
        <w:rPr>
          <w:rFonts w:cs="Arial"/>
          <w:sz w:val="20"/>
          <w:szCs w:val="20"/>
          <w:lang w:val="cs"/>
        </w:rPr>
        <w:t xml:space="preserve"> možnost asistovaného podání, standardizace výkonu agend a činností či nevyžadování údajů a skutečností</w:t>
      </w:r>
      <w:r w:rsidR="00EE4E3B" w:rsidRPr="00AE4766">
        <w:rPr>
          <w:rFonts w:cs="Arial"/>
          <w:sz w:val="20"/>
          <w:szCs w:val="20"/>
          <w:lang w:val="cs"/>
        </w:rPr>
        <w:t>, které jsou veřejné správě již známy</w:t>
      </w:r>
      <w:r w:rsidRPr="00AE4766">
        <w:rPr>
          <w:rFonts w:cs="Arial"/>
          <w:sz w:val="20"/>
          <w:szCs w:val="20"/>
          <w:lang w:val="cs"/>
        </w:rPr>
        <w:t xml:space="preserve">. </w:t>
      </w:r>
    </w:p>
    <w:p w14:paraId="34C8BAC9" w14:textId="2336027E" w:rsidR="00F17E74" w:rsidRPr="00AE4766" w:rsidRDefault="00994915" w:rsidP="00F17E74">
      <w:pPr>
        <w:rPr>
          <w:rFonts w:cs="Arial"/>
          <w:sz w:val="20"/>
          <w:szCs w:val="20"/>
          <w:lang w:val="cs"/>
        </w:rPr>
      </w:pPr>
      <w:r w:rsidRPr="00AE4766">
        <w:rPr>
          <w:rFonts w:cs="Arial"/>
          <w:sz w:val="20"/>
          <w:szCs w:val="20"/>
        </w:rPr>
        <w:t>E</w:t>
      </w:r>
      <w:r w:rsidR="00F17E74" w:rsidRPr="00AE4766">
        <w:rPr>
          <w:rFonts w:cs="Arial"/>
          <w:sz w:val="20"/>
          <w:szCs w:val="20"/>
        </w:rPr>
        <w:t>vropská legisl</w:t>
      </w:r>
      <w:r w:rsidRPr="00AE4766">
        <w:rPr>
          <w:rFonts w:cs="Arial"/>
          <w:sz w:val="20"/>
          <w:szCs w:val="20"/>
        </w:rPr>
        <w:t xml:space="preserve">ativa v této oblasti přispívá k </w:t>
      </w:r>
      <w:r w:rsidRPr="00AE4766">
        <w:rPr>
          <w:rFonts w:cs="Arial"/>
          <w:sz w:val="20"/>
          <w:szCs w:val="20"/>
          <w:lang w:val="cs"/>
        </w:rPr>
        <w:t>významnému zlepšení prostřednictvím</w:t>
      </w:r>
      <w:r w:rsidR="00F17E74" w:rsidRPr="00AE4766">
        <w:rPr>
          <w:rFonts w:cs="Arial"/>
          <w:sz w:val="20"/>
          <w:szCs w:val="20"/>
          <w:lang w:val="cs"/>
        </w:rPr>
        <w:t xml:space="preserve"> zákona o přístupnosti internetových stránek a mobilních aplikací.</w:t>
      </w:r>
    </w:p>
    <w:p w14:paraId="13B292A7" w14:textId="77777777" w:rsidR="00F17E74" w:rsidRPr="00AE4766" w:rsidRDefault="00F17E74" w:rsidP="00F17E74">
      <w:pPr>
        <w:rPr>
          <w:rFonts w:cs="Arial"/>
          <w:sz w:val="20"/>
          <w:szCs w:val="20"/>
          <w:lang w:val="cs"/>
        </w:rPr>
      </w:pPr>
      <w:r w:rsidRPr="00AE4766">
        <w:rPr>
          <w:rFonts w:cs="Arial"/>
          <w:sz w:val="20"/>
          <w:szCs w:val="20"/>
          <w:lang w:val="cs"/>
        </w:rPr>
        <w:t xml:space="preserve">Problematickou zůstává oblast přístupnosti digitálních dokumentů veřejné správy. </w:t>
      </w:r>
      <w:r w:rsidR="001F2D7E" w:rsidRPr="00AE4766">
        <w:rPr>
          <w:rFonts w:cs="Arial"/>
          <w:sz w:val="20"/>
          <w:szCs w:val="20"/>
          <w:lang w:val="cs"/>
        </w:rPr>
        <w:t>Přestože</w:t>
      </w:r>
      <w:r w:rsidRPr="00AE4766">
        <w:rPr>
          <w:rFonts w:cs="Arial"/>
          <w:sz w:val="20"/>
          <w:szCs w:val="20"/>
          <w:lang w:val="cs"/>
        </w:rPr>
        <w:t xml:space="preserve"> osoby se zdravotním postižením mohou využívat elektronických služeb eGovernmentu a</w:t>
      </w:r>
      <w:r w:rsidR="00910912" w:rsidRPr="00AE4766">
        <w:rPr>
          <w:rFonts w:cs="Arial"/>
          <w:sz w:val="20"/>
          <w:szCs w:val="20"/>
          <w:lang w:val="cs"/>
        </w:rPr>
        <w:t> </w:t>
      </w:r>
      <w:r w:rsidRPr="00AE4766">
        <w:rPr>
          <w:rFonts w:cs="Arial"/>
          <w:sz w:val="20"/>
          <w:szCs w:val="20"/>
          <w:lang w:val="cs"/>
        </w:rPr>
        <w:t>s úřadem komunikovat například prostřednictvím datové schránky, ne vždy jsou vydávané dokumenty přístupné i pro osoby se smyslovým postižením. Shodné problémy se vyskytují i</w:t>
      </w:r>
      <w:r w:rsidR="00910912" w:rsidRPr="00AE4766">
        <w:rPr>
          <w:rFonts w:cs="Arial"/>
          <w:sz w:val="20"/>
          <w:szCs w:val="20"/>
          <w:lang w:val="cs"/>
        </w:rPr>
        <w:t> </w:t>
      </w:r>
      <w:r w:rsidRPr="00AE4766">
        <w:rPr>
          <w:rFonts w:cs="Arial"/>
          <w:sz w:val="20"/>
          <w:szCs w:val="20"/>
          <w:lang w:val="cs"/>
        </w:rPr>
        <w:t xml:space="preserve">při využívání elektronických formulářů a dalších prostředků pro podání, neboť ne všechny elektronické formuláře veřejné správy jsou v dostatečné míře přístupné. </w:t>
      </w:r>
    </w:p>
    <w:p w14:paraId="5047043D" w14:textId="666A7705" w:rsidR="00F17E74" w:rsidRPr="00D86EF3" w:rsidRDefault="00F17E74" w:rsidP="00F17E74">
      <w:pPr>
        <w:spacing w:after="360"/>
        <w:rPr>
          <w:rFonts w:cs="Arial"/>
          <w:bCs/>
          <w:sz w:val="20"/>
          <w:szCs w:val="20"/>
        </w:rPr>
      </w:pPr>
      <w:r w:rsidRPr="00AE4766">
        <w:rPr>
          <w:rFonts w:cs="Arial"/>
          <w:sz w:val="20"/>
          <w:szCs w:val="20"/>
          <w:lang w:val="cs"/>
        </w:rPr>
        <w:t>V rámci zajišťování přístupnosti služeb veřejné správ</w:t>
      </w:r>
      <w:r w:rsidR="00434343" w:rsidRPr="00AE4766">
        <w:rPr>
          <w:rFonts w:cs="Arial"/>
          <w:sz w:val="20"/>
          <w:szCs w:val="20"/>
          <w:lang w:val="cs"/>
        </w:rPr>
        <w:t>y je důležité</w:t>
      </w:r>
      <w:r w:rsidRPr="00AE4766">
        <w:rPr>
          <w:rFonts w:cs="Arial"/>
          <w:sz w:val="20"/>
          <w:szCs w:val="20"/>
          <w:lang w:val="cs"/>
        </w:rPr>
        <w:t xml:space="preserve"> vzdělávání zaměstnanců v tématech zdravotního postižení a rozvíjení znalostí a dovedností týkajících se </w:t>
      </w:r>
      <w:r w:rsidR="00F515CE" w:rsidRPr="00AE4766">
        <w:rPr>
          <w:rFonts w:cs="Arial"/>
          <w:sz w:val="20"/>
          <w:szCs w:val="20"/>
          <w:lang w:val="cs"/>
        </w:rPr>
        <w:t>zvolení</w:t>
      </w:r>
      <w:r w:rsidRPr="00AE4766">
        <w:rPr>
          <w:rFonts w:cs="Arial"/>
          <w:sz w:val="20"/>
          <w:szCs w:val="20"/>
          <w:lang w:val="cs"/>
        </w:rPr>
        <w:t xml:space="preserve"> a správné aplikace vhodného </w:t>
      </w:r>
      <w:r w:rsidRPr="00AE4766">
        <w:rPr>
          <w:rFonts w:cs="Arial"/>
          <w:bCs/>
          <w:sz w:val="20"/>
          <w:szCs w:val="20"/>
        </w:rPr>
        <w:t>způsobu komunikace s osobami s</w:t>
      </w:r>
      <w:r w:rsidR="00910912" w:rsidRPr="00AE4766">
        <w:rPr>
          <w:rFonts w:cs="Arial"/>
          <w:bCs/>
          <w:sz w:val="20"/>
          <w:szCs w:val="20"/>
        </w:rPr>
        <w:t> </w:t>
      </w:r>
      <w:r w:rsidRPr="00AE4766">
        <w:rPr>
          <w:rFonts w:cs="Arial"/>
          <w:bCs/>
          <w:sz w:val="20"/>
          <w:szCs w:val="20"/>
        </w:rPr>
        <w:t>určitými typy zdravotního postižení.</w:t>
      </w:r>
    </w:p>
    <w:p w14:paraId="4B897548" w14:textId="0D7916BF" w:rsidR="009229C6" w:rsidRPr="00D24410" w:rsidRDefault="00F17E74" w:rsidP="00F82D5B">
      <w:pPr>
        <w:rPr>
          <w:rFonts w:cs="Arial"/>
          <w:b/>
          <w:szCs w:val="20"/>
        </w:rPr>
      </w:pPr>
      <w:r w:rsidRPr="00F32AEB">
        <w:rPr>
          <w:rFonts w:cs="Arial"/>
          <w:b/>
          <w:bCs/>
          <w:szCs w:val="20"/>
        </w:rPr>
        <w:t xml:space="preserve">3.1 Cíl: </w:t>
      </w:r>
      <w:r w:rsidRPr="00A72274">
        <w:rPr>
          <w:rFonts w:cs="Arial"/>
          <w:b/>
          <w:szCs w:val="20"/>
        </w:rPr>
        <w:t>Přístupné</w:t>
      </w:r>
      <w:r w:rsidRPr="00F32AEB">
        <w:rPr>
          <w:rFonts w:cs="Arial"/>
          <w:b/>
          <w:bCs/>
          <w:szCs w:val="20"/>
        </w:rPr>
        <w:t xml:space="preserve"> s</w:t>
      </w:r>
      <w:r w:rsidRPr="00F32AEB">
        <w:rPr>
          <w:rFonts w:cs="Arial"/>
          <w:b/>
          <w:szCs w:val="20"/>
        </w:rPr>
        <w:t>lužby veřejné správy.</w:t>
      </w:r>
      <w:r w:rsidRPr="0057756D">
        <w:rPr>
          <w:rFonts w:cs="Arial"/>
          <w:b/>
          <w:szCs w:val="20"/>
        </w:rPr>
        <w:t xml:space="preserve"> </w:t>
      </w:r>
    </w:p>
    <w:p w14:paraId="5EE48238" w14:textId="77777777" w:rsidR="00F17E74" w:rsidRPr="00F912B5" w:rsidRDefault="00F17E74" w:rsidP="00F82D5B">
      <w:pPr>
        <w:rPr>
          <w:rFonts w:cs="Arial"/>
          <w:bCs/>
          <w:szCs w:val="20"/>
          <w:lang w:val="cs"/>
        </w:rPr>
      </w:pPr>
      <w:r>
        <w:rPr>
          <w:rFonts w:cs="Arial"/>
          <w:bCs/>
          <w:szCs w:val="20"/>
        </w:rPr>
        <w:t>Opatření 3.1</w:t>
      </w:r>
      <w:r w:rsidRPr="00F912B5">
        <w:rPr>
          <w:rFonts w:cs="Arial"/>
          <w:bCs/>
          <w:szCs w:val="20"/>
        </w:rPr>
        <w:t>.</w:t>
      </w:r>
      <w:r>
        <w:rPr>
          <w:rFonts w:cs="Arial"/>
          <w:bCs/>
          <w:szCs w:val="20"/>
        </w:rPr>
        <w:t>2</w:t>
      </w:r>
      <w:r w:rsidRPr="00F912B5">
        <w:rPr>
          <w:rFonts w:cs="Arial"/>
          <w:bCs/>
          <w:szCs w:val="20"/>
        </w:rPr>
        <w:t xml:space="preserve"> </w:t>
      </w:r>
      <w:r w:rsidRPr="00F912B5">
        <w:rPr>
          <w:rFonts w:cs="Arial"/>
          <w:bCs/>
          <w:szCs w:val="20"/>
          <w:lang w:val="cs"/>
        </w:rPr>
        <w:t xml:space="preserve">Podporovat šíření osvěty, </w:t>
      </w:r>
      <w:r w:rsidR="00C7177A">
        <w:rPr>
          <w:rFonts w:cs="Arial"/>
          <w:bCs/>
          <w:szCs w:val="20"/>
          <w:lang w:val="cs"/>
        </w:rPr>
        <w:t xml:space="preserve">příkladů </w:t>
      </w:r>
      <w:r w:rsidRPr="00F912B5">
        <w:rPr>
          <w:rFonts w:cs="Arial"/>
          <w:bCs/>
          <w:szCs w:val="20"/>
          <w:lang w:val="cs"/>
        </w:rPr>
        <w:t xml:space="preserve">dobré praxe a motivace v oblasti přístupnosti úřadů pro osoby se zdravotním postižením </w:t>
      </w:r>
      <w:r w:rsidRPr="00F912B5">
        <w:rPr>
          <w:rFonts w:cs="Arial"/>
          <w:bCs/>
          <w:szCs w:val="20"/>
        </w:rPr>
        <w:t>prostřednictvím soutěže pro územní samosprávné celky</w:t>
      </w:r>
      <w:r w:rsidRPr="00F912B5">
        <w:rPr>
          <w:rFonts w:cs="Arial"/>
          <w:bCs/>
          <w:szCs w:val="20"/>
          <w:lang w:val="cs"/>
        </w:rPr>
        <w:t xml:space="preserve"> (soutěž Přívětivý úřad).</w:t>
      </w:r>
    </w:p>
    <w:p w14:paraId="7F6474A8" w14:textId="77777777" w:rsidR="00F17E74" w:rsidRPr="00F912B5" w:rsidRDefault="00F17E74" w:rsidP="00B95267">
      <w:pPr>
        <w:rPr>
          <w:rFonts w:cs="Arial"/>
          <w:bCs/>
          <w:szCs w:val="20"/>
          <w:lang w:val="cs"/>
        </w:rPr>
      </w:pPr>
      <w:r w:rsidRPr="00F912B5">
        <w:rPr>
          <w:rFonts w:cs="Arial"/>
          <w:bCs/>
          <w:szCs w:val="20"/>
          <w:lang w:val="cs"/>
        </w:rPr>
        <w:t xml:space="preserve">Termín: průběžně </w:t>
      </w:r>
    </w:p>
    <w:p w14:paraId="4BDC5AD3" w14:textId="77777777" w:rsidR="00F17E74" w:rsidRPr="00F912B5" w:rsidRDefault="00F17E74" w:rsidP="00B95267">
      <w:pPr>
        <w:rPr>
          <w:rFonts w:cs="Arial"/>
          <w:bCs/>
          <w:szCs w:val="20"/>
          <w:lang w:val="cs"/>
        </w:rPr>
      </w:pPr>
      <w:r w:rsidRPr="00F912B5">
        <w:rPr>
          <w:rFonts w:cs="Arial"/>
          <w:bCs/>
          <w:szCs w:val="20"/>
          <w:lang w:val="cs"/>
        </w:rPr>
        <w:t>Gestor: MV</w:t>
      </w:r>
    </w:p>
    <w:p w14:paraId="5F952BFD" w14:textId="08836A66" w:rsidR="00F17E74" w:rsidRDefault="00F17E74" w:rsidP="00B95267">
      <w:pPr>
        <w:rPr>
          <w:rFonts w:cs="Arial"/>
          <w:szCs w:val="20"/>
        </w:rPr>
      </w:pPr>
      <w:r w:rsidRPr="00927D1B">
        <w:rPr>
          <w:rFonts w:cs="Arial"/>
          <w:bCs/>
          <w:szCs w:val="20"/>
          <w:lang w:val="cs"/>
        </w:rPr>
        <w:t>Indikátor</w:t>
      </w:r>
      <w:r w:rsidRPr="00D87068">
        <w:rPr>
          <w:rFonts w:cs="Arial"/>
          <w:szCs w:val="20"/>
        </w:rPr>
        <w:t>:</w:t>
      </w:r>
      <w:r>
        <w:rPr>
          <w:rFonts w:cs="Arial"/>
          <w:szCs w:val="20"/>
        </w:rPr>
        <w:t xml:space="preserve"> Soutěž Přívětivý úřad je každoročně vyhlašována.</w:t>
      </w:r>
    </w:p>
    <w:p w14:paraId="34959203" w14:textId="77777777" w:rsidR="00B95267" w:rsidRPr="004875DB" w:rsidRDefault="00B95267" w:rsidP="00B95267">
      <w:pPr>
        <w:rPr>
          <w:rFonts w:cs="Arial"/>
          <w:sz w:val="20"/>
          <w:szCs w:val="20"/>
        </w:rPr>
      </w:pPr>
    </w:p>
    <w:p w14:paraId="68C29219" w14:textId="43FF66A3" w:rsidR="00C1211F" w:rsidRPr="00F10523" w:rsidRDefault="00C1211F" w:rsidP="00F10523">
      <w:pPr>
        <w:tabs>
          <w:tab w:val="left" w:pos="720"/>
        </w:tabs>
        <w:rPr>
          <w:rFonts w:cs="Arial"/>
          <w:b/>
          <w:bCs/>
          <w:sz w:val="20"/>
          <w:szCs w:val="20"/>
          <w:lang w:eastAsia="cs-CZ"/>
        </w:rPr>
      </w:pPr>
      <w:r w:rsidRPr="00F10523">
        <w:rPr>
          <w:rFonts w:cs="Arial"/>
          <w:b/>
          <w:bCs/>
          <w:sz w:val="20"/>
          <w:szCs w:val="20"/>
          <w:lang w:eastAsia="cs-CZ"/>
        </w:rPr>
        <w:t>PLNĚNÍ MV:</w:t>
      </w:r>
    </w:p>
    <w:p w14:paraId="2E953253" w14:textId="1F5AF597" w:rsidR="00F10523" w:rsidRPr="00F10523" w:rsidRDefault="00F10523" w:rsidP="00F10523">
      <w:pPr>
        <w:rPr>
          <w:rFonts w:cs="Arial"/>
          <w:sz w:val="20"/>
          <w:szCs w:val="20"/>
        </w:rPr>
      </w:pPr>
      <w:r w:rsidRPr="00F10523">
        <w:rPr>
          <w:rFonts w:cs="Arial"/>
          <w:sz w:val="20"/>
          <w:szCs w:val="20"/>
        </w:rPr>
        <w:t>V roce 2023 proběhl osmý ročník soutěže Přívětivý úřad v kategorii obcí s rozšířenou působností. Soutěž je postavena na komplexním přístupu úřadů v oblasti kvality při poskytování služeb klientům. Zhruba osmdesát kritérií hodnotí přístupnost a otevřenost úřadu, komunikaci s klienty včetně osob se zdravotním postižením (OZP), digitalizaci služeb a tím zlepšení přístupnosti služeb pro OZP, dostupnost služeb pro všechny občany nebo úroveň komunikace.</w:t>
      </w:r>
    </w:p>
    <w:p w14:paraId="36AEFDD7" w14:textId="7F8C77A5" w:rsidR="00F10523" w:rsidRPr="00F10523" w:rsidRDefault="00F10523" w:rsidP="00F10523">
      <w:pPr>
        <w:rPr>
          <w:rFonts w:cs="Arial"/>
          <w:sz w:val="20"/>
          <w:szCs w:val="20"/>
        </w:rPr>
      </w:pPr>
      <w:r w:rsidRPr="00F10523">
        <w:rPr>
          <w:rFonts w:cs="Arial"/>
          <w:sz w:val="20"/>
          <w:szCs w:val="20"/>
        </w:rPr>
        <w:t>V roce 2023 se soutěže zúčastnilo 130 obcí s rozšířenou působností včetně 17 MČ Prahy. Jednalo se tak o 58 % z celkového počtu všech municipalit. Sběr dat proběhl v červnu 2023 dotazníkovým šetřením ve formě on-line dotazníku. Výsledky byly vyhlášeny na slavnostním předávání trofejí pro oceněné obce 1. listopadu 2023 v Uměleckoprůmyslovém museu v Praze. Byly oceněny vždy tři nejlepší města v každém kraji a poté i nejlepší 3 celorepublikoví vítězové, kteří obdrželi skleněnou trofej. Jako každý rok vyšla taktéž brožura dobré praxe za rok 2023, kde se nachází výběr 24 příkladů dobré praxe z různých oblastí.</w:t>
      </w:r>
    </w:p>
    <w:p w14:paraId="0DD3CCA2" w14:textId="53B5DFE2" w:rsidR="00F10523" w:rsidRPr="00F10523" w:rsidRDefault="00F10523" w:rsidP="00F10523">
      <w:pPr>
        <w:rPr>
          <w:rFonts w:cs="Arial"/>
          <w:sz w:val="20"/>
          <w:szCs w:val="20"/>
        </w:rPr>
      </w:pPr>
      <w:r w:rsidRPr="00F10523">
        <w:rPr>
          <w:rFonts w:cs="Arial"/>
          <w:sz w:val="20"/>
          <w:szCs w:val="20"/>
        </w:rPr>
        <w:lastRenderedPageBreak/>
        <w:t xml:space="preserve">Součástí dotazníkového šetření byly i otázky týkající se bezbariérového přístupu, disponibility vodících prvků pro nevidomé nebo nabídky služeb poskytovaných neslyšícím občanům. </w:t>
      </w:r>
    </w:p>
    <w:p w14:paraId="2586DEAA" w14:textId="7B557B87" w:rsidR="00C1211F" w:rsidRPr="00F10523" w:rsidRDefault="00C1211F" w:rsidP="00F10523">
      <w:pPr>
        <w:keepNext/>
        <w:tabs>
          <w:tab w:val="left" w:pos="720"/>
        </w:tabs>
        <w:rPr>
          <w:rFonts w:cs="Arial"/>
          <w:b/>
          <w:bCs/>
          <w:sz w:val="20"/>
          <w:szCs w:val="20"/>
          <w:lang w:eastAsia="cs-CZ"/>
        </w:rPr>
      </w:pPr>
      <w:r w:rsidRPr="00F10523">
        <w:rPr>
          <w:rFonts w:cs="Arial"/>
          <w:b/>
          <w:bCs/>
          <w:sz w:val="20"/>
          <w:szCs w:val="20"/>
          <w:lang w:eastAsia="cs-CZ"/>
        </w:rPr>
        <w:t>STANOVISKO K PLNĚNÍ:</w:t>
      </w:r>
      <w:r w:rsidR="003A1419" w:rsidRPr="00F10523">
        <w:rPr>
          <w:rFonts w:cs="Arial"/>
          <w:b/>
          <w:bCs/>
          <w:sz w:val="20"/>
          <w:szCs w:val="20"/>
          <w:lang w:eastAsia="cs-CZ"/>
        </w:rPr>
        <w:t xml:space="preserve"> Plněno.</w:t>
      </w:r>
    </w:p>
    <w:p w14:paraId="451C55E5" w14:textId="77777777" w:rsidR="00C1211F" w:rsidRPr="004875DB" w:rsidRDefault="00C1211F" w:rsidP="00C52288">
      <w:pPr>
        <w:rPr>
          <w:rFonts w:cs="Arial"/>
          <w:sz w:val="20"/>
          <w:szCs w:val="20"/>
        </w:rPr>
      </w:pPr>
    </w:p>
    <w:p w14:paraId="78C572DB" w14:textId="2F1F4397" w:rsidR="00F17E74" w:rsidRPr="0057756D" w:rsidRDefault="00F17E74" w:rsidP="00C52288">
      <w:pPr>
        <w:rPr>
          <w:rFonts w:cs="Arial"/>
          <w:szCs w:val="20"/>
        </w:rPr>
      </w:pPr>
      <w:r w:rsidRPr="0035060D">
        <w:rPr>
          <w:rFonts w:cs="Arial"/>
          <w:bCs/>
          <w:szCs w:val="20"/>
        </w:rPr>
        <w:t xml:space="preserve">Opatření </w:t>
      </w:r>
      <w:r>
        <w:rPr>
          <w:rFonts w:cs="Arial"/>
          <w:szCs w:val="20"/>
        </w:rPr>
        <w:t xml:space="preserve">3.1.3 </w:t>
      </w:r>
      <w:r w:rsidRPr="0057756D">
        <w:rPr>
          <w:rFonts w:cs="Arial"/>
          <w:szCs w:val="20"/>
        </w:rPr>
        <w:t>Zavést kontrolu řešení přístupnosti u žádo</w:t>
      </w:r>
      <w:r w:rsidR="00C402D4">
        <w:rPr>
          <w:rFonts w:cs="Arial"/>
          <w:szCs w:val="20"/>
        </w:rPr>
        <w:t>stí o schválení ICT projektů ze </w:t>
      </w:r>
      <w:r w:rsidRPr="0057756D">
        <w:rPr>
          <w:rFonts w:cs="Arial"/>
          <w:szCs w:val="20"/>
        </w:rPr>
        <w:t xml:space="preserve">strany Odboru hlavního </w:t>
      </w:r>
      <w:r w:rsidRPr="001571CF">
        <w:rPr>
          <w:rFonts w:cs="Arial"/>
          <w:szCs w:val="20"/>
        </w:rPr>
        <w:t>architekta MV.</w:t>
      </w:r>
    </w:p>
    <w:p w14:paraId="49D4359E" w14:textId="77777777" w:rsidR="00F17E74" w:rsidRPr="0057756D" w:rsidRDefault="00F17E74" w:rsidP="00C52288">
      <w:pPr>
        <w:rPr>
          <w:rFonts w:cs="Arial"/>
          <w:szCs w:val="20"/>
        </w:rPr>
      </w:pPr>
      <w:r w:rsidRPr="0057756D">
        <w:rPr>
          <w:rFonts w:cs="Arial"/>
          <w:szCs w:val="20"/>
        </w:rPr>
        <w:t>Termín: průběžně</w:t>
      </w:r>
    </w:p>
    <w:p w14:paraId="6D19C430" w14:textId="6050E256" w:rsidR="00F17E74" w:rsidRPr="0057756D" w:rsidRDefault="00F17E74" w:rsidP="00C52288">
      <w:pPr>
        <w:rPr>
          <w:rFonts w:cs="Arial"/>
          <w:szCs w:val="20"/>
        </w:rPr>
      </w:pPr>
      <w:r w:rsidRPr="001571CF">
        <w:rPr>
          <w:rFonts w:cs="Arial"/>
          <w:szCs w:val="20"/>
        </w:rPr>
        <w:t xml:space="preserve">Gestor: </w:t>
      </w:r>
      <w:r w:rsidR="001571CF">
        <w:rPr>
          <w:rFonts w:cs="Arial"/>
          <w:szCs w:val="20"/>
        </w:rPr>
        <w:t>MV</w:t>
      </w:r>
    </w:p>
    <w:p w14:paraId="108864D2" w14:textId="6A5830D7" w:rsidR="00F17E74" w:rsidRDefault="00F17E74" w:rsidP="00C52288">
      <w:pPr>
        <w:rPr>
          <w:rFonts w:cs="Arial"/>
          <w:szCs w:val="20"/>
        </w:rPr>
      </w:pPr>
      <w:r w:rsidRPr="00927D1B">
        <w:rPr>
          <w:rFonts w:cs="Arial"/>
          <w:bCs/>
          <w:szCs w:val="20"/>
          <w:lang w:val="cs"/>
        </w:rPr>
        <w:t>Indikátor</w:t>
      </w:r>
      <w:r w:rsidRPr="00D87068">
        <w:rPr>
          <w:rFonts w:cs="Arial"/>
          <w:szCs w:val="20"/>
        </w:rPr>
        <w:t>:</w:t>
      </w:r>
      <w:r>
        <w:rPr>
          <w:rFonts w:cs="Arial"/>
          <w:szCs w:val="20"/>
        </w:rPr>
        <w:t xml:space="preserve"> U </w:t>
      </w:r>
      <w:r w:rsidRPr="0057756D">
        <w:rPr>
          <w:rFonts w:cs="Arial"/>
          <w:szCs w:val="20"/>
        </w:rPr>
        <w:t xml:space="preserve">žádostí </w:t>
      </w:r>
      <w:r>
        <w:rPr>
          <w:rFonts w:cs="Arial"/>
          <w:szCs w:val="20"/>
        </w:rPr>
        <w:t>o schválení ICT projektů je zavedena kontrola řešení přístupnosti.</w:t>
      </w:r>
    </w:p>
    <w:p w14:paraId="20482023" w14:textId="77777777" w:rsidR="00C52288" w:rsidRPr="00F670D4" w:rsidRDefault="00C52288" w:rsidP="00C52288">
      <w:pPr>
        <w:tabs>
          <w:tab w:val="left" w:pos="720"/>
        </w:tabs>
        <w:rPr>
          <w:rFonts w:cs="Arial"/>
          <w:b/>
          <w:bCs/>
          <w:sz w:val="20"/>
          <w:szCs w:val="20"/>
          <w:lang w:eastAsia="cs-CZ"/>
        </w:rPr>
      </w:pPr>
    </w:p>
    <w:p w14:paraId="6BA46335" w14:textId="24E8B271" w:rsidR="009F3C7C" w:rsidRPr="00842B63" w:rsidRDefault="001D3DE4" w:rsidP="00C52288">
      <w:pPr>
        <w:tabs>
          <w:tab w:val="left" w:pos="720"/>
        </w:tabs>
        <w:rPr>
          <w:rFonts w:cs="Arial"/>
          <w:b/>
          <w:bCs/>
          <w:sz w:val="20"/>
          <w:szCs w:val="20"/>
          <w:lang w:eastAsia="cs-CZ"/>
        </w:rPr>
      </w:pPr>
      <w:r w:rsidRPr="00842B63">
        <w:rPr>
          <w:rFonts w:cs="Arial"/>
          <w:b/>
          <w:bCs/>
          <w:sz w:val="20"/>
          <w:szCs w:val="20"/>
          <w:lang w:eastAsia="cs-CZ"/>
        </w:rPr>
        <w:t>PLNĚNÍ DIA</w:t>
      </w:r>
      <w:r w:rsidR="009F3C7C" w:rsidRPr="00842B63">
        <w:rPr>
          <w:rFonts w:cs="Arial"/>
          <w:b/>
          <w:bCs/>
          <w:sz w:val="20"/>
          <w:szCs w:val="20"/>
          <w:lang w:eastAsia="cs-CZ"/>
        </w:rPr>
        <w:t>:</w:t>
      </w:r>
    </w:p>
    <w:p w14:paraId="0E1262DC" w14:textId="78F9D171" w:rsidR="00E6327F" w:rsidRPr="00842B63" w:rsidRDefault="001571CF" w:rsidP="00BF0D87">
      <w:pPr>
        <w:tabs>
          <w:tab w:val="left" w:pos="720"/>
        </w:tabs>
        <w:rPr>
          <w:rFonts w:cs="Arial"/>
          <w:color w:val="000000"/>
          <w:sz w:val="20"/>
          <w:szCs w:val="20"/>
        </w:rPr>
      </w:pPr>
      <w:r>
        <w:rPr>
          <w:rFonts w:cs="Arial"/>
          <w:color w:val="000000"/>
          <w:sz w:val="20"/>
          <w:szCs w:val="20"/>
        </w:rPr>
        <w:t>Odbor hlavního architekta Digitální a informační agentury</w:t>
      </w:r>
      <w:r w:rsidR="00E6327F" w:rsidRPr="00842B63">
        <w:rPr>
          <w:rFonts w:cs="Arial"/>
          <w:color w:val="000000"/>
          <w:sz w:val="20"/>
          <w:szCs w:val="20"/>
        </w:rPr>
        <w:t xml:space="preserve"> (dále jen </w:t>
      </w:r>
      <w:r w:rsidR="00BF0D87">
        <w:rPr>
          <w:rFonts w:cs="Arial"/>
          <w:color w:val="000000"/>
          <w:sz w:val="20"/>
          <w:szCs w:val="20"/>
        </w:rPr>
        <w:t>„OHA“) požaduje po žadatelích o </w:t>
      </w:r>
      <w:r w:rsidR="00E6327F" w:rsidRPr="00842B63">
        <w:rPr>
          <w:rFonts w:cs="Arial"/>
          <w:color w:val="000000"/>
          <w:sz w:val="20"/>
          <w:szCs w:val="20"/>
        </w:rPr>
        <w:t xml:space="preserve">stanovisko řešení přístupnosti. Jedná se jednak o splnění </w:t>
      </w:r>
      <w:r w:rsidR="00BF0D87">
        <w:rPr>
          <w:rFonts w:cs="Arial"/>
          <w:color w:val="000000"/>
          <w:sz w:val="20"/>
          <w:szCs w:val="20"/>
        </w:rPr>
        <w:t>principu P3 Podpora začlenění a </w:t>
      </w:r>
      <w:r w:rsidR="00E6327F" w:rsidRPr="00842B63">
        <w:rPr>
          <w:rFonts w:cs="Arial"/>
          <w:color w:val="000000"/>
          <w:sz w:val="20"/>
          <w:szCs w:val="20"/>
        </w:rPr>
        <w:t xml:space="preserve">přístupnost Informační koncepce ČR v rámci kapitoly 2.1 formuláře a splnění pravidel UX/UI v rámci kapitoly 2.2.8 formuláře. Formulář i metodika k němu je k dispozici zde </w:t>
      </w:r>
      <w:hyperlink r:id="rId53" w:anchor="jake" w:history="1">
        <w:r w:rsidR="00E6327F" w:rsidRPr="00842B63">
          <w:rPr>
            <w:rStyle w:val="Hypertextovodkaz"/>
            <w:rFonts w:cs="Arial"/>
            <w:sz w:val="20"/>
            <w:szCs w:val="20"/>
          </w:rPr>
          <w:t>https://archi.gov.cz/uvod_schvalovani#jake</w:t>
        </w:r>
      </w:hyperlink>
      <w:r w:rsidR="00E6327F" w:rsidRPr="00842B63">
        <w:rPr>
          <w:rFonts w:cs="Arial"/>
          <w:color w:val="000000"/>
          <w:sz w:val="20"/>
          <w:szCs w:val="20"/>
        </w:rPr>
        <w:t xml:space="preserve">, pravidla UX/UI zde </w:t>
      </w:r>
      <w:hyperlink r:id="rId54" w:history="1">
        <w:r w:rsidR="00E6327F" w:rsidRPr="00842B63">
          <w:rPr>
            <w:rStyle w:val="Hypertextovodkaz"/>
            <w:rFonts w:cs="Arial"/>
            <w:sz w:val="20"/>
            <w:szCs w:val="20"/>
          </w:rPr>
          <w:t>https://archi.gov.cz/znalostni_baze:pravidla_uxui</w:t>
        </w:r>
      </w:hyperlink>
      <w:r w:rsidR="00E6327F" w:rsidRPr="00842B63">
        <w:rPr>
          <w:rFonts w:cs="Arial"/>
          <w:color w:val="000000"/>
          <w:sz w:val="20"/>
          <w:szCs w:val="20"/>
        </w:rPr>
        <w:t xml:space="preserve"> a přístupnost informací zde </w:t>
      </w:r>
      <w:hyperlink r:id="rId55" w:history="1">
        <w:r w:rsidR="00E6327F" w:rsidRPr="00842B63">
          <w:rPr>
            <w:rStyle w:val="Hypertextovodkaz"/>
            <w:rFonts w:cs="Arial"/>
            <w:sz w:val="20"/>
            <w:szCs w:val="20"/>
          </w:rPr>
          <w:t>https://archi.gov.cz/nap:pristupnost_informaci</w:t>
        </w:r>
      </w:hyperlink>
      <w:r w:rsidR="00E6327F" w:rsidRPr="00842B63">
        <w:rPr>
          <w:rFonts w:cs="Arial"/>
          <w:color w:val="000000"/>
          <w:sz w:val="20"/>
          <w:szCs w:val="20"/>
        </w:rPr>
        <w:t>.</w:t>
      </w:r>
    </w:p>
    <w:p w14:paraId="4C329C0B" w14:textId="1EA5C8C2" w:rsidR="009F3C7C" w:rsidRPr="00842B63" w:rsidRDefault="009F3C7C" w:rsidP="00C52288">
      <w:pPr>
        <w:keepNext/>
        <w:tabs>
          <w:tab w:val="left" w:pos="720"/>
        </w:tabs>
        <w:rPr>
          <w:rFonts w:cs="Arial"/>
          <w:b/>
          <w:bCs/>
          <w:sz w:val="20"/>
          <w:szCs w:val="20"/>
          <w:lang w:eastAsia="cs-CZ"/>
        </w:rPr>
      </w:pPr>
      <w:r w:rsidRPr="00842B63">
        <w:rPr>
          <w:rFonts w:cs="Arial"/>
          <w:b/>
          <w:bCs/>
          <w:sz w:val="20"/>
          <w:szCs w:val="20"/>
          <w:lang w:eastAsia="cs-CZ"/>
        </w:rPr>
        <w:t>STANOVISKO K PLNĚNÍ:</w:t>
      </w:r>
      <w:r w:rsidR="0005248B" w:rsidRPr="00842B63">
        <w:rPr>
          <w:rFonts w:cs="Arial"/>
          <w:b/>
          <w:bCs/>
          <w:sz w:val="20"/>
          <w:szCs w:val="20"/>
          <w:lang w:eastAsia="cs-CZ"/>
        </w:rPr>
        <w:t xml:space="preserve"> Plněno.</w:t>
      </w:r>
      <w:r w:rsidR="001571CF">
        <w:rPr>
          <w:rFonts w:cs="Arial"/>
          <w:b/>
          <w:bCs/>
          <w:sz w:val="20"/>
          <w:szCs w:val="20"/>
          <w:lang w:eastAsia="cs-CZ"/>
        </w:rPr>
        <w:t xml:space="preserve"> Z důvodu převodu kompetencí je navržena změna gestora z MV na Digitální a informační agenturu (DIA).</w:t>
      </w:r>
    </w:p>
    <w:p w14:paraId="545698F2" w14:textId="77777777" w:rsidR="00E67E1A" w:rsidRPr="00F670D4" w:rsidRDefault="00E67E1A" w:rsidP="00C52288">
      <w:pPr>
        <w:rPr>
          <w:rFonts w:cs="Arial"/>
          <w:sz w:val="20"/>
          <w:szCs w:val="20"/>
        </w:rPr>
      </w:pPr>
    </w:p>
    <w:p w14:paraId="5B9077AC" w14:textId="77777777" w:rsidR="00F17E74" w:rsidRDefault="00F17E74" w:rsidP="00C52288">
      <w:pPr>
        <w:rPr>
          <w:rFonts w:cs="Arial"/>
          <w:b/>
          <w:szCs w:val="20"/>
        </w:rPr>
      </w:pPr>
      <w:r w:rsidRPr="00F32AEB">
        <w:rPr>
          <w:rFonts w:cs="Arial"/>
          <w:b/>
          <w:szCs w:val="20"/>
        </w:rPr>
        <w:t>3.2 Cíl: Přístupné webové stránky a elektronické služby veřejné správy.</w:t>
      </w:r>
      <w:r>
        <w:rPr>
          <w:rFonts w:cs="Arial"/>
          <w:b/>
          <w:szCs w:val="20"/>
        </w:rPr>
        <w:t xml:space="preserve"> </w:t>
      </w:r>
    </w:p>
    <w:p w14:paraId="61037783" w14:textId="774C15B5" w:rsidR="00F17E74" w:rsidRPr="00F912B5" w:rsidRDefault="00F17E74" w:rsidP="00C75F09">
      <w:pPr>
        <w:rPr>
          <w:rFonts w:cs="Arial"/>
          <w:bCs/>
          <w:szCs w:val="20"/>
        </w:rPr>
      </w:pPr>
      <w:r w:rsidRPr="00F912B5">
        <w:rPr>
          <w:rFonts w:cs="Arial"/>
          <w:bCs/>
          <w:szCs w:val="20"/>
        </w:rPr>
        <w:t xml:space="preserve">Opatření </w:t>
      </w:r>
      <w:r>
        <w:rPr>
          <w:rFonts w:cs="Arial"/>
          <w:bCs/>
          <w:szCs w:val="20"/>
        </w:rPr>
        <w:t>3.2.</w:t>
      </w:r>
      <w:r w:rsidR="006451DF">
        <w:rPr>
          <w:rFonts w:cs="Arial"/>
          <w:bCs/>
          <w:szCs w:val="20"/>
        </w:rPr>
        <w:t>6</w:t>
      </w:r>
      <w:r w:rsidRPr="00F912B5">
        <w:rPr>
          <w:rFonts w:cs="Arial"/>
          <w:bCs/>
          <w:szCs w:val="20"/>
        </w:rPr>
        <w:t xml:space="preserve"> V rámci metodických materiálů týkajících se veřejných zakázek upozorňovat i na povinnost přístupnosti veřejných zakázek.</w:t>
      </w:r>
    </w:p>
    <w:p w14:paraId="5D0CC7BC" w14:textId="77777777" w:rsidR="00F17E74" w:rsidRPr="00F912B5" w:rsidRDefault="00F17E74" w:rsidP="00F17E74">
      <w:pPr>
        <w:rPr>
          <w:rFonts w:cs="Arial"/>
          <w:bCs/>
          <w:szCs w:val="20"/>
        </w:rPr>
      </w:pPr>
      <w:r w:rsidRPr="00F912B5">
        <w:rPr>
          <w:rFonts w:cs="Arial"/>
          <w:bCs/>
          <w:szCs w:val="20"/>
        </w:rPr>
        <w:t>Termín: průběžně</w:t>
      </w:r>
    </w:p>
    <w:p w14:paraId="4E576DC2" w14:textId="77777777" w:rsidR="00F17E74" w:rsidRPr="00F912B5" w:rsidRDefault="00F17E74" w:rsidP="00F17E74">
      <w:pPr>
        <w:rPr>
          <w:rFonts w:cs="Arial"/>
          <w:bCs/>
          <w:szCs w:val="20"/>
        </w:rPr>
      </w:pPr>
      <w:r w:rsidRPr="00F912B5">
        <w:rPr>
          <w:rFonts w:cs="Arial"/>
          <w:bCs/>
          <w:szCs w:val="20"/>
        </w:rPr>
        <w:t>Gestor: MMR</w:t>
      </w:r>
    </w:p>
    <w:p w14:paraId="0B1A8BFD" w14:textId="4DD8B4F5" w:rsidR="00F17E74" w:rsidRDefault="00F17E74" w:rsidP="002574FF">
      <w:pPr>
        <w:rPr>
          <w:rFonts w:cs="Arial"/>
          <w:szCs w:val="20"/>
        </w:rPr>
      </w:pPr>
      <w:r>
        <w:rPr>
          <w:rFonts w:cs="Arial"/>
          <w:szCs w:val="20"/>
        </w:rPr>
        <w:t>Indikátor: Obsahem metodických materiá</w:t>
      </w:r>
      <w:r w:rsidR="00512905">
        <w:rPr>
          <w:rFonts w:cs="Arial"/>
          <w:szCs w:val="20"/>
        </w:rPr>
        <w:t>lů je i upozornění na povinnost</w:t>
      </w:r>
      <w:r>
        <w:rPr>
          <w:rFonts w:cs="Arial"/>
          <w:szCs w:val="20"/>
        </w:rPr>
        <w:t xml:space="preserve"> přístupnosti veřejných zakázek. </w:t>
      </w:r>
    </w:p>
    <w:p w14:paraId="0DA30568" w14:textId="77777777" w:rsidR="002574FF" w:rsidRPr="006A4CF7" w:rsidRDefault="002574FF" w:rsidP="006A4CF7">
      <w:pPr>
        <w:rPr>
          <w:rFonts w:cs="Arial"/>
          <w:szCs w:val="20"/>
        </w:rPr>
      </w:pPr>
    </w:p>
    <w:p w14:paraId="7210AA9A" w14:textId="04502598" w:rsidR="00A271BC" w:rsidRPr="00C844C8" w:rsidRDefault="00A271BC" w:rsidP="00C844C8">
      <w:pPr>
        <w:tabs>
          <w:tab w:val="left" w:pos="720"/>
        </w:tabs>
        <w:rPr>
          <w:rFonts w:cs="Arial"/>
          <w:b/>
          <w:bCs/>
          <w:sz w:val="20"/>
          <w:szCs w:val="20"/>
          <w:lang w:eastAsia="cs-CZ"/>
        </w:rPr>
      </w:pPr>
      <w:r w:rsidRPr="00C844C8">
        <w:rPr>
          <w:rFonts w:cs="Arial"/>
          <w:b/>
          <w:bCs/>
          <w:sz w:val="20"/>
          <w:szCs w:val="20"/>
          <w:lang w:eastAsia="cs-CZ"/>
        </w:rPr>
        <w:t>PLNĚNÍ MMR:</w:t>
      </w:r>
    </w:p>
    <w:p w14:paraId="11BEDED0" w14:textId="36B4C43F" w:rsidR="002B54B2" w:rsidRPr="00C844C8" w:rsidRDefault="00C844C8" w:rsidP="00C844C8">
      <w:pPr>
        <w:rPr>
          <w:rFonts w:ascii="Calibri" w:eastAsia="Times New Roman" w:hAnsi="Calibri"/>
          <w:iCs/>
          <w:sz w:val="20"/>
          <w:szCs w:val="20"/>
        </w:rPr>
      </w:pPr>
      <w:r w:rsidRPr="00C844C8">
        <w:rPr>
          <w:rFonts w:eastAsia="Times New Roman" w:cs="Arial"/>
          <w:iCs/>
          <w:color w:val="000000"/>
          <w:sz w:val="20"/>
          <w:szCs w:val="20"/>
        </w:rPr>
        <w:t>Opatření je průběžně plněno. Obsahem všech relevantních metodických materiálů a výstupů MMR je průběžné upozornění na povinnost přístupnosti při zadávání veřejných zakázek.</w:t>
      </w:r>
    </w:p>
    <w:p w14:paraId="058C383E" w14:textId="7DA02383" w:rsidR="00A271BC" w:rsidRPr="00C844C8" w:rsidRDefault="00A271BC" w:rsidP="00C844C8">
      <w:pPr>
        <w:keepNext/>
        <w:tabs>
          <w:tab w:val="left" w:pos="720"/>
        </w:tabs>
        <w:rPr>
          <w:rFonts w:cs="Arial"/>
          <w:b/>
          <w:bCs/>
          <w:sz w:val="20"/>
          <w:szCs w:val="20"/>
          <w:lang w:eastAsia="cs-CZ"/>
        </w:rPr>
      </w:pPr>
      <w:r w:rsidRPr="00C844C8">
        <w:rPr>
          <w:rFonts w:cs="Arial"/>
          <w:b/>
          <w:bCs/>
          <w:sz w:val="20"/>
          <w:szCs w:val="20"/>
          <w:lang w:eastAsia="cs-CZ"/>
        </w:rPr>
        <w:t>STANOVISKO K PLNĚNÍ:</w:t>
      </w:r>
      <w:r w:rsidR="002574FF" w:rsidRPr="00C844C8">
        <w:rPr>
          <w:rFonts w:cs="Arial"/>
          <w:b/>
          <w:bCs/>
          <w:sz w:val="20"/>
          <w:szCs w:val="20"/>
          <w:lang w:eastAsia="cs-CZ"/>
        </w:rPr>
        <w:t xml:space="preserve"> Plněno.</w:t>
      </w:r>
    </w:p>
    <w:p w14:paraId="43E08381" w14:textId="77777777" w:rsidR="00A271BC" w:rsidRPr="006A4CF7" w:rsidRDefault="00A271BC" w:rsidP="006A4CF7">
      <w:pPr>
        <w:rPr>
          <w:rFonts w:cs="Arial"/>
          <w:szCs w:val="20"/>
        </w:rPr>
      </w:pPr>
    </w:p>
    <w:p w14:paraId="14791A97" w14:textId="663CFB75" w:rsidR="00F17E74" w:rsidRPr="00995400" w:rsidRDefault="00F17E74" w:rsidP="00F17E74">
      <w:pPr>
        <w:rPr>
          <w:rFonts w:cs="Arial"/>
          <w:szCs w:val="20"/>
        </w:rPr>
      </w:pPr>
      <w:r w:rsidRPr="00995400">
        <w:rPr>
          <w:rFonts w:cs="Arial"/>
          <w:bCs/>
          <w:szCs w:val="20"/>
        </w:rPr>
        <w:t xml:space="preserve">Opatření </w:t>
      </w:r>
      <w:r w:rsidRPr="00995400">
        <w:rPr>
          <w:rFonts w:cs="Arial"/>
          <w:szCs w:val="20"/>
        </w:rPr>
        <w:t>3.2.</w:t>
      </w:r>
      <w:r w:rsidR="006451DF">
        <w:rPr>
          <w:rFonts w:cs="Arial"/>
          <w:szCs w:val="20"/>
        </w:rPr>
        <w:t>7</w:t>
      </w:r>
      <w:r w:rsidRPr="00995400">
        <w:rPr>
          <w:rFonts w:cs="Arial"/>
          <w:szCs w:val="20"/>
        </w:rPr>
        <w:t xml:space="preserve"> Provádět metodickou a osvětovou činnost v oblasti přístupnosti internetovýc</w:t>
      </w:r>
      <w:r w:rsidR="00BF0D87">
        <w:rPr>
          <w:rFonts w:cs="Arial"/>
          <w:szCs w:val="20"/>
        </w:rPr>
        <w:t>h stránek a mobilních aplikací.</w:t>
      </w:r>
    </w:p>
    <w:p w14:paraId="04FDD6BF" w14:textId="77777777" w:rsidR="00F17E74" w:rsidRPr="00995400" w:rsidRDefault="00F17E74" w:rsidP="00F17E74">
      <w:pPr>
        <w:rPr>
          <w:rFonts w:cs="Arial"/>
          <w:szCs w:val="20"/>
        </w:rPr>
      </w:pPr>
      <w:r w:rsidRPr="00995400">
        <w:rPr>
          <w:rFonts w:cs="Arial"/>
          <w:szCs w:val="20"/>
        </w:rPr>
        <w:t>Termín: průběžně</w:t>
      </w:r>
    </w:p>
    <w:p w14:paraId="1924003B" w14:textId="50678CC1" w:rsidR="00F17E74" w:rsidRPr="00AA7A0D" w:rsidRDefault="00F17E74" w:rsidP="00F17E74">
      <w:pPr>
        <w:rPr>
          <w:rFonts w:cs="Arial"/>
          <w:szCs w:val="20"/>
        </w:rPr>
      </w:pPr>
      <w:r w:rsidRPr="00995400">
        <w:rPr>
          <w:rFonts w:cs="Arial"/>
          <w:szCs w:val="20"/>
        </w:rPr>
        <w:t>Gestor</w:t>
      </w:r>
      <w:r w:rsidRPr="00AA7A0D">
        <w:rPr>
          <w:rFonts w:cs="Arial"/>
          <w:szCs w:val="20"/>
        </w:rPr>
        <w:t>: MV</w:t>
      </w:r>
      <w:r w:rsidR="00AA7A0D" w:rsidRPr="00AA7A0D">
        <w:rPr>
          <w:rFonts w:cs="Arial"/>
          <w:szCs w:val="20"/>
        </w:rPr>
        <w:t xml:space="preserve"> </w:t>
      </w:r>
    </w:p>
    <w:p w14:paraId="15299CAC" w14:textId="01D8A674" w:rsidR="00F17E74" w:rsidRPr="00AA7A0D" w:rsidRDefault="00F17E74" w:rsidP="006177CE">
      <w:pPr>
        <w:rPr>
          <w:rFonts w:cs="Arial"/>
          <w:szCs w:val="20"/>
        </w:rPr>
      </w:pPr>
      <w:r w:rsidRPr="00AA7A0D">
        <w:rPr>
          <w:rFonts w:cs="Arial"/>
          <w:szCs w:val="20"/>
        </w:rPr>
        <w:t xml:space="preserve">Indikátor: </w:t>
      </w:r>
      <w:r w:rsidR="00812552" w:rsidRPr="00AA7A0D">
        <w:rPr>
          <w:rFonts w:cs="Arial"/>
          <w:szCs w:val="20"/>
        </w:rPr>
        <w:t>V hodnoceném období b</w:t>
      </w:r>
      <w:r w:rsidRPr="00AA7A0D">
        <w:rPr>
          <w:rFonts w:cs="Arial"/>
          <w:szCs w:val="20"/>
        </w:rPr>
        <w:t>yla provedena alespoň jedna metodická či osvětová aktivita v </w:t>
      </w:r>
      <w:r w:rsidR="00245A51" w:rsidRPr="00AA7A0D">
        <w:rPr>
          <w:rFonts w:cs="Arial"/>
          <w:szCs w:val="20"/>
        </w:rPr>
        <w:t>uvedené</w:t>
      </w:r>
      <w:r w:rsidRPr="00AA7A0D">
        <w:rPr>
          <w:rFonts w:cs="Arial"/>
          <w:szCs w:val="20"/>
        </w:rPr>
        <w:t xml:space="preserve"> oblasti.  </w:t>
      </w:r>
    </w:p>
    <w:p w14:paraId="6F767346" w14:textId="77777777" w:rsidR="006177CE" w:rsidRPr="00AA7A0D" w:rsidRDefault="006177CE" w:rsidP="006177CE">
      <w:pPr>
        <w:rPr>
          <w:rFonts w:cs="Arial"/>
          <w:sz w:val="20"/>
          <w:szCs w:val="20"/>
        </w:rPr>
      </w:pPr>
    </w:p>
    <w:p w14:paraId="3636C88C" w14:textId="2C9243FE" w:rsidR="0061546B" w:rsidRPr="00D54AF4" w:rsidRDefault="00C2383D" w:rsidP="00D54AF4">
      <w:pPr>
        <w:tabs>
          <w:tab w:val="left" w:pos="720"/>
        </w:tabs>
        <w:rPr>
          <w:rFonts w:cs="Arial"/>
          <w:b/>
          <w:bCs/>
          <w:sz w:val="20"/>
          <w:szCs w:val="20"/>
          <w:lang w:eastAsia="cs-CZ"/>
        </w:rPr>
      </w:pPr>
      <w:r w:rsidRPr="00AA7A0D">
        <w:rPr>
          <w:rFonts w:cs="Arial"/>
          <w:b/>
          <w:bCs/>
          <w:sz w:val="20"/>
          <w:szCs w:val="20"/>
          <w:lang w:eastAsia="cs-CZ"/>
        </w:rPr>
        <w:t>PLNĚNÍ DIA</w:t>
      </w:r>
      <w:r w:rsidR="0061546B" w:rsidRPr="00AA7A0D">
        <w:rPr>
          <w:rFonts w:cs="Arial"/>
          <w:b/>
          <w:bCs/>
          <w:sz w:val="20"/>
          <w:szCs w:val="20"/>
          <w:lang w:eastAsia="cs-CZ"/>
        </w:rPr>
        <w:t>:</w:t>
      </w:r>
    </w:p>
    <w:p w14:paraId="62B9910C" w14:textId="7DF971B1" w:rsidR="00D54AF4" w:rsidRPr="00D54AF4" w:rsidRDefault="00D54AF4" w:rsidP="00D54AF4">
      <w:pPr>
        <w:autoSpaceDE w:val="0"/>
        <w:autoSpaceDN w:val="0"/>
        <w:adjustRightInd w:val="0"/>
        <w:spacing w:after="0"/>
        <w:rPr>
          <w:rFonts w:cs="Arial"/>
          <w:color w:val="000000"/>
          <w:sz w:val="20"/>
          <w:szCs w:val="20"/>
        </w:rPr>
      </w:pPr>
      <w:r w:rsidRPr="00D54AF4">
        <w:rPr>
          <w:rFonts w:cs="Arial"/>
          <w:color w:val="000000"/>
          <w:sz w:val="20"/>
          <w:szCs w:val="20"/>
        </w:rPr>
        <w:lastRenderedPageBreak/>
        <w:t xml:space="preserve">Metodická aktivita je prováděna průběžně, zejména zveřejněním legislativních materiálů a metodiky na internetových stránkách DIA (viz </w:t>
      </w:r>
      <w:hyperlink r:id="rId56" w:history="1">
        <w:r w:rsidRPr="00BF009E">
          <w:rPr>
            <w:rStyle w:val="Hypertextovodkaz"/>
            <w:rFonts w:cs="Arial"/>
            <w:sz w:val="20"/>
            <w:szCs w:val="20"/>
          </w:rPr>
          <w:t>Přístupnost internetových stránek a mobilních aplikací – Digitální a informační agentura (gov.cz</w:t>
        </w:r>
      </w:hyperlink>
      <w:r w:rsidRPr="00D54AF4">
        <w:rPr>
          <w:rFonts w:cs="Arial"/>
          <w:color w:val="000000"/>
          <w:sz w:val="20"/>
          <w:szCs w:val="20"/>
        </w:rPr>
        <w:t xml:space="preserve">)) a dále průběžná metodická pomoc povinným subjektům s uvedením do souladu jimi spravovaných internetových stránek na základě jejich žádosti. V rámci osvětové činnosti proběhlo v listopadu 2023 školení pro skupinu zaměstnanců Ministerstva vnitra na téma „Přístupnost internetových stránek a mobilních aplikací subjektů veřejného sektoru“, jehož předmětem bylo seznámení s problematikou přístupnosti internetových stránek </w:t>
      </w:r>
    </w:p>
    <w:p w14:paraId="02473CD8" w14:textId="03FE5B85" w:rsidR="00D54AF4" w:rsidRPr="00D54AF4" w:rsidRDefault="00D54AF4" w:rsidP="00D54AF4">
      <w:pPr>
        <w:tabs>
          <w:tab w:val="left" w:pos="720"/>
        </w:tabs>
        <w:rPr>
          <w:rFonts w:cs="Arial"/>
          <w:b/>
          <w:bCs/>
          <w:sz w:val="20"/>
          <w:szCs w:val="20"/>
          <w:lang w:eastAsia="cs-CZ"/>
        </w:rPr>
      </w:pPr>
      <w:r w:rsidRPr="00D54AF4">
        <w:rPr>
          <w:rFonts w:cs="Arial"/>
          <w:color w:val="000000"/>
          <w:sz w:val="20"/>
          <w:szCs w:val="20"/>
        </w:rPr>
        <w:t>a mobilních aplikací, např. proč je důležité se přístupností zabývat, prováděcí předpisy, kdo je a kdo není povinným subjektem, pravidla pro prohlášení o přístupnosti apod.</w:t>
      </w:r>
    </w:p>
    <w:p w14:paraId="33E5AF9C" w14:textId="5482D731" w:rsidR="0061546B" w:rsidRPr="00D54AF4" w:rsidRDefault="0061546B" w:rsidP="00D54AF4">
      <w:pPr>
        <w:keepNext/>
        <w:tabs>
          <w:tab w:val="left" w:pos="720"/>
        </w:tabs>
        <w:rPr>
          <w:rFonts w:cs="Arial"/>
          <w:b/>
          <w:bCs/>
          <w:sz w:val="20"/>
          <w:szCs w:val="20"/>
          <w:lang w:eastAsia="cs-CZ"/>
        </w:rPr>
      </w:pPr>
      <w:r w:rsidRPr="00D54AF4">
        <w:rPr>
          <w:rFonts w:cs="Arial"/>
          <w:b/>
          <w:bCs/>
          <w:sz w:val="20"/>
          <w:szCs w:val="20"/>
          <w:lang w:eastAsia="cs-CZ"/>
        </w:rPr>
        <w:t>STANOVISKO K PLNĚNÍ:</w:t>
      </w:r>
      <w:r w:rsidR="008B2B9D" w:rsidRPr="00D54AF4">
        <w:rPr>
          <w:rFonts w:cs="Arial"/>
          <w:b/>
          <w:bCs/>
          <w:sz w:val="20"/>
          <w:szCs w:val="20"/>
          <w:lang w:eastAsia="cs-CZ"/>
        </w:rPr>
        <w:t xml:space="preserve"> Plněno.</w:t>
      </w:r>
      <w:r w:rsidR="00D11A93">
        <w:rPr>
          <w:rFonts w:cs="Arial"/>
          <w:b/>
          <w:bCs/>
          <w:sz w:val="20"/>
          <w:szCs w:val="20"/>
          <w:lang w:eastAsia="cs-CZ"/>
        </w:rPr>
        <w:t xml:space="preserve"> Z důvodu převodu kompetencí je navržena změna gestora z MV na Digitální a informační agenturu (DIA).</w:t>
      </w:r>
    </w:p>
    <w:p w14:paraId="5490479F" w14:textId="77777777" w:rsidR="0061546B" w:rsidRPr="00597CAC" w:rsidRDefault="0061546B" w:rsidP="006177CE">
      <w:pPr>
        <w:rPr>
          <w:rFonts w:cs="Arial"/>
          <w:sz w:val="20"/>
          <w:szCs w:val="20"/>
        </w:rPr>
      </w:pPr>
    </w:p>
    <w:p w14:paraId="342775D4" w14:textId="406C9006" w:rsidR="00484A26" w:rsidRPr="00B62663" w:rsidRDefault="00F17E74" w:rsidP="00484A26">
      <w:pPr>
        <w:rPr>
          <w:rFonts w:cs="Arial"/>
          <w:b/>
          <w:szCs w:val="20"/>
        </w:rPr>
      </w:pPr>
      <w:r w:rsidRPr="001121FF">
        <w:rPr>
          <w:rFonts w:cs="Arial"/>
          <w:b/>
          <w:szCs w:val="20"/>
        </w:rPr>
        <w:t>3.3 Cíl: Přístupné dokumenty veřejné správy.</w:t>
      </w:r>
      <w:r w:rsidRPr="00256AA7">
        <w:rPr>
          <w:rFonts w:cs="Arial"/>
          <w:b/>
          <w:szCs w:val="20"/>
        </w:rPr>
        <w:t xml:space="preserve"> </w:t>
      </w:r>
    </w:p>
    <w:p w14:paraId="425C6465" w14:textId="77777777" w:rsidR="001121FF" w:rsidRPr="00B67FF9" w:rsidRDefault="001121FF" w:rsidP="001121FF">
      <w:pPr>
        <w:rPr>
          <w:rFonts w:cs="Arial"/>
          <w:szCs w:val="20"/>
        </w:rPr>
      </w:pPr>
      <w:r w:rsidRPr="00B67FF9">
        <w:rPr>
          <w:rFonts w:cs="Arial"/>
          <w:bCs/>
          <w:szCs w:val="20"/>
        </w:rPr>
        <w:t xml:space="preserve">Opatření </w:t>
      </w:r>
      <w:r>
        <w:rPr>
          <w:rFonts w:cs="Arial"/>
          <w:szCs w:val="20"/>
        </w:rPr>
        <w:t>3.3.3</w:t>
      </w:r>
      <w:r w:rsidRPr="00B67FF9">
        <w:rPr>
          <w:rFonts w:cs="Arial"/>
          <w:szCs w:val="20"/>
        </w:rPr>
        <w:t xml:space="preserve"> Provést kontrolu přístupnosti zaměstnaneckých IT systémů. </w:t>
      </w:r>
    </w:p>
    <w:p w14:paraId="6D845FE3" w14:textId="2FD3073B" w:rsidR="001121FF" w:rsidRPr="00B67FF9" w:rsidRDefault="001121FF" w:rsidP="001121FF">
      <w:pPr>
        <w:rPr>
          <w:rFonts w:cs="Arial"/>
          <w:szCs w:val="20"/>
        </w:rPr>
      </w:pPr>
      <w:r>
        <w:rPr>
          <w:rFonts w:cs="Arial"/>
          <w:szCs w:val="20"/>
        </w:rPr>
        <w:t xml:space="preserve">Termín: </w:t>
      </w:r>
      <w:proofErr w:type="gramStart"/>
      <w:r>
        <w:rPr>
          <w:rFonts w:cs="Arial"/>
          <w:szCs w:val="20"/>
        </w:rPr>
        <w:t>31.12.</w:t>
      </w:r>
      <w:r w:rsidR="00B62663">
        <w:rPr>
          <w:rFonts w:cs="Arial"/>
          <w:szCs w:val="20"/>
        </w:rPr>
        <w:t>2023</w:t>
      </w:r>
      <w:proofErr w:type="gramEnd"/>
    </w:p>
    <w:p w14:paraId="0A5F8892" w14:textId="0E7E6155" w:rsidR="001121FF" w:rsidRPr="00B67FF9" w:rsidRDefault="001121FF" w:rsidP="001121FF">
      <w:pPr>
        <w:rPr>
          <w:rFonts w:cs="Arial"/>
          <w:szCs w:val="20"/>
        </w:rPr>
      </w:pPr>
      <w:r w:rsidRPr="00B67FF9">
        <w:rPr>
          <w:rFonts w:cs="Arial"/>
          <w:szCs w:val="20"/>
        </w:rPr>
        <w:t xml:space="preserve">Gestor: </w:t>
      </w:r>
      <w:r w:rsidR="004B2214">
        <w:rPr>
          <w:rFonts w:cs="Arial"/>
          <w:szCs w:val="20"/>
        </w:rPr>
        <w:t>MK, MPSV, MZe</w:t>
      </w:r>
    </w:p>
    <w:p w14:paraId="0E06FB52" w14:textId="595C727C" w:rsidR="001121FF" w:rsidRDefault="001121FF" w:rsidP="0093176F">
      <w:pPr>
        <w:rPr>
          <w:rFonts w:cs="Arial"/>
          <w:szCs w:val="20"/>
        </w:rPr>
      </w:pPr>
      <w:r w:rsidRPr="00B67FF9">
        <w:rPr>
          <w:rFonts w:cs="Arial"/>
          <w:szCs w:val="20"/>
        </w:rPr>
        <w:t>Indikátor: Byla provedena kontrola přístupno</w:t>
      </w:r>
      <w:r>
        <w:rPr>
          <w:rFonts w:cs="Arial"/>
          <w:szCs w:val="20"/>
        </w:rPr>
        <w:t>sti zaměstnaneckých IT systémů.</w:t>
      </w:r>
    </w:p>
    <w:p w14:paraId="52A90495" w14:textId="77777777" w:rsidR="00365C6B" w:rsidRDefault="00365C6B" w:rsidP="0093176F">
      <w:pPr>
        <w:tabs>
          <w:tab w:val="left" w:pos="720"/>
        </w:tabs>
        <w:rPr>
          <w:rFonts w:cs="Arial"/>
          <w:b/>
          <w:bCs/>
          <w:sz w:val="20"/>
          <w:szCs w:val="20"/>
          <w:lang w:eastAsia="cs-CZ"/>
        </w:rPr>
      </w:pPr>
    </w:p>
    <w:p w14:paraId="75E97191" w14:textId="5C0369C3" w:rsidR="00670A78" w:rsidRDefault="00670A78" w:rsidP="0093176F">
      <w:pPr>
        <w:tabs>
          <w:tab w:val="left" w:pos="720"/>
        </w:tabs>
        <w:rPr>
          <w:rFonts w:cs="Arial"/>
          <w:b/>
          <w:bCs/>
          <w:sz w:val="20"/>
          <w:szCs w:val="20"/>
          <w:lang w:eastAsia="cs-CZ"/>
        </w:rPr>
      </w:pPr>
      <w:r w:rsidRPr="00CF4D58">
        <w:rPr>
          <w:rFonts w:cs="Arial"/>
          <w:b/>
          <w:bCs/>
          <w:sz w:val="20"/>
          <w:szCs w:val="20"/>
          <w:lang w:eastAsia="cs-CZ"/>
        </w:rPr>
        <w:t>PLNĚNÍ MK:</w:t>
      </w:r>
    </w:p>
    <w:p w14:paraId="04585109" w14:textId="77777777" w:rsidR="00DC372E" w:rsidRPr="00DC372E" w:rsidRDefault="00DC372E" w:rsidP="00DC372E">
      <w:pPr>
        <w:rPr>
          <w:rFonts w:eastAsia="Calibri"/>
          <w:sz w:val="20"/>
          <w:szCs w:val="20"/>
        </w:rPr>
      </w:pPr>
      <w:r w:rsidRPr="00DC372E">
        <w:rPr>
          <w:rFonts w:eastAsia="Calibri"/>
          <w:sz w:val="20"/>
          <w:szCs w:val="20"/>
        </w:rPr>
        <w:t>Odbor informačních technologií a spisové služby informoval dopisem do datových schránek všechny příspěvkové organizace o nutnosti upravit webové stránky tak, aby odpovídaly požadavkům easy-to-read.</w:t>
      </w:r>
    </w:p>
    <w:p w14:paraId="4B297373" w14:textId="7E4C075C" w:rsidR="00DC372E" w:rsidRPr="00DC372E" w:rsidRDefault="00DC372E" w:rsidP="00DC372E">
      <w:pPr>
        <w:rPr>
          <w:rFonts w:eastAsia="Calibri"/>
          <w:sz w:val="20"/>
          <w:szCs w:val="20"/>
        </w:rPr>
      </w:pPr>
      <w:r w:rsidRPr="00DC372E">
        <w:rPr>
          <w:rFonts w:eastAsia="Calibri"/>
          <w:sz w:val="20"/>
          <w:szCs w:val="20"/>
        </w:rPr>
        <w:t>Webové stránky MK částečně vyhovují požadavkům zákona</w:t>
      </w:r>
      <w:r w:rsidR="00603F55">
        <w:rPr>
          <w:rFonts w:eastAsia="Calibri"/>
          <w:sz w:val="20"/>
          <w:szCs w:val="20"/>
        </w:rPr>
        <w:t xml:space="preserve"> č.</w:t>
      </w:r>
      <w:r w:rsidRPr="00DC372E">
        <w:rPr>
          <w:rFonts w:eastAsia="Calibri"/>
          <w:sz w:val="20"/>
          <w:szCs w:val="20"/>
        </w:rPr>
        <w:t xml:space="preserve"> 99/2019 Sb. a metodické příručce. Po konzultaci se společností Actum Digital byl nesoulad upřesněn v dokumentu </w:t>
      </w:r>
      <w:hyperlink r:id="rId57" w:history="1">
        <w:r w:rsidRPr="00DC372E">
          <w:rPr>
            <w:rFonts w:eastAsia="Calibri"/>
            <w:color w:val="0563C1"/>
            <w:sz w:val="20"/>
            <w:szCs w:val="20"/>
            <w:u w:val="single"/>
          </w:rPr>
          <w:t>Prohlášení o přístupnosti | mkcr.cz (gov.cz)</w:t>
        </w:r>
      </w:hyperlink>
      <w:r w:rsidRPr="00DC372E">
        <w:rPr>
          <w:rFonts w:eastAsia="Calibri"/>
          <w:sz w:val="20"/>
          <w:szCs w:val="20"/>
        </w:rPr>
        <w:t xml:space="preserve"> spolu s vysvětlením, kdy dojde k nápravě. </w:t>
      </w:r>
    </w:p>
    <w:p w14:paraId="103EF0ED" w14:textId="77777777" w:rsidR="00DC372E" w:rsidRPr="00DC372E" w:rsidRDefault="00DC372E" w:rsidP="00DC372E">
      <w:pPr>
        <w:rPr>
          <w:rFonts w:eastAsia="Calibri"/>
          <w:sz w:val="20"/>
          <w:szCs w:val="20"/>
        </w:rPr>
      </w:pPr>
      <w:r w:rsidRPr="00DC372E">
        <w:rPr>
          <w:rFonts w:eastAsia="Calibri"/>
          <w:sz w:val="20"/>
          <w:szCs w:val="20"/>
        </w:rPr>
        <w:t xml:space="preserve">Byla provedena analýza připravenosti Ministerstva kultury poskytovat pracovní příležitosti a komunikace s osobami se zdravotním postižením. Výsledkem je obecná připravenost MK s dílčími </w:t>
      </w:r>
      <w:proofErr w:type="gramStart"/>
      <w:r w:rsidRPr="00DC372E">
        <w:rPr>
          <w:rFonts w:eastAsia="Calibri"/>
          <w:sz w:val="20"/>
          <w:szCs w:val="20"/>
        </w:rPr>
        <w:t>nedostatky na</w:t>
      </w:r>
      <w:proofErr w:type="gramEnd"/>
      <w:r w:rsidRPr="00DC372E">
        <w:rPr>
          <w:rFonts w:eastAsia="Calibri"/>
          <w:sz w:val="20"/>
          <w:szCs w:val="20"/>
        </w:rPr>
        <w:t xml:space="preserve"> jejichž vylepšení se pracuje.</w:t>
      </w:r>
    </w:p>
    <w:p w14:paraId="59AD6806" w14:textId="77777777" w:rsidR="00DC372E" w:rsidRPr="00DC372E" w:rsidRDefault="00DC372E" w:rsidP="00DC372E">
      <w:pPr>
        <w:contextualSpacing/>
        <w:rPr>
          <w:rFonts w:eastAsia="Calibri"/>
          <w:sz w:val="20"/>
          <w:szCs w:val="20"/>
        </w:rPr>
      </w:pPr>
      <w:r w:rsidRPr="00DC372E">
        <w:rPr>
          <w:rFonts w:eastAsia="Calibri"/>
          <w:sz w:val="20"/>
          <w:szCs w:val="20"/>
        </w:rPr>
        <w:t>Současný stav:</w:t>
      </w:r>
    </w:p>
    <w:p w14:paraId="6C7C834C" w14:textId="77777777" w:rsidR="00DC372E" w:rsidRPr="00DC372E" w:rsidRDefault="00DC372E" w:rsidP="00DC372E">
      <w:pPr>
        <w:contextualSpacing/>
        <w:rPr>
          <w:rFonts w:eastAsia="Calibri"/>
          <w:sz w:val="20"/>
          <w:szCs w:val="20"/>
          <w:u w:val="single"/>
        </w:rPr>
      </w:pPr>
      <w:r w:rsidRPr="00DC372E">
        <w:rPr>
          <w:rFonts w:eastAsia="Calibri"/>
          <w:sz w:val="20"/>
          <w:szCs w:val="20"/>
          <w:u w:val="single"/>
        </w:rPr>
        <w:t>Hardware</w:t>
      </w:r>
    </w:p>
    <w:p w14:paraId="7FC5E1A2" w14:textId="77777777" w:rsidR="00DC372E" w:rsidRPr="00DC372E" w:rsidRDefault="00DC372E" w:rsidP="006A1E1C">
      <w:pPr>
        <w:numPr>
          <w:ilvl w:val="0"/>
          <w:numId w:val="7"/>
        </w:numPr>
        <w:contextualSpacing/>
        <w:rPr>
          <w:rFonts w:eastAsia="Calibri"/>
          <w:sz w:val="20"/>
          <w:szCs w:val="20"/>
        </w:rPr>
      </w:pPr>
      <w:r w:rsidRPr="00DC372E">
        <w:rPr>
          <w:rFonts w:eastAsia="Calibri"/>
          <w:sz w:val="20"/>
          <w:szCs w:val="20"/>
        </w:rPr>
        <w:t>myši a klávesnice se speciální ergonometrií, klávesnice s hlasovým ovládáním</w:t>
      </w:r>
    </w:p>
    <w:p w14:paraId="656DFAC3" w14:textId="77777777" w:rsidR="00DC372E" w:rsidRPr="00DC372E" w:rsidRDefault="00DC372E" w:rsidP="006A1E1C">
      <w:pPr>
        <w:numPr>
          <w:ilvl w:val="0"/>
          <w:numId w:val="7"/>
        </w:numPr>
        <w:contextualSpacing/>
        <w:rPr>
          <w:rFonts w:eastAsia="Calibri"/>
          <w:sz w:val="20"/>
          <w:szCs w:val="20"/>
        </w:rPr>
      </w:pPr>
      <w:r w:rsidRPr="00DC372E">
        <w:rPr>
          <w:rFonts w:eastAsia="Calibri"/>
          <w:sz w:val="20"/>
          <w:szCs w:val="20"/>
        </w:rPr>
        <w:t>monitory s větší úhlopříčkou a vysokým rozlišením</w:t>
      </w:r>
    </w:p>
    <w:p w14:paraId="4739EEDE" w14:textId="77777777" w:rsidR="00DC372E" w:rsidRPr="00DC372E" w:rsidRDefault="00DC372E" w:rsidP="00DC372E">
      <w:pPr>
        <w:contextualSpacing/>
        <w:rPr>
          <w:rFonts w:eastAsia="Calibri"/>
          <w:sz w:val="20"/>
          <w:szCs w:val="20"/>
          <w:u w:val="single"/>
        </w:rPr>
      </w:pPr>
      <w:r w:rsidRPr="00DC372E">
        <w:rPr>
          <w:rFonts w:eastAsia="Calibri"/>
          <w:sz w:val="20"/>
          <w:szCs w:val="20"/>
          <w:u w:val="single"/>
        </w:rPr>
        <w:t>Komunikace</w:t>
      </w:r>
    </w:p>
    <w:p w14:paraId="148DA74C" w14:textId="77777777" w:rsidR="00DC372E" w:rsidRPr="00DC372E" w:rsidRDefault="00DC372E" w:rsidP="006A1E1C">
      <w:pPr>
        <w:numPr>
          <w:ilvl w:val="0"/>
          <w:numId w:val="7"/>
        </w:numPr>
        <w:contextualSpacing/>
        <w:rPr>
          <w:rFonts w:eastAsia="Calibri"/>
          <w:sz w:val="20"/>
          <w:szCs w:val="20"/>
        </w:rPr>
      </w:pPr>
      <w:r w:rsidRPr="00DC372E">
        <w:rPr>
          <w:rFonts w:eastAsia="Calibri"/>
          <w:sz w:val="20"/>
          <w:szCs w:val="20"/>
        </w:rPr>
        <w:t>Teams – aplikace pro on-line komunikaci s možností obousměrného provozu a převodem mezi mluveným a psaným textem, možností předávat hypertextové odkazy</w:t>
      </w:r>
    </w:p>
    <w:p w14:paraId="1957D0A0" w14:textId="77777777" w:rsidR="00DC372E" w:rsidRPr="00DC372E" w:rsidRDefault="00DC372E" w:rsidP="006A1E1C">
      <w:pPr>
        <w:numPr>
          <w:ilvl w:val="0"/>
          <w:numId w:val="7"/>
        </w:numPr>
        <w:contextualSpacing/>
        <w:rPr>
          <w:rFonts w:eastAsia="Calibri"/>
          <w:sz w:val="20"/>
          <w:szCs w:val="20"/>
        </w:rPr>
      </w:pPr>
      <w:r w:rsidRPr="00DC372E">
        <w:rPr>
          <w:rFonts w:eastAsia="Calibri"/>
          <w:sz w:val="20"/>
          <w:szCs w:val="20"/>
        </w:rPr>
        <w:t>Skype – např. pro on-line pohovory s uchazeči bez nutnosti osobního kontaktu</w:t>
      </w:r>
    </w:p>
    <w:p w14:paraId="58EB3E93" w14:textId="77777777" w:rsidR="00DC372E" w:rsidRPr="00DC372E" w:rsidRDefault="00DC372E" w:rsidP="006A1E1C">
      <w:pPr>
        <w:numPr>
          <w:ilvl w:val="0"/>
          <w:numId w:val="7"/>
        </w:numPr>
        <w:contextualSpacing/>
        <w:rPr>
          <w:rFonts w:eastAsia="Calibri"/>
          <w:sz w:val="20"/>
          <w:szCs w:val="20"/>
        </w:rPr>
      </w:pPr>
      <w:r w:rsidRPr="00DC372E">
        <w:rPr>
          <w:rFonts w:eastAsia="Calibri"/>
          <w:sz w:val="20"/>
          <w:szCs w:val="20"/>
        </w:rPr>
        <w:t>hlasové ovládání webových stránek MK</w:t>
      </w:r>
    </w:p>
    <w:p w14:paraId="53CC6CEF" w14:textId="77777777" w:rsidR="00DC372E" w:rsidRPr="00DC372E" w:rsidRDefault="00DC372E" w:rsidP="00DC372E">
      <w:pPr>
        <w:contextualSpacing/>
        <w:rPr>
          <w:rFonts w:eastAsia="Calibri"/>
          <w:sz w:val="20"/>
          <w:szCs w:val="20"/>
          <w:u w:val="single"/>
        </w:rPr>
      </w:pPr>
      <w:r w:rsidRPr="00DC372E">
        <w:rPr>
          <w:rFonts w:eastAsia="Calibri"/>
          <w:sz w:val="20"/>
          <w:szCs w:val="20"/>
          <w:u w:val="single"/>
        </w:rPr>
        <w:t>Ostatní</w:t>
      </w:r>
    </w:p>
    <w:p w14:paraId="647BFD5D" w14:textId="77777777" w:rsidR="00DC372E" w:rsidRPr="00DC372E" w:rsidRDefault="00DC372E" w:rsidP="006A1E1C">
      <w:pPr>
        <w:numPr>
          <w:ilvl w:val="0"/>
          <w:numId w:val="7"/>
        </w:numPr>
        <w:contextualSpacing/>
        <w:rPr>
          <w:rFonts w:eastAsia="Calibri"/>
          <w:sz w:val="20"/>
          <w:szCs w:val="20"/>
        </w:rPr>
      </w:pPr>
      <w:r w:rsidRPr="00DC372E">
        <w:rPr>
          <w:rFonts w:eastAsia="Calibri"/>
          <w:sz w:val="20"/>
          <w:szCs w:val="20"/>
        </w:rPr>
        <w:t>hlasové ovládání Windows</w:t>
      </w:r>
    </w:p>
    <w:p w14:paraId="03B3D23F" w14:textId="44D87E18" w:rsidR="00DC372E" w:rsidRPr="00DC372E" w:rsidRDefault="00DC372E" w:rsidP="006A1E1C">
      <w:pPr>
        <w:numPr>
          <w:ilvl w:val="0"/>
          <w:numId w:val="7"/>
        </w:numPr>
        <w:contextualSpacing/>
        <w:rPr>
          <w:rFonts w:eastAsia="Calibri"/>
          <w:sz w:val="20"/>
          <w:szCs w:val="20"/>
        </w:rPr>
      </w:pPr>
      <w:r w:rsidRPr="00DC372E">
        <w:rPr>
          <w:rFonts w:eastAsia="Calibri"/>
          <w:sz w:val="20"/>
          <w:szCs w:val="20"/>
        </w:rPr>
        <w:t>MS Office - diktování textu s převodem do písemné formy a převod text</w:t>
      </w:r>
      <w:r w:rsidR="00C10FDB">
        <w:rPr>
          <w:rFonts w:eastAsia="Calibri"/>
          <w:sz w:val="20"/>
          <w:szCs w:val="20"/>
        </w:rPr>
        <w:t>u</w:t>
      </w:r>
      <w:r w:rsidRPr="00DC372E">
        <w:rPr>
          <w:rFonts w:eastAsia="Calibri"/>
          <w:sz w:val="20"/>
          <w:szCs w:val="20"/>
        </w:rPr>
        <w:t xml:space="preserve"> na řeč</w:t>
      </w:r>
    </w:p>
    <w:p w14:paraId="24957F39" w14:textId="77777777" w:rsidR="00DC372E" w:rsidRPr="00DC372E" w:rsidRDefault="00DC372E" w:rsidP="006A1E1C">
      <w:pPr>
        <w:numPr>
          <w:ilvl w:val="0"/>
          <w:numId w:val="7"/>
        </w:numPr>
        <w:contextualSpacing/>
        <w:rPr>
          <w:rFonts w:eastAsia="Calibri"/>
          <w:sz w:val="20"/>
          <w:szCs w:val="20"/>
        </w:rPr>
      </w:pPr>
      <w:r w:rsidRPr="00DC372E">
        <w:rPr>
          <w:rFonts w:eastAsia="Calibri"/>
          <w:sz w:val="20"/>
          <w:szCs w:val="20"/>
        </w:rPr>
        <w:t>vytváření strojově čitelných dokumentů s textovou vrstvou OCR</w:t>
      </w:r>
    </w:p>
    <w:p w14:paraId="163E7A5D" w14:textId="77777777" w:rsidR="00DC372E" w:rsidRPr="00DC372E" w:rsidRDefault="00DC372E" w:rsidP="006A1E1C">
      <w:pPr>
        <w:numPr>
          <w:ilvl w:val="0"/>
          <w:numId w:val="7"/>
        </w:numPr>
        <w:contextualSpacing/>
        <w:rPr>
          <w:rFonts w:eastAsia="Calibri"/>
          <w:sz w:val="20"/>
          <w:szCs w:val="20"/>
        </w:rPr>
      </w:pPr>
      <w:r w:rsidRPr="00DC372E">
        <w:rPr>
          <w:rFonts w:eastAsia="Calibri"/>
          <w:sz w:val="20"/>
          <w:szCs w:val="20"/>
        </w:rPr>
        <w:t>všeobecně rozšířené převodníky psaný text – řeč a hlasové záznamníky v rámci PC programů a prověřených mobilních aplikací</w:t>
      </w:r>
    </w:p>
    <w:p w14:paraId="75E8EE4A" w14:textId="77777777" w:rsidR="00DC372E" w:rsidRPr="00DC372E" w:rsidRDefault="00DC372E" w:rsidP="006A1E1C">
      <w:pPr>
        <w:numPr>
          <w:ilvl w:val="0"/>
          <w:numId w:val="7"/>
        </w:numPr>
        <w:contextualSpacing/>
        <w:rPr>
          <w:rFonts w:eastAsia="Calibri"/>
          <w:sz w:val="20"/>
          <w:szCs w:val="20"/>
        </w:rPr>
      </w:pPr>
      <w:r w:rsidRPr="00DC372E">
        <w:rPr>
          <w:rFonts w:eastAsia="Calibri"/>
          <w:sz w:val="20"/>
          <w:szCs w:val="20"/>
        </w:rPr>
        <w:t>specializovaná on-line školení MS Office (od autorizované agentury), Ginis (z vlastních zdrojů)</w:t>
      </w:r>
    </w:p>
    <w:p w14:paraId="040A890B" w14:textId="77777777" w:rsidR="00DC372E" w:rsidRPr="00DC372E" w:rsidRDefault="00DC372E" w:rsidP="00DC372E">
      <w:pPr>
        <w:contextualSpacing/>
        <w:rPr>
          <w:rFonts w:eastAsia="Calibri"/>
          <w:sz w:val="20"/>
          <w:szCs w:val="20"/>
          <w:u w:val="single"/>
        </w:rPr>
      </w:pPr>
      <w:r w:rsidRPr="00DC372E">
        <w:rPr>
          <w:rFonts w:eastAsia="Calibri"/>
          <w:sz w:val="20"/>
          <w:szCs w:val="20"/>
          <w:u w:val="single"/>
        </w:rPr>
        <w:t>Připravovaná zlepšení</w:t>
      </w:r>
    </w:p>
    <w:p w14:paraId="23381DBA" w14:textId="77777777" w:rsidR="00DC372E" w:rsidRPr="00DC372E" w:rsidRDefault="00DC372E" w:rsidP="006A1E1C">
      <w:pPr>
        <w:numPr>
          <w:ilvl w:val="0"/>
          <w:numId w:val="7"/>
        </w:numPr>
        <w:contextualSpacing/>
        <w:rPr>
          <w:rFonts w:eastAsia="Calibri"/>
          <w:sz w:val="20"/>
          <w:szCs w:val="20"/>
        </w:rPr>
      </w:pPr>
      <w:r w:rsidRPr="00DC372E">
        <w:rPr>
          <w:rFonts w:eastAsia="Calibri"/>
          <w:sz w:val="20"/>
          <w:szCs w:val="20"/>
        </w:rPr>
        <w:t>používaná spisová služba (Ginis) neumožňuje hlasové ovládání, ale v současnosti se připravuje veřejná zakázka na novou spisovku – hlasové ovládání bude začleněno do zadávací dokumentace</w:t>
      </w:r>
    </w:p>
    <w:p w14:paraId="35EAABF9" w14:textId="0EF316B3" w:rsidR="00DC372E" w:rsidRPr="00DC372E" w:rsidRDefault="00DC372E" w:rsidP="006A1E1C">
      <w:pPr>
        <w:numPr>
          <w:ilvl w:val="0"/>
          <w:numId w:val="7"/>
        </w:numPr>
        <w:rPr>
          <w:rFonts w:eastAsia="Calibri"/>
          <w:sz w:val="20"/>
          <w:szCs w:val="20"/>
        </w:rPr>
      </w:pPr>
      <w:r w:rsidRPr="00DC372E">
        <w:rPr>
          <w:rFonts w:eastAsia="Calibri"/>
          <w:sz w:val="20"/>
          <w:szCs w:val="20"/>
        </w:rPr>
        <w:t>nové webové stránky podle jednotné grafické vizualizace, obsahového rozložení a hlasového ovládání pro celou státní správu.</w:t>
      </w:r>
    </w:p>
    <w:p w14:paraId="16BF74CC" w14:textId="2EAF01A7" w:rsidR="00DC372E" w:rsidRPr="00542898" w:rsidRDefault="00DC372E" w:rsidP="00DC372E">
      <w:pPr>
        <w:rPr>
          <w:rFonts w:eastAsia="Calibri"/>
          <w:sz w:val="20"/>
          <w:szCs w:val="20"/>
          <w:highlight w:val="yellow"/>
        </w:rPr>
      </w:pPr>
      <w:r w:rsidRPr="00DC372E">
        <w:rPr>
          <w:rFonts w:eastAsia="Calibri"/>
          <w:sz w:val="20"/>
          <w:szCs w:val="20"/>
        </w:rPr>
        <w:t>Kontrolu přístupnosti zaměstnaneckých IT systémů provedly i příspěvkové organizace MK</w:t>
      </w:r>
      <w:r w:rsidRPr="00542898">
        <w:rPr>
          <w:rFonts w:eastAsia="Calibri"/>
          <w:sz w:val="20"/>
          <w:szCs w:val="20"/>
        </w:rPr>
        <w:t xml:space="preserve">, </w:t>
      </w:r>
      <w:r w:rsidR="00542898" w:rsidRPr="00542898">
        <w:rPr>
          <w:rFonts w:eastAsia="Calibri"/>
          <w:sz w:val="20"/>
          <w:szCs w:val="20"/>
        </w:rPr>
        <w:t xml:space="preserve">např. </w:t>
      </w:r>
      <w:r w:rsidRPr="00542898">
        <w:rPr>
          <w:rFonts w:eastAsia="Calibri"/>
          <w:bCs/>
          <w:sz w:val="20"/>
          <w:szCs w:val="20"/>
        </w:rPr>
        <w:t>NIPOS</w:t>
      </w:r>
      <w:r w:rsidRPr="00542898">
        <w:rPr>
          <w:rFonts w:eastAsia="Calibri"/>
          <w:b/>
          <w:bCs/>
          <w:sz w:val="20"/>
          <w:szCs w:val="20"/>
        </w:rPr>
        <w:t xml:space="preserve">: </w:t>
      </w:r>
      <w:r w:rsidRPr="00542898">
        <w:rPr>
          <w:rFonts w:eastAsia="Calibri"/>
          <w:sz w:val="20"/>
          <w:szCs w:val="20"/>
        </w:rPr>
        <w:t xml:space="preserve">Všichni zaměstnanci mohou plně pracovat se všemi IT systémy. V organizaci je využívána </w:t>
      </w:r>
      <w:r w:rsidRPr="00542898">
        <w:rPr>
          <w:rFonts w:eastAsia="Calibri"/>
          <w:sz w:val="20"/>
          <w:szCs w:val="20"/>
        </w:rPr>
        <w:lastRenderedPageBreak/>
        <w:t>široká škála softwarových řešení, včetně 287 produktů klasifikovaných jako freeware, 75 produktů označených jako komerční software a 48 webových platforem. Mezi nejčastěji používané aplikace patří operační systémy, kancelářské textové editory, tabulkové procesory a emailové klienty, které jsou snadno přístupné. Nicméně, v případě některých specializovaných softwarů, které organizace využívá, neexistují funkčně srovnatelné alternativy. Začlenění přístupnosti do těchto specifických softwarů je proto komplexní a finančně náročné. Aktuální legislativa České republiky bohužel neumožňuje financování těchto úprav. Jako jediná alternativa tak zůstává vývoj zcela nového softwaru na míru. Při inovaci nebo akvizici nových softwarových řešení klade organizace velký důraz na jejich přístupnost, aby byly zajištěny rovné příležitosti pro všechny uživatele.</w:t>
      </w:r>
    </w:p>
    <w:p w14:paraId="17B6C39C" w14:textId="66465C09" w:rsidR="00670A78" w:rsidRPr="00DC372E" w:rsidRDefault="00670A78" w:rsidP="0093176F">
      <w:pPr>
        <w:keepNext/>
        <w:tabs>
          <w:tab w:val="left" w:pos="720"/>
        </w:tabs>
        <w:rPr>
          <w:rFonts w:cs="Arial"/>
          <w:b/>
          <w:bCs/>
          <w:sz w:val="20"/>
          <w:szCs w:val="20"/>
          <w:lang w:eastAsia="cs-CZ"/>
        </w:rPr>
      </w:pPr>
      <w:r w:rsidRPr="00DC372E">
        <w:rPr>
          <w:rFonts w:cs="Arial"/>
          <w:b/>
          <w:bCs/>
          <w:sz w:val="20"/>
          <w:szCs w:val="20"/>
          <w:lang w:eastAsia="cs-CZ"/>
        </w:rPr>
        <w:t xml:space="preserve">STANOVISKO K PLNĚNÍ: </w:t>
      </w:r>
      <w:r w:rsidR="007E04FF" w:rsidRPr="00DC372E">
        <w:rPr>
          <w:rFonts w:cs="Arial"/>
          <w:b/>
          <w:bCs/>
          <w:sz w:val="20"/>
          <w:szCs w:val="20"/>
          <w:lang w:eastAsia="cs-CZ"/>
        </w:rPr>
        <w:t>S</w:t>
      </w:r>
      <w:r w:rsidR="005B2296" w:rsidRPr="00DC372E">
        <w:rPr>
          <w:rFonts w:cs="Arial"/>
          <w:b/>
          <w:bCs/>
          <w:sz w:val="20"/>
          <w:szCs w:val="20"/>
          <w:lang w:eastAsia="cs-CZ"/>
        </w:rPr>
        <w:t>plněno.</w:t>
      </w:r>
    </w:p>
    <w:p w14:paraId="2ED500F2" w14:textId="65ECA27B" w:rsidR="00670A78" w:rsidRPr="00F72320" w:rsidRDefault="00670A78" w:rsidP="00F72320">
      <w:pPr>
        <w:tabs>
          <w:tab w:val="left" w:pos="720"/>
        </w:tabs>
        <w:rPr>
          <w:rFonts w:cs="Arial"/>
          <w:b/>
          <w:bCs/>
          <w:sz w:val="20"/>
          <w:szCs w:val="20"/>
          <w:lang w:eastAsia="cs-CZ"/>
        </w:rPr>
      </w:pPr>
    </w:p>
    <w:p w14:paraId="3C921343" w14:textId="1D1A86A1" w:rsidR="00670A78" w:rsidRPr="00D27EA1" w:rsidRDefault="00670A78" w:rsidP="00F72320">
      <w:pPr>
        <w:keepNext/>
        <w:tabs>
          <w:tab w:val="left" w:pos="720"/>
        </w:tabs>
        <w:rPr>
          <w:rFonts w:cs="Arial"/>
          <w:b/>
          <w:bCs/>
          <w:sz w:val="20"/>
          <w:szCs w:val="20"/>
          <w:lang w:eastAsia="cs-CZ"/>
        </w:rPr>
      </w:pPr>
      <w:r w:rsidRPr="00D27EA1">
        <w:rPr>
          <w:rFonts w:cs="Arial"/>
          <w:b/>
          <w:bCs/>
          <w:sz w:val="20"/>
          <w:szCs w:val="20"/>
          <w:lang w:eastAsia="cs-CZ"/>
        </w:rPr>
        <w:t>PLNĚNÍ MPSV:</w:t>
      </w:r>
    </w:p>
    <w:p w14:paraId="577A85BE" w14:textId="77777777" w:rsidR="0069099F" w:rsidRPr="00D27EA1" w:rsidRDefault="0069099F" w:rsidP="0069099F">
      <w:pPr>
        <w:rPr>
          <w:rFonts w:cs="Arial"/>
          <w:sz w:val="20"/>
          <w:szCs w:val="20"/>
        </w:rPr>
      </w:pPr>
      <w:r w:rsidRPr="00D27EA1">
        <w:rPr>
          <w:rFonts w:cs="Arial"/>
          <w:sz w:val="20"/>
          <w:szCs w:val="20"/>
        </w:rPr>
        <w:t>Aplikační programové zabezpečení zajišťované prostřednictvím dodavatele či prostřednictvím vnitřního vývoje, vzniká na základě požadavků věcně příslušných organizačních útvarů a s dodržováním všech bezpečnostních a jiných standardů ČSSZ a bez rozlišování, zda jde o osobu se ZP.</w:t>
      </w:r>
    </w:p>
    <w:p w14:paraId="1269A703" w14:textId="77777777" w:rsidR="0069099F" w:rsidRPr="00D27EA1" w:rsidRDefault="0069099F" w:rsidP="0069099F">
      <w:pPr>
        <w:rPr>
          <w:rFonts w:cs="Arial"/>
          <w:sz w:val="20"/>
          <w:szCs w:val="20"/>
        </w:rPr>
      </w:pPr>
      <w:r w:rsidRPr="00D27EA1">
        <w:rPr>
          <w:rFonts w:cs="Arial"/>
          <w:sz w:val="20"/>
          <w:szCs w:val="20"/>
        </w:rPr>
        <w:t>Zpřístupnění zaměstnaneckých IT systémů osobám se ZP je v ČSSZ řešeno individuálně na základě konkrétních potřeb daného zaměstnance.</w:t>
      </w:r>
    </w:p>
    <w:p w14:paraId="1DAB99A5" w14:textId="21E2CE65" w:rsidR="0069099F" w:rsidRPr="00D27EA1" w:rsidRDefault="0069099F" w:rsidP="0069099F">
      <w:pPr>
        <w:rPr>
          <w:rFonts w:cs="Arial"/>
          <w:sz w:val="20"/>
          <w:szCs w:val="20"/>
        </w:rPr>
      </w:pPr>
      <w:r w:rsidRPr="00D27EA1">
        <w:rPr>
          <w:rFonts w:cs="Arial"/>
          <w:sz w:val="20"/>
          <w:szCs w:val="20"/>
        </w:rPr>
        <w:t>Neslyšícím zaměstnancům ČSSZ poskytuje možnost připojit překladač prostřednictvím automatického přepisu z mluvené řeči na psanou formu kvůli porozumění na schůzích, jednáních, poradách na služební/pracovní mobilní zařízení. Pokud jde o překladač přes</w:t>
      </w:r>
      <w:r w:rsidR="007E4287">
        <w:rPr>
          <w:rFonts w:cs="Arial"/>
          <w:sz w:val="20"/>
          <w:szCs w:val="20"/>
        </w:rPr>
        <w:t xml:space="preserve"> automatický přepis, jedná se o </w:t>
      </w:r>
      <w:r w:rsidRPr="00D27EA1">
        <w:rPr>
          <w:rFonts w:cs="Arial"/>
          <w:sz w:val="20"/>
          <w:szCs w:val="20"/>
        </w:rPr>
        <w:t>staženou aplikaci „Okamžitý přepis“, která je pro neslyšící v současné době nejvyužívanější jak pro přímou, tak i nepřímou bezbariérovou pracovní komunikaci bez zajištění tlumočníka znakového jazyka či přepisovatele na schůzích, jednáních, poradách, v rámci online jednání přes MS Teams apod. Aby byl překladač prostřednictvím automatického přepisu funkční, je třeba mít v kanceláři, místnostech zajištěné WiFi (aplikace vyžaduje připojení k internetu), vhodným doplněním je tzv. jabra speak (konferenční mikrofon), výkonný mikrofon k mobilnímu zařízení.</w:t>
      </w:r>
    </w:p>
    <w:p w14:paraId="6E027DB7" w14:textId="38C28F72" w:rsidR="00670A78" w:rsidRPr="00D27EA1" w:rsidRDefault="00670A78" w:rsidP="00F72320">
      <w:pPr>
        <w:keepNext/>
        <w:tabs>
          <w:tab w:val="left" w:pos="720"/>
        </w:tabs>
        <w:rPr>
          <w:rFonts w:cs="Arial"/>
          <w:b/>
          <w:bCs/>
          <w:sz w:val="20"/>
          <w:szCs w:val="20"/>
          <w:lang w:eastAsia="cs-CZ"/>
        </w:rPr>
      </w:pPr>
      <w:r w:rsidRPr="00D27EA1">
        <w:rPr>
          <w:rFonts w:cs="Arial"/>
          <w:b/>
          <w:bCs/>
          <w:sz w:val="20"/>
          <w:szCs w:val="20"/>
          <w:lang w:eastAsia="cs-CZ"/>
        </w:rPr>
        <w:t>STANOVISKO K PLNĚNÍ</w:t>
      </w:r>
      <w:r w:rsidRPr="001D42D0">
        <w:rPr>
          <w:rFonts w:cs="Arial"/>
          <w:b/>
          <w:bCs/>
          <w:sz w:val="20"/>
          <w:szCs w:val="20"/>
          <w:lang w:eastAsia="cs-CZ"/>
        </w:rPr>
        <w:t xml:space="preserve">: </w:t>
      </w:r>
      <w:r w:rsidR="00FC6E0F" w:rsidRPr="001D42D0">
        <w:rPr>
          <w:rFonts w:cs="Arial"/>
          <w:b/>
          <w:sz w:val="20"/>
          <w:szCs w:val="20"/>
        </w:rPr>
        <w:t>Nespl</w:t>
      </w:r>
      <w:r w:rsidRPr="001D42D0">
        <w:rPr>
          <w:rFonts w:cs="Arial"/>
          <w:b/>
          <w:sz w:val="20"/>
          <w:szCs w:val="20"/>
        </w:rPr>
        <w:t>něno.</w:t>
      </w:r>
      <w:r w:rsidR="00FC6E0F" w:rsidRPr="001D42D0">
        <w:rPr>
          <w:rFonts w:cs="Arial"/>
          <w:b/>
          <w:sz w:val="20"/>
          <w:szCs w:val="20"/>
        </w:rPr>
        <w:t xml:space="preserve"> </w:t>
      </w:r>
      <w:r w:rsidR="006D011E" w:rsidRPr="001D42D0">
        <w:rPr>
          <w:rFonts w:cs="Arial"/>
          <w:b/>
          <w:sz w:val="20"/>
          <w:szCs w:val="20"/>
        </w:rPr>
        <w:t>Chybí inf</w:t>
      </w:r>
      <w:r w:rsidR="004D12D0" w:rsidRPr="001D42D0">
        <w:rPr>
          <w:rFonts w:cs="Arial"/>
          <w:b/>
          <w:sz w:val="20"/>
          <w:szCs w:val="20"/>
        </w:rPr>
        <w:t>ormace o kontrole z MPSV a ÚP</w:t>
      </w:r>
      <w:r w:rsidR="006D011E" w:rsidRPr="001D42D0">
        <w:rPr>
          <w:rFonts w:cs="Arial"/>
          <w:b/>
          <w:sz w:val="20"/>
          <w:szCs w:val="20"/>
        </w:rPr>
        <w:t xml:space="preserve">. </w:t>
      </w:r>
      <w:r w:rsidR="00FC6E0F" w:rsidRPr="001D42D0">
        <w:rPr>
          <w:rFonts w:cs="Arial"/>
          <w:b/>
          <w:sz w:val="20"/>
          <w:szCs w:val="20"/>
        </w:rPr>
        <w:t>Nav</w:t>
      </w:r>
      <w:r w:rsidR="007E04FF" w:rsidRPr="001D42D0">
        <w:rPr>
          <w:rFonts w:cs="Arial"/>
          <w:b/>
          <w:sz w:val="20"/>
          <w:szCs w:val="20"/>
        </w:rPr>
        <w:t xml:space="preserve">ržen posun termínu do </w:t>
      </w:r>
      <w:proofErr w:type="gramStart"/>
      <w:r w:rsidR="007E04FF" w:rsidRPr="001D42D0">
        <w:rPr>
          <w:rFonts w:cs="Arial"/>
          <w:b/>
          <w:sz w:val="20"/>
          <w:szCs w:val="20"/>
        </w:rPr>
        <w:t>31.12.2024</w:t>
      </w:r>
      <w:proofErr w:type="gramEnd"/>
      <w:r w:rsidR="00FC6E0F" w:rsidRPr="001D42D0">
        <w:rPr>
          <w:rFonts w:cs="Arial"/>
          <w:b/>
          <w:sz w:val="20"/>
          <w:szCs w:val="20"/>
        </w:rPr>
        <w:t>.</w:t>
      </w:r>
      <w:r w:rsidR="0069099F" w:rsidRPr="00D27EA1">
        <w:rPr>
          <w:rFonts w:cs="Arial"/>
          <w:b/>
          <w:sz w:val="20"/>
          <w:szCs w:val="20"/>
        </w:rPr>
        <w:t xml:space="preserve"> </w:t>
      </w:r>
    </w:p>
    <w:p w14:paraId="3D84BEA2" w14:textId="01C5AB76" w:rsidR="00670A78" w:rsidRPr="00815657" w:rsidRDefault="00670A78" w:rsidP="005355CE">
      <w:pPr>
        <w:rPr>
          <w:rFonts w:cs="Arial"/>
          <w:sz w:val="20"/>
          <w:szCs w:val="20"/>
        </w:rPr>
      </w:pPr>
    </w:p>
    <w:p w14:paraId="2892178F" w14:textId="5856BFCD" w:rsidR="00670A78" w:rsidRPr="00C7728F" w:rsidRDefault="00670A78" w:rsidP="00C7728F">
      <w:pPr>
        <w:keepNext/>
        <w:keepLines/>
        <w:tabs>
          <w:tab w:val="left" w:pos="720"/>
        </w:tabs>
        <w:rPr>
          <w:rFonts w:cs="Arial"/>
          <w:b/>
          <w:bCs/>
          <w:sz w:val="20"/>
          <w:szCs w:val="20"/>
          <w:lang w:eastAsia="cs-CZ"/>
        </w:rPr>
      </w:pPr>
      <w:r w:rsidRPr="00C7728F">
        <w:rPr>
          <w:rFonts w:cs="Arial"/>
          <w:b/>
          <w:bCs/>
          <w:sz w:val="20"/>
          <w:szCs w:val="20"/>
          <w:lang w:eastAsia="cs-CZ"/>
        </w:rPr>
        <w:t>PLNĚNÍ MZe:</w:t>
      </w:r>
    </w:p>
    <w:p w14:paraId="7D164B33" w14:textId="736B08DC" w:rsidR="00C7728F" w:rsidRPr="00C7728F" w:rsidRDefault="00C7728F" w:rsidP="00C7728F">
      <w:pPr>
        <w:rPr>
          <w:sz w:val="20"/>
          <w:szCs w:val="20"/>
        </w:rPr>
      </w:pPr>
      <w:r w:rsidRPr="00C7728F">
        <w:rPr>
          <w:sz w:val="20"/>
          <w:szCs w:val="20"/>
        </w:rPr>
        <w:t>Zaměstnanecké IT systémy jsou přístupné všem zaměstnancům se zdravotním postižením, které Ministerstvo zemědělství zaměstnává.</w:t>
      </w:r>
    </w:p>
    <w:p w14:paraId="079E801A" w14:textId="60D56B53" w:rsidR="00670A78" w:rsidRPr="00C7728F" w:rsidRDefault="00670A78" w:rsidP="00C7728F">
      <w:pPr>
        <w:keepNext/>
        <w:tabs>
          <w:tab w:val="left" w:pos="720"/>
        </w:tabs>
        <w:rPr>
          <w:rFonts w:cs="Arial"/>
          <w:b/>
          <w:bCs/>
          <w:sz w:val="20"/>
          <w:szCs w:val="20"/>
          <w:lang w:eastAsia="cs-CZ"/>
        </w:rPr>
      </w:pPr>
      <w:r w:rsidRPr="00C7728F">
        <w:rPr>
          <w:rFonts w:cs="Arial"/>
          <w:b/>
          <w:bCs/>
          <w:sz w:val="20"/>
          <w:szCs w:val="20"/>
          <w:lang w:eastAsia="cs-CZ"/>
        </w:rPr>
        <w:t>STANOVISKO K PLNĚNÍ:</w:t>
      </w:r>
      <w:r w:rsidR="00541612" w:rsidRPr="00C7728F">
        <w:rPr>
          <w:rFonts w:cs="Arial"/>
          <w:b/>
          <w:sz w:val="20"/>
          <w:szCs w:val="20"/>
        </w:rPr>
        <w:t xml:space="preserve"> S</w:t>
      </w:r>
      <w:r w:rsidR="00342CAD" w:rsidRPr="00C7728F">
        <w:rPr>
          <w:rFonts w:cs="Arial"/>
          <w:b/>
          <w:sz w:val="20"/>
          <w:szCs w:val="20"/>
        </w:rPr>
        <w:t xml:space="preserve">plněno. </w:t>
      </w:r>
    </w:p>
    <w:p w14:paraId="22E67860" w14:textId="7F7D532F" w:rsidR="007E2F65" w:rsidRPr="00591AFE" w:rsidRDefault="007E2F65" w:rsidP="007E2F65">
      <w:pPr>
        <w:keepNext/>
        <w:tabs>
          <w:tab w:val="left" w:pos="720"/>
        </w:tabs>
        <w:rPr>
          <w:rFonts w:cs="Arial"/>
          <w:b/>
          <w:bCs/>
          <w:sz w:val="20"/>
          <w:szCs w:val="20"/>
          <w:lang w:eastAsia="cs-CZ"/>
        </w:rPr>
      </w:pPr>
    </w:p>
    <w:p w14:paraId="7E525F1D" w14:textId="77777777" w:rsidR="007E2F65" w:rsidRPr="00B67FF9" w:rsidRDefault="007E2F65" w:rsidP="007E2F65">
      <w:pPr>
        <w:rPr>
          <w:rFonts w:cs="Arial"/>
          <w:bCs/>
          <w:szCs w:val="20"/>
        </w:rPr>
      </w:pPr>
      <w:r w:rsidRPr="00B67FF9">
        <w:rPr>
          <w:rFonts w:cs="Arial"/>
          <w:bCs/>
          <w:szCs w:val="20"/>
        </w:rPr>
        <w:t xml:space="preserve">Opatření </w:t>
      </w:r>
      <w:r>
        <w:rPr>
          <w:rFonts w:cs="Arial"/>
          <w:szCs w:val="20"/>
        </w:rPr>
        <w:t>3.3</w:t>
      </w:r>
      <w:r w:rsidRPr="00B67FF9">
        <w:rPr>
          <w:rFonts w:cs="Arial"/>
          <w:szCs w:val="20"/>
        </w:rPr>
        <w:t>.</w:t>
      </w:r>
      <w:r>
        <w:rPr>
          <w:rFonts w:cs="Arial"/>
          <w:szCs w:val="20"/>
        </w:rPr>
        <w:t>4</w:t>
      </w:r>
      <w:r w:rsidRPr="00B67FF9">
        <w:rPr>
          <w:rFonts w:cs="Arial"/>
          <w:szCs w:val="20"/>
        </w:rPr>
        <w:t xml:space="preserve"> </w:t>
      </w:r>
      <w:r w:rsidRPr="0073498A">
        <w:rPr>
          <w:rFonts w:cs="Arial"/>
          <w:szCs w:val="20"/>
        </w:rPr>
        <w:t>Dle Metodiky E</w:t>
      </w:r>
      <w:r w:rsidRPr="0073498A">
        <w:rPr>
          <w:rFonts w:cs="Arial"/>
          <w:bCs/>
          <w:szCs w:val="20"/>
        </w:rPr>
        <w:t>asy-to-read převést do snadno srozumitelné formy základní obecné informace o působnosti a popis služeb</w:t>
      </w:r>
      <w:r w:rsidRPr="00B67FF9">
        <w:rPr>
          <w:rFonts w:cs="Arial"/>
          <w:bCs/>
          <w:szCs w:val="20"/>
        </w:rPr>
        <w:t xml:space="preserve"> veřejné správy na intern</w:t>
      </w:r>
      <w:r>
        <w:rPr>
          <w:rFonts w:cs="Arial"/>
          <w:bCs/>
          <w:szCs w:val="20"/>
        </w:rPr>
        <w:t>etových stránkách ministerstev,</w:t>
      </w:r>
      <w:r w:rsidRPr="00B67FF9">
        <w:rPr>
          <w:rFonts w:cs="Arial"/>
          <w:bCs/>
          <w:szCs w:val="20"/>
        </w:rPr>
        <w:t> jejich přímo řízených organizací, které jsou určeny</w:t>
      </w:r>
      <w:r>
        <w:rPr>
          <w:rFonts w:cs="Arial"/>
          <w:bCs/>
          <w:szCs w:val="20"/>
        </w:rPr>
        <w:t xml:space="preserve"> veřejnosti, a </w:t>
      </w:r>
      <w:r w:rsidRPr="00B67FF9">
        <w:rPr>
          <w:rFonts w:cs="Arial"/>
          <w:bCs/>
          <w:szCs w:val="20"/>
        </w:rPr>
        <w:t xml:space="preserve">na Portálu veřejné správy. </w:t>
      </w:r>
      <w:r>
        <w:rPr>
          <w:rFonts w:cs="Arial"/>
          <w:bCs/>
          <w:szCs w:val="20"/>
        </w:rPr>
        <w:t>Zajistit, aby byly tyto</w:t>
      </w:r>
      <w:r>
        <w:rPr>
          <w:rFonts w:cs="Arial"/>
          <w:szCs w:val="20"/>
        </w:rPr>
        <w:t xml:space="preserve"> informace </w:t>
      </w:r>
      <w:r w:rsidRPr="00B67FF9">
        <w:rPr>
          <w:rFonts w:cs="Arial"/>
          <w:szCs w:val="20"/>
        </w:rPr>
        <w:t xml:space="preserve">přístupné dle </w:t>
      </w:r>
      <w:r w:rsidRPr="00F264C8">
        <w:rPr>
          <w:rFonts w:cs="Arial"/>
          <w:szCs w:val="20"/>
        </w:rPr>
        <w:t>zákona č. 99/2019 Sb.</w:t>
      </w:r>
      <w:r>
        <w:rPr>
          <w:rFonts w:cs="Arial"/>
          <w:szCs w:val="20"/>
        </w:rPr>
        <w:t>,</w:t>
      </w:r>
      <w:r>
        <w:rPr>
          <w:rFonts w:cs="Arial"/>
          <w:iCs/>
          <w:szCs w:val="20"/>
        </w:rPr>
        <w:t xml:space="preserve"> o </w:t>
      </w:r>
      <w:r w:rsidRPr="00F264C8">
        <w:rPr>
          <w:rFonts w:cs="Arial"/>
          <w:iCs/>
          <w:szCs w:val="20"/>
        </w:rPr>
        <w:t>přístupnosti internetových stránek a mobilních aplikací a o změně zákona č. 365/2000 Sb., o informačních systémech veřejné správy a o změně některých dalších zákonů, ve znění pozdějších předpisů.</w:t>
      </w:r>
      <w:r w:rsidRPr="00B67FF9">
        <w:rPr>
          <w:rFonts w:cs="Arial"/>
          <w:iCs/>
          <w:szCs w:val="20"/>
        </w:rPr>
        <w:t xml:space="preserve"> </w:t>
      </w:r>
    </w:p>
    <w:p w14:paraId="3917CF73" w14:textId="3B2D9D3D" w:rsidR="007E2F65" w:rsidRPr="00B67FF9" w:rsidRDefault="007E2F65" w:rsidP="007E2F65">
      <w:pPr>
        <w:rPr>
          <w:rFonts w:cs="Arial"/>
          <w:szCs w:val="20"/>
        </w:rPr>
      </w:pPr>
      <w:r>
        <w:rPr>
          <w:rFonts w:cs="Arial"/>
          <w:szCs w:val="20"/>
        </w:rPr>
        <w:t xml:space="preserve">Termín: </w:t>
      </w:r>
      <w:proofErr w:type="gramStart"/>
      <w:r>
        <w:rPr>
          <w:rFonts w:cs="Arial"/>
          <w:szCs w:val="20"/>
        </w:rPr>
        <w:t>31.12.</w:t>
      </w:r>
      <w:r w:rsidR="00592EE6">
        <w:rPr>
          <w:rFonts w:cs="Arial"/>
          <w:szCs w:val="20"/>
        </w:rPr>
        <w:t>2023</w:t>
      </w:r>
      <w:proofErr w:type="gramEnd"/>
    </w:p>
    <w:p w14:paraId="617E489D" w14:textId="41014F3A" w:rsidR="007E2F65" w:rsidRPr="00B67FF9" w:rsidRDefault="007E2F65" w:rsidP="007E2F65">
      <w:pPr>
        <w:rPr>
          <w:rFonts w:cs="Arial"/>
          <w:szCs w:val="20"/>
        </w:rPr>
      </w:pPr>
      <w:r w:rsidRPr="00B67FF9">
        <w:rPr>
          <w:rFonts w:cs="Arial"/>
          <w:szCs w:val="20"/>
        </w:rPr>
        <w:t xml:space="preserve">Gestor: </w:t>
      </w:r>
      <w:r w:rsidR="00A40605">
        <w:rPr>
          <w:rFonts w:cs="Arial"/>
          <w:szCs w:val="20"/>
        </w:rPr>
        <w:t>MD, MO, MPO, MPSV, MSp, MŠMT, MV, MZe, MŽP</w:t>
      </w:r>
    </w:p>
    <w:p w14:paraId="44B4A712" w14:textId="45C12946" w:rsidR="007E2F65" w:rsidRDefault="007E2F65" w:rsidP="00E8465A">
      <w:pPr>
        <w:rPr>
          <w:rFonts w:cs="Arial"/>
          <w:szCs w:val="20"/>
        </w:rPr>
      </w:pPr>
      <w:r>
        <w:rPr>
          <w:rFonts w:cs="Arial"/>
          <w:szCs w:val="20"/>
        </w:rPr>
        <w:t xml:space="preserve">Indikátor: Na internetových stránkách ministerstev, jejich přímo řízených organizací a na Portálu veřejné správy byly zveřejněny uvedené informace převedené do srozumitelné formy dle metodiky Easy-to-read a tyto informace jsou přístupné. </w:t>
      </w:r>
    </w:p>
    <w:p w14:paraId="56B3F65D" w14:textId="77777777" w:rsidR="00E8465A" w:rsidRDefault="00E8465A" w:rsidP="00E8465A">
      <w:pPr>
        <w:tabs>
          <w:tab w:val="left" w:pos="720"/>
        </w:tabs>
        <w:rPr>
          <w:rFonts w:cs="Arial"/>
          <w:b/>
          <w:bCs/>
          <w:sz w:val="20"/>
          <w:szCs w:val="20"/>
          <w:lang w:eastAsia="cs-CZ"/>
        </w:rPr>
      </w:pPr>
    </w:p>
    <w:p w14:paraId="5904ADDE" w14:textId="6B81B5E9" w:rsidR="0046521E" w:rsidRPr="00563F2E" w:rsidRDefault="0046521E" w:rsidP="00E8465A">
      <w:pPr>
        <w:tabs>
          <w:tab w:val="left" w:pos="720"/>
        </w:tabs>
        <w:rPr>
          <w:rFonts w:cs="Arial"/>
          <w:b/>
          <w:bCs/>
          <w:sz w:val="20"/>
          <w:szCs w:val="20"/>
          <w:lang w:eastAsia="cs-CZ"/>
        </w:rPr>
      </w:pPr>
      <w:r w:rsidRPr="00563F2E">
        <w:rPr>
          <w:rFonts w:cs="Arial"/>
          <w:b/>
          <w:bCs/>
          <w:sz w:val="20"/>
          <w:szCs w:val="20"/>
          <w:lang w:eastAsia="cs-CZ"/>
        </w:rPr>
        <w:t>PLNĚNÍ MD:</w:t>
      </w:r>
    </w:p>
    <w:p w14:paraId="6A2C9657" w14:textId="6D3CEE6B" w:rsidR="00563F2E" w:rsidRPr="0023484B" w:rsidRDefault="00563F2E" w:rsidP="00563F2E">
      <w:pPr>
        <w:rPr>
          <w:rFonts w:cs="Arial"/>
          <w:sz w:val="20"/>
          <w:szCs w:val="20"/>
        </w:rPr>
      </w:pPr>
      <w:r w:rsidRPr="00563F2E">
        <w:rPr>
          <w:rFonts w:cs="Arial"/>
          <w:sz w:val="20"/>
          <w:szCs w:val="20"/>
        </w:rPr>
        <w:lastRenderedPageBreak/>
        <w:t xml:space="preserve">Základní obecné informace o působnosti ministerstva dopravy jsou uveřejněny zde: </w:t>
      </w:r>
      <w:hyperlink r:id="rId58" w:history="1">
        <w:r w:rsidRPr="00563F2E">
          <w:rPr>
            <w:rStyle w:val="Hypertextovodkaz"/>
            <w:rFonts w:cs="Arial"/>
            <w:sz w:val="20"/>
            <w:szCs w:val="20"/>
          </w:rPr>
          <w:t>https://www.mdcr.cz/Ministerstvo/O-nas</w:t>
        </w:r>
      </w:hyperlink>
      <w:r w:rsidRPr="00563F2E">
        <w:rPr>
          <w:rFonts w:cs="Arial"/>
          <w:sz w:val="20"/>
          <w:szCs w:val="20"/>
        </w:rPr>
        <w:t xml:space="preserve">. Rovněž stránky, na které tato stránka odkazuje (Historie budovy, Informace o přístupnosti budovy, Kontaktní informace, Životní situace, Podřízené organizace) jsou uvedeny dle metodiky Easy – to- </w:t>
      </w:r>
      <w:r w:rsidRPr="0023484B">
        <w:rPr>
          <w:rFonts w:cs="Arial"/>
          <w:sz w:val="20"/>
          <w:szCs w:val="20"/>
        </w:rPr>
        <w:t>Read.</w:t>
      </w:r>
    </w:p>
    <w:p w14:paraId="42625DEC" w14:textId="1EEA8E9D" w:rsidR="0046521E" w:rsidRPr="00563F2E" w:rsidRDefault="00240875" w:rsidP="00E8465A">
      <w:pPr>
        <w:rPr>
          <w:rFonts w:cs="Arial"/>
          <w:b/>
          <w:bCs/>
          <w:sz w:val="20"/>
          <w:szCs w:val="20"/>
          <w:lang w:eastAsia="cs-CZ"/>
        </w:rPr>
      </w:pPr>
      <w:r w:rsidRPr="0023484B">
        <w:rPr>
          <w:rFonts w:cs="Arial"/>
          <w:b/>
          <w:bCs/>
          <w:sz w:val="20"/>
          <w:szCs w:val="20"/>
          <w:lang w:eastAsia="cs-CZ"/>
        </w:rPr>
        <w:t xml:space="preserve">STANOVISKO K PLNĚNÍ: </w:t>
      </w:r>
      <w:r w:rsidR="0062067B" w:rsidRPr="0023484B">
        <w:rPr>
          <w:rFonts w:cs="Arial"/>
          <w:b/>
          <w:bCs/>
          <w:sz w:val="20"/>
          <w:szCs w:val="20"/>
          <w:lang w:eastAsia="cs-CZ"/>
        </w:rPr>
        <w:t>S</w:t>
      </w:r>
      <w:r w:rsidRPr="0023484B">
        <w:rPr>
          <w:rFonts w:cs="Arial"/>
          <w:b/>
          <w:bCs/>
          <w:sz w:val="20"/>
          <w:szCs w:val="20"/>
          <w:lang w:eastAsia="cs-CZ"/>
        </w:rPr>
        <w:t>p</w:t>
      </w:r>
      <w:r w:rsidR="0046521E" w:rsidRPr="0023484B">
        <w:rPr>
          <w:rFonts w:cs="Arial"/>
          <w:b/>
          <w:bCs/>
          <w:sz w:val="20"/>
          <w:szCs w:val="20"/>
          <w:lang w:eastAsia="cs-CZ"/>
        </w:rPr>
        <w:t>lněno.</w:t>
      </w:r>
    </w:p>
    <w:p w14:paraId="7BBCF436" w14:textId="4DBF781D" w:rsidR="0046521E" w:rsidRPr="00084FA0" w:rsidRDefault="0046521E" w:rsidP="00084FA0">
      <w:pPr>
        <w:rPr>
          <w:rFonts w:cs="Arial"/>
          <w:sz w:val="20"/>
          <w:szCs w:val="20"/>
        </w:rPr>
      </w:pPr>
    </w:p>
    <w:p w14:paraId="1AF1C2F1" w14:textId="4C58D814" w:rsidR="0046521E" w:rsidRPr="009F7B82" w:rsidRDefault="0046521E" w:rsidP="009F7B82">
      <w:pPr>
        <w:tabs>
          <w:tab w:val="left" w:pos="720"/>
        </w:tabs>
        <w:rPr>
          <w:rFonts w:cs="Arial"/>
          <w:b/>
          <w:bCs/>
          <w:sz w:val="20"/>
          <w:szCs w:val="20"/>
          <w:lang w:eastAsia="cs-CZ"/>
        </w:rPr>
      </w:pPr>
      <w:r w:rsidRPr="009F7B82">
        <w:rPr>
          <w:rFonts w:cs="Arial"/>
          <w:b/>
          <w:bCs/>
          <w:sz w:val="20"/>
          <w:szCs w:val="20"/>
          <w:lang w:eastAsia="cs-CZ"/>
        </w:rPr>
        <w:t>PLNĚNÍ MO:</w:t>
      </w:r>
    </w:p>
    <w:p w14:paraId="1E6BD14D" w14:textId="796551DD" w:rsidR="009F7B82" w:rsidRPr="009F7B82" w:rsidRDefault="009F7B82" w:rsidP="009F7B82">
      <w:pPr>
        <w:rPr>
          <w:rFonts w:cs="Arial"/>
          <w:sz w:val="20"/>
          <w:szCs w:val="20"/>
        </w:rPr>
      </w:pPr>
      <w:r w:rsidRPr="009F7B82">
        <w:rPr>
          <w:rFonts w:cs="Arial"/>
          <w:sz w:val="20"/>
          <w:szCs w:val="20"/>
        </w:rPr>
        <w:t xml:space="preserve">Po účasti na školení k metodice easy-to-read, realizovaném Úřadem vlády byla 9. listopadu 2023 umístěna na hlavní stránku </w:t>
      </w:r>
      <w:hyperlink r:id="rId59" w:history="1">
        <w:r w:rsidR="00490F49" w:rsidRPr="00490F49">
          <w:rPr>
            <w:rStyle w:val="Hypertextovodkaz"/>
            <w:rFonts w:cs="Arial"/>
            <w:sz w:val="20"/>
            <w:szCs w:val="20"/>
          </w:rPr>
          <w:t>https://www.army.cz/</w:t>
        </w:r>
      </w:hyperlink>
      <w:r w:rsidRPr="009F7B82">
        <w:rPr>
          <w:rFonts w:cs="Arial"/>
          <w:sz w:val="20"/>
          <w:szCs w:val="20"/>
        </w:rPr>
        <w:t>ikona easy-to-read.</w:t>
      </w:r>
    </w:p>
    <w:p w14:paraId="29494C51" w14:textId="59627FC8" w:rsidR="009F7B82" w:rsidRPr="009F7B82" w:rsidRDefault="009F7B82" w:rsidP="009F7B82">
      <w:pPr>
        <w:rPr>
          <w:rFonts w:cs="Arial"/>
          <w:sz w:val="20"/>
          <w:szCs w:val="20"/>
        </w:rPr>
      </w:pPr>
      <w:r w:rsidRPr="009F7B82">
        <w:rPr>
          <w:rFonts w:cs="Arial"/>
          <w:sz w:val="20"/>
          <w:szCs w:val="20"/>
        </w:rPr>
        <w:t>Po rozbalení zde návštěvníci najdou karty se základními informacemi o</w:t>
      </w:r>
      <w:r w:rsidR="007E4287">
        <w:rPr>
          <w:rFonts w:cs="Arial"/>
          <w:sz w:val="20"/>
          <w:szCs w:val="20"/>
        </w:rPr>
        <w:t xml:space="preserve"> činnosti Ministerstva obrany a </w:t>
      </w:r>
      <w:r w:rsidRPr="009F7B82">
        <w:rPr>
          <w:rFonts w:cs="Arial"/>
          <w:sz w:val="20"/>
          <w:szCs w:val="20"/>
        </w:rPr>
        <w:t>jeho úkolech. Formou snadného čtení je zde rovněž uvedeno, jak lze Ministerstvo obrany kontaktovat s dotazy a co resort obrany nabízí široké veřejnosti.</w:t>
      </w:r>
    </w:p>
    <w:p w14:paraId="7C0194FE" w14:textId="77777777" w:rsidR="009F7B82" w:rsidRPr="009F7B82" w:rsidRDefault="009F7B82" w:rsidP="009F7B82">
      <w:pPr>
        <w:rPr>
          <w:rFonts w:cs="Arial"/>
          <w:sz w:val="20"/>
          <w:szCs w:val="20"/>
        </w:rPr>
      </w:pPr>
      <w:r w:rsidRPr="009F7B82">
        <w:rPr>
          <w:rFonts w:cs="Arial"/>
          <w:sz w:val="20"/>
          <w:szCs w:val="20"/>
        </w:rPr>
        <w:t xml:space="preserve">Ikona easy-to-read se na stránce </w:t>
      </w:r>
      <w:proofErr w:type="gramStart"/>
      <w:r w:rsidRPr="009F7B82">
        <w:rPr>
          <w:rFonts w:cs="Arial"/>
          <w:sz w:val="20"/>
          <w:szCs w:val="20"/>
        </w:rPr>
        <w:t>www</w:t>
      </w:r>
      <w:proofErr w:type="gramEnd"/>
      <w:r w:rsidRPr="009F7B82">
        <w:rPr>
          <w:rFonts w:cs="Arial"/>
          <w:sz w:val="20"/>
          <w:szCs w:val="20"/>
        </w:rPr>
        <w:t>.</w:t>
      </w:r>
      <w:proofErr w:type="gramStart"/>
      <w:r w:rsidRPr="009F7B82">
        <w:rPr>
          <w:rFonts w:cs="Arial"/>
          <w:sz w:val="20"/>
          <w:szCs w:val="20"/>
        </w:rPr>
        <w:t>army</w:t>
      </w:r>
      <w:proofErr w:type="gramEnd"/>
      <w:r w:rsidRPr="009F7B82">
        <w:rPr>
          <w:rFonts w:cs="Arial"/>
          <w:sz w:val="20"/>
          <w:szCs w:val="20"/>
        </w:rPr>
        <w:t>.cz nachází vpravo nahoře, je přístupná jak z běžných počítačů, tak z mobilních telefonů.</w:t>
      </w:r>
    </w:p>
    <w:p w14:paraId="07664C9D" w14:textId="775AEB0F" w:rsidR="009F7B82" w:rsidRPr="009F7B82" w:rsidRDefault="009F7B82" w:rsidP="009F7B82">
      <w:pPr>
        <w:rPr>
          <w:rFonts w:cs="Arial"/>
          <w:sz w:val="20"/>
          <w:szCs w:val="20"/>
        </w:rPr>
      </w:pPr>
      <w:r w:rsidRPr="009F7B82">
        <w:rPr>
          <w:rFonts w:cs="Arial"/>
          <w:sz w:val="20"/>
          <w:szCs w:val="20"/>
        </w:rPr>
        <w:t>Ve smyslu metodiky easy-to-read byly rovněž upraveny stránky státní služby Ministerstva obrany (</w:t>
      </w:r>
      <w:hyperlink r:id="rId60" w:history="1">
        <w:r w:rsidRPr="009F7B82">
          <w:rPr>
            <w:rStyle w:val="Hypertextovodkaz"/>
            <w:rFonts w:cs="Arial"/>
            <w:sz w:val="20"/>
            <w:szCs w:val="20"/>
          </w:rPr>
          <w:t>https://statnisluzba.army.cz</w:t>
        </w:r>
      </w:hyperlink>
      <w:r w:rsidRPr="009F7B82">
        <w:rPr>
          <w:rFonts w:cs="Arial"/>
          <w:sz w:val="20"/>
          <w:szCs w:val="20"/>
        </w:rPr>
        <w:t>), prostřednictvím kterých zájemci získají veškeré informace o státní službě v rezortu Ministerstva obrany, a internetové stránky Do Armády ČR (</w:t>
      </w:r>
      <w:hyperlink r:id="rId61" w:history="1">
        <w:r w:rsidRPr="009F7B82">
          <w:rPr>
            <w:rStyle w:val="Hypertextovodkaz"/>
            <w:rFonts w:cs="Arial"/>
            <w:sz w:val="20"/>
            <w:szCs w:val="20"/>
          </w:rPr>
          <w:t>https://www.doarmady.cz</w:t>
        </w:r>
      </w:hyperlink>
      <w:r w:rsidRPr="009F7B82">
        <w:rPr>
          <w:rFonts w:cs="Arial"/>
          <w:sz w:val="20"/>
          <w:szCs w:val="20"/>
        </w:rPr>
        <w:t>), které prezentují informace o Armádě ČR i o vojenství obecně. Zároveň slouží jako databáze všech důležitých informací o náborovém procesu.</w:t>
      </w:r>
    </w:p>
    <w:p w14:paraId="47D04CD3" w14:textId="350BB064" w:rsidR="0046521E" w:rsidRPr="009F7B82" w:rsidRDefault="0046521E" w:rsidP="009F7B82">
      <w:pPr>
        <w:rPr>
          <w:rFonts w:cs="Arial"/>
          <w:b/>
          <w:bCs/>
          <w:sz w:val="20"/>
          <w:szCs w:val="20"/>
          <w:lang w:eastAsia="cs-CZ"/>
        </w:rPr>
      </w:pPr>
      <w:r w:rsidRPr="009F7B82">
        <w:rPr>
          <w:rFonts w:cs="Arial"/>
          <w:b/>
          <w:bCs/>
          <w:sz w:val="20"/>
          <w:szCs w:val="20"/>
          <w:lang w:eastAsia="cs-CZ"/>
        </w:rPr>
        <w:t xml:space="preserve">STANOVISKO K PLNĚNÍ: </w:t>
      </w:r>
      <w:r w:rsidR="009F7B82" w:rsidRPr="009F7B82">
        <w:rPr>
          <w:rFonts w:cs="Arial"/>
          <w:b/>
          <w:bCs/>
          <w:sz w:val="20"/>
          <w:szCs w:val="20"/>
          <w:lang w:eastAsia="cs-CZ"/>
        </w:rPr>
        <w:t>S</w:t>
      </w:r>
      <w:r w:rsidR="00084FA0" w:rsidRPr="009F7B82">
        <w:rPr>
          <w:rFonts w:cs="Arial"/>
          <w:b/>
          <w:bCs/>
          <w:sz w:val="20"/>
          <w:szCs w:val="20"/>
          <w:lang w:eastAsia="cs-CZ"/>
        </w:rPr>
        <w:t>p</w:t>
      </w:r>
      <w:r w:rsidR="009F7B82" w:rsidRPr="009F7B82">
        <w:rPr>
          <w:rFonts w:cs="Arial"/>
          <w:b/>
          <w:bCs/>
          <w:sz w:val="20"/>
          <w:szCs w:val="20"/>
          <w:lang w:eastAsia="cs-CZ"/>
        </w:rPr>
        <w:t>lněno.</w:t>
      </w:r>
    </w:p>
    <w:p w14:paraId="1D201A1D" w14:textId="77777777" w:rsidR="0046521E" w:rsidRPr="00AD2B0D" w:rsidRDefault="0046521E" w:rsidP="00AD2B0D">
      <w:pPr>
        <w:tabs>
          <w:tab w:val="left" w:pos="720"/>
        </w:tabs>
        <w:rPr>
          <w:rFonts w:cs="Arial"/>
          <w:b/>
          <w:bCs/>
          <w:sz w:val="20"/>
          <w:szCs w:val="20"/>
          <w:lang w:eastAsia="cs-CZ"/>
        </w:rPr>
      </w:pPr>
    </w:p>
    <w:p w14:paraId="73968DBE" w14:textId="06D9CF30" w:rsidR="0046521E" w:rsidRPr="00AE22E2" w:rsidRDefault="0046521E" w:rsidP="00AE22E2">
      <w:pPr>
        <w:tabs>
          <w:tab w:val="left" w:pos="720"/>
        </w:tabs>
        <w:rPr>
          <w:rFonts w:cs="Arial"/>
          <w:b/>
          <w:bCs/>
          <w:sz w:val="20"/>
          <w:szCs w:val="20"/>
          <w:lang w:eastAsia="cs-CZ"/>
        </w:rPr>
      </w:pPr>
      <w:r w:rsidRPr="00AE22E2">
        <w:rPr>
          <w:rFonts w:cs="Arial"/>
          <w:b/>
          <w:bCs/>
          <w:sz w:val="20"/>
          <w:szCs w:val="20"/>
          <w:lang w:eastAsia="cs-CZ"/>
        </w:rPr>
        <w:t>PLNĚNÍ MPO:</w:t>
      </w:r>
    </w:p>
    <w:p w14:paraId="6CEE2912" w14:textId="3026317D" w:rsidR="00AE22E2" w:rsidRPr="00AE22E2" w:rsidRDefault="00AE22E2" w:rsidP="00AE22E2">
      <w:pPr>
        <w:rPr>
          <w:rFonts w:cs="Arial"/>
          <w:bCs/>
          <w:sz w:val="20"/>
          <w:szCs w:val="20"/>
        </w:rPr>
      </w:pPr>
      <w:r w:rsidRPr="00AE22E2">
        <w:rPr>
          <w:rFonts w:cs="Arial"/>
          <w:bCs/>
          <w:sz w:val="20"/>
          <w:szCs w:val="20"/>
        </w:rPr>
        <w:t xml:space="preserve">Pracovnice MPO z oddělení komunikace se v roce 2023 účastnila školení o Metodice </w:t>
      </w:r>
      <w:r w:rsidRPr="00AE22E2">
        <w:rPr>
          <w:rFonts w:cs="Arial"/>
          <w:sz w:val="20"/>
          <w:szCs w:val="20"/>
        </w:rPr>
        <w:t>E</w:t>
      </w:r>
      <w:r w:rsidRPr="00AE22E2">
        <w:rPr>
          <w:rFonts w:cs="Arial"/>
          <w:bCs/>
          <w:sz w:val="20"/>
          <w:szCs w:val="20"/>
        </w:rPr>
        <w:t>asy-to-read, které bylo zajištěno Úřadem vlády ČR. Dle této metodiky byl vyhotoven a zveřejněn na webu MPO text ve snadném čtení:</w:t>
      </w:r>
      <w:r>
        <w:rPr>
          <w:rFonts w:cs="Arial"/>
          <w:bCs/>
          <w:sz w:val="20"/>
          <w:szCs w:val="20"/>
        </w:rPr>
        <w:t xml:space="preserve"> </w:t>
      </w:r>
      <w:hyperlink r:id="rId62" w:history="1">
        <w:r w:rsidRPr="00AE22E2">
          <w:rPr>
            <w:rStyle w:val="Hypertextovodkaz"/>
            <w:rFonts w:cs="Arial"/>
            <w:sz w:val="20"/>
            <w:szCs w:val="20"/>
          </w:rPr>
          <w:t>https://www.mpo.cz/cz/rozcestnik/podpora-rovnych-prilezitosti-pro-ozp/o-ministerstvu-prumyslu-a-obchodu-ve-snadnem-cteni--279481/</w:t>
        </w:r>
      </w:hyperlink>
    </w:p>
    <w:p w14:paraId="0CCF06EC" w14:textId="294EB515" w:rsidR="00FF7A8C" w:rsidRPr="00AE22E2" w:rsidRDefault="0046521E" w:rsidP="00AE22E2">
      <w:pPr>
        <w:keepNext/>
        <w:tabs>
          <w:tab w:val="left" w:pos="720"/>
        </w:tabs>
        <w:rPr>
          <w:rFonts w:cs="Arial"/>
          <w:b/>
          <w:bCs/>
          <w:sz w:val="20"/>
          <w:szCs w:val="20"/>
          <w:lang w:eastAsia="cs-CZ"/>
        </w:rPr>
      </w:pPr>
      <w:r w:rsidRPr="00AE22E2">
        <w:rPr>
          <w:rFonts w:cs="Arial"/>
          <w:b/>
          <w:bCs/>
          <w:sz w:val="20"/>
          <w:szCs w:val="20"/>
          <w:lang w:eastAsia="cs-CZ"/>
        </w:rPr>
        <w:t xml:space="preserve">STANOVISKO K PLNĚNÍ: </w:t>
      </w:r>
      <w:r w:rsidR="00AE22E2" w:rsidRPr="00B73C5D">
        <w:rPr>
          <w:rFonts w:cs="Arial"/>
          <w:b/>
          <w:bCs/>
          <w:sz w:val="20"/>
          <w:szCs w:val="20"/>
          <w:lang w:eastAsia="cs-CZ"/>
        </w:rPr>
        <w:t>S</w:t>
      </w:r>
      <w:r w:rsidR="00FF7A8C" w:rsidRPr="00B73C5D">
        <w:rPr>
          <w:rFonts w:cs="Arial"/>
          <w:b/>
          <w:bCs/>
          <w:sz w:val="20"/>
          <w:szCs w:val="20"/>
          <w:lang w:eastAsia="cs-CZ"/>
        </w:rPr>
        <w:t>p</w:t>
      </w:r>
      <w:r w:rsidR="00AE22E2" w:rsidRPr="00B73C5D">
        <w:rPr>
          <w:rFonts w:cs="Arial"/>
          <w:b/>
          <w:sz w:val="20"/>
          <w:szCs w:val="20"/>
        </w:rPr>
        <w:t xml:space="preserve">lněno. </w:t>
      </w:r>
    </w:p>
    <w:p w14:paraId="3B059145" w14:textId="5D7C8389" w:rsidR="0046521E" w:rsidRPr="00AD2B0D" w:rsidRDefault="0046521E" w:rsidP="00FF7A8C">
      <w:pPr>
        <w:keepNext/>
        <w:tabs>
          <w:tab w:val="left" w:pos="720"/>
        </w:tabs>
        <w:rPr>
          <w:rFonts w:cs="Arial"/>
          <w:b/>
          <w:bCs/>
          <w:sz w:val="20"/>
          <w:szCs w:val="20"/>
          <w:lang w:eastAsia="cs-CZ"/>
        </w:rPr>
      </w:pPr>
    </w:p>
    <w:p w14:paraId="5FA2D450" w14:textId="16C63AEC" w:rsidR="0046521E" w:rsidRPr="00003044" w:rsidRDefault="0046521E" w:rsidP="00AD2B0D">
      <w:pPr>
        <w:keepNext/>
        <w:tabs>
          <w:tab w:val="left" w:pos="720"/>
        </w:tabs>
        <w:rPr>
          <w:rFonts w:cs="Arial"/>
          <w:b/>
          <w:bCs/>
          <w:sz w:val="20"/>
          <w:szCs w:val="20"/>
          <w:lang w:eastAsia="cs-CZ"/>
        </w:rPr>
      </w:pPr>
      <w:r w:rsidRPr="00003044">
        <w:rPr>
          <w:rFonts w:cs="Arial"/>
          <w:b/>
          <w:bCs/>
          <w:sz w:val="20"/>
          <w:szCs w:val="20"/>
          <w:lang w:eastAsia="cs-CZ"/>
        </w:rPr>
        <w:t>PLNĚNÍ MPSV:</w:t>
      </w:r>
    </w:p>
    <w:p w14:paraId="35D1F89F" w14:textId="4E29827E" w:rsidR="00003044" w:rsidRPr="00003044" w:rsidRDefault="00003044" w:rsidP="00003044">
      <w:pPr>
        <w:rPr>
          <w:rFonts w:cs="Arial"/>
          <w:sz w:val="20"/>
          <w:szCs w:val="20"/>
        </w:rPr>
      </w:pPr>
      <w:r w:rsidRPr="00003044">
        <w:rPr>
          <w:rFonts w:cs="Arial"/>
          <w:sz w:val="20"/>
          <w:szCs w:val="20"/>
        </w:rPr>
        <w:t>ČSSZ převedla v souladu s metodikou Easy-to-read (ETR) do srozumitelné formy základní informace o své působnosti a o všech základních životních situacích, které má uvedené na svých webových stránkách. Tyto snadno srozumitelné, přehledné a strukturované informace byly pod označením „Snadně a přehledně“ v prosinci roku 2022 zveřejněny na webových stránkách ČSSZ, které jsou přístupné v souladu se zákonem o přístupnosti internetových stránek a mobilních aplikací. Informace ve srozumitelné formě jsou na webových stránkách ČSSZ uve</w:t>
      </w:r>
      <w:r w:rsidR="00BF18AF">
        <w:rPr>
          <w:rFonts w:cs="Arial"/>
          <w:sz w:val="20"/>
          <w:szCs w:val="20"/>
        </w:rPr>
        <w:t>deny v sekci O nás (Informace o </w:t>
      </w:r>
      <w:r w:rsidRPr="00003044">
        <w:rPr>
          <w:rFonts w:cs="Arial"/>
          <w:sz w:val="20"/>
          <w:szCs w:val="20"/>
        </w:rPr>
        <w:t xml:space="preserve">působnosti ČSSZ) a v sekci Životní situace (u každé z 9 životních situací) a jsou propojeny s dalšími podrobnými a kompletními informacemi. Základní informace o působnosti ČSSZ ve formátu pro snadné čtení byly ve spolupráci s MV zveřejněny také na Portálu občana v sekci Kam dál </w:t>
      </w:r>
      <w:r w:rsidRPr="00F72C05">
        <w:rPr>
          <w:rFonts w:cs="Arial"/>
          <w:sz w:val="20"/>
          <w:szCs w:val="20"/>
        </w:rPr>
        <w:t>(</w:t>
      </w:r>
      <w:hyperlink r:id="rId63" w:history="1">
        <w:r w:rsidRPr="00F72C05">
          <w:rPr>
            <w:rStyle w:val="Hypertextovodkaz"/>
            <w:rFonts w:cs="Arial"/>
            <w:sz w:val="20"/>
            <w:szCs w:val="20"/>
          </w:rPr>
          <w:t>https://gov.cz/kam-dal/snadne-cteni</w:t>
        </w:r>
      </w:hyperlink>
      <w:r w:rsidRPr="00F72C05">
        <w:rPr>
          <w:rFonts w:cs="Arial"/>
          <w:sz w:val="20"/>
          <w:szCs w:val="20"/>
        </w:rPr>
        <w:t>).</w:t>
      </w:r>
    </w:p>
    <w:p w14:paraId="4DCF2B9A" w14:textId="34A6A715" w:rsidR="00003044" w:rsidRPr="00003044" w:rsidRDefault="00003044" w:rsidP="00003044">
      <w:pPr>
        <w:rPr>
          <w:rFonts w:cs="Arial"/>
          <w:sz w:val="20"/>
          <w:szCs w:val="20"/>
        </w:rPr>
      </w:pPr>
      <w:r w:rsidRPr="00003044">
        <w:rPr>
          <w:rFonts w:cs="Arial"/>
          <w:sz w:val="20"/>
          <w:szCs w:val="20"/>
        </w:rPr>
        <w:t>ČSSZ bude i nadále usilovat o poskytování informací klientům ve snadno srozumitelné formě za stálého využívání metodiky ETR a tyto své aktivity bude nadále rozšiřovat, zefektivňovat a promítat do dalších forem komunikace.</w:t>
      </w:r>
    </w:p>
    <w:p w14:paraId="1F6C1E07" w14:textId="49BC3723" w:rsidR="0046521E" w:rsidRPr="00003044" w:rsidRDefault="0046521E" w:rsidP="00AD2B0D">
      <w:pPr>
        <w:keepNext/>
        <w:tabs>
          <w:tab w:val="left" w:pos="720"/>
        </w:tabs>
        <w:rPr>
          <w:rFonts w:cs="Arial"/>
          <w:b/>
          <w:bCs/>
          <w:sz w:val="20"/>
          <w:szCs w:val="20"/>
          <w:lang w:eastAsia="cs-CZ"/>
        </w:rPr>
      </w:pPr>
      <w:r w:rsidRPr="00003044">
        <w:rPr>
          <w:rFonts w:cs="Arial"/>
          <w:b/>
          <w:bCs/>
          <w:sz w:val="20"/>
          <w:szCs w:val="20"/>
          <w:lang w:eastAsia="cs-CZ"/>
        </w:rPr>
        <w:t xml:space="preserve">STANOVISKO K PLNĚNÍ: </w:t>
      </w:r>
      <w:r w:rsidR="008738A5" w:rsidRPr="0052228A">
        <w:rPr>
          <w:rFonts w:cs="Arial"/>
          <w:b/>
          <w:bCs/>
          <w:sz w:val="20"/>
          <w:szCs w:val="20"/>
          <w:lang w:eastAsia="cs-CZ"/>
        </w:rPr>
        <w:t>Nesp</w:t>
      </w:r>
      <w:r w:rsidRPr="0052228A">
        <w:rPr>
          <w:rFonts w:cs="Arial"/>
          <w:b/>
          <w:sz w:val="20"/>
          <w:szCs w:val="20"/>
        </w:rPr>
        <w:t>lněno.</w:t>
      </w:r>
      <w:r w:rsidR="008738A5" w:rsidRPr="0052228A">
        <w:rPr>
          <w:rFonts w:cs="Arial"/>
          <w:b/>
          <w:sz w:val="20"/>
          <w:szCs w:val="20"/>
        </w:rPr>
        <w:t xml:space="preserve"> </w:t>
      </w:r>
      <w:r w:rsidR="00F125FB" w:rsidRPr="0052228A">
        <w:rPr>
          <w:rFonts w:cs="Arial"/>
          <w:b/>
          <w:sz w:val="20"/>
          <w:szCs w:val="20"/>
        </w:rPr>
        <w:t>Chybí MPSV a ÚP</w:t>
      </w:r>
      <w:r w:rsidR="00327609" w:rsidRPr="0052228A">
        <w:rPr>
          <w:rFonts w:cs="Arial"/>
          <w:b/>
          <w:sz w:val="20"/>
          <w:szCs w:val="20"/>
        </w:rPr>
        <w:t xml:space="preserve">. </w:t>
      </w:r>
      <w:r w:rsidR="008738A5" w:rsidRPr="0052228A">
        <w:rPr>
          <w:rFonts w:cs="Arial"/>
          <w:b/>
          <w:sz w:val="20"/>
          <w:szCs w:val="20"/>
        </w:rPr>
        <w:t>Nav</w:t>
      </w:r>
      <w:r w:rsidR="00C664FB" w:rsidRPr="0052228A">
        <w:rPr>
          <w:rFonts w:cs="Arial"/>
          <w:b/>
          <w:sz w:val="20"/>
          <w:szCs w:val="20"/>
        </w:rPr>
        <w:t xml:space="preserve">ržen posun termínu do </w:t>
      </w:r>
      <w:proofErr w:type="gramStart"/>
      <w:r w:rsidR="00C664FB" w:rsidRPr="0052228A">
        <w:rPr>
          <w:rFonts w:cs="Arial"/>
          <w:b/>
          <w:sz w:val="20"/>
          <w:szCs w:val="20"/>
        </w:rPr>
        <w:t>31.12.2024</w:t>
      </w:r>
      <w:proofErr w:type="gramEnd"/>
      <w:r w:rsidR="008738A5" w:rsidRPr="0052228A">
        <w:rPr>
          <w:rFonts w:cs="Arial"/>
          <w:b/>
          <w:sz w:val="20"/>
          <w:szCs w:val="20"/>
        </w:rPr>
        <w:t>.</w:t>
      </w:r>
    </w:p>
    <w:p w14:paraId="11C8B72E" w14:textId="77777777" w:rsidR="0046521E" w:rsidRPr="000A3539" w:rsidRDefault="0046521E" w:rsidP="0046521E">
      <w:pPr>
        <w:tabs>
          <w:tab w:val="left" w:pos="720"/>
        </w:tabs>
        <w:rPr>
          <w:rFonts w:cs="Arial"/>
          <w:b/>
          <w:bCs/>
          <w:sz w:val="20"/>
          <w:szCs w:val="20"/>
          <w:lang w:eastAsia="cs-CZ"/>
        </w:rPr>
      </w:pPr>
    </w:p>
    <w:p w14:paraId="5C2821DF" w14:textId="0EB1A19D" w:rsidR="0046521E" w:rsidRPr="004D280D" w:rsidRDefault="0046521E" w:rsidP="004D280D">
      <w:pPr>
        <w:tabs>
          <w:tab w:val="left" w:pos="720"/>
        </w:tabs>
        <w:rPr>
          <w:rFonts w:cs="Arial"/>
          <w:b/>
          <w:bCs/>
          <w:sz w:val="20"/>
          <w:szCs w:val="20"/>
          <w:lang w:eastAsia="cs-CZ"/>
        </w:rPr>
      </w:pPr>
      <w:r w:rsidRPr="004D280D">
        <w:rPr>
          <w:rFonts w:cs="Arial"/>
          <w:b/>
          <w:bCs/>
          <w:sz w:val="20"/>
          <w:szCs w:val="20"/>
          <w:lang w:eastAsia="cs-CZ"/>
        </w:rPr>
        <w:t>PLNĚNÍ MSp:</w:t>
      </w:r>
    </w:p>
    <w:p w14:paraId="4F91C200" w14:textId="4854A253" w:rsidR="004D280D" w:rsidRPr="004D280D" w:rsidRDefault="004D280D" w:rsidP="004D280D">
      <w:pPr>
        <w:rPr>
          <w:rFonts w:cs="Arial"/>
          <w:sz w:val="20"/>
          <w:szCs w:val="20"/>
        </w:rPr>
      </w:pPr>
      <w:r w:rsidRPr="004D280D">
        <w:rPr>
          <w:rFonts w:cs="Arial"/>
          <w:sz w:val="20"/>
          <w:szCs w:val="20"/>
        </w:rPr>
        <w:t>Zaměstnanec, který má agendu rovných příležitostí v popisu činno</w:t>
      </w:r>
      <w:r w:rsidR="00BF18AF">
        <w:rPr>
          <w:rFonts w:cs="Arial"/>
          <w:sz w:val="20"/>
          <w:szCs w:val="20"/>
        </w:rPr>
        <w:t>stí se po svém nástupu na MSp v </w:t>
      </w:r>
      <w:r w:rsidRPr="004D280D">
        <w:rPr>
          <w:rFonts w:cs="Arial"/>
          <w:sz w:val="20"/>
          <w:szCs w:val="20"/>
        </w:rPr>
        <w:t xml:space="preserve">září 2023 aktivně zúčastnil obou školení na ÚV, která se týkala snadného čtení. V návaznosti na tato školení projevilo MSp zájem o spolupráci se Společností pro podporu lidí s mentálním postižením v ČR za účelem konzultační podpory při tvorbě textů ve snadném čtení. V prosinci 2023 obdrželo MSp </w:t>
      </w:r>
      <w:r w:rsidRPr="004D280D">
        <w:rPr>
          <w:rFonts w:cs="Arial"/>
          <w:sz w:val="20"/>
          <w:szCs w:val="20"/>
        </w:rPr>
        <w:lastRenderedPageBreak/>
        <w:t>návrh „Memoranda o spolupráci“ a v současné době se nachází ve fázi jeho projednávání. Opatření bude realizováno během roku 2024 v návaznosti na spuštění nového webového portálu justice.cz, který prozatím funguje v testovacím režimu.</w:t>
      </w:r>
    </w:p>
    <w:p w14:paraId="0AA850C4" w14:textId="2B8518E2" w:rsidR="0046521E" w:rsidRPr="004D280D" w:rsidRDefault="0046521E" w:rsidP="004D280D">
      <w:pPr>
        <w:keepNext/>
        <w:tabs>
          <w:tab w:val="left" w:pos="720"/>
        </w:tabs>
        <w:rPr>
          <w:rFonts w:cs="Arial"/>
          <w:b/>
          <w:bCs/>
          <w:sz w:val="20"/>
          <w:szCs w:val="20"/>
          <w:lang w:eastAsia="cs-CZ"/>
        </w:rPr>
      </w:pPr>
      <w:r w:rsidRPr="004D280D">
        <w:rPr>
          <w:rFonts w:cs="Arial"/>
          <w:b/>
          <w:bCs/>
          <w:sz w:val="20"/>
          <w:szCs w:val="20"/>
          <w:lang w:eastAsia="cs-CZ"/>
        </w:rPr>
        <w:t xml:space="preserve">STANOVISKO K PLNĚNÍ: </w:t>
      </w:r>
      <w:r w:rsidR="005F5C53" w:rsidRPr="00FD32F5">
        <w:rPr>
          <w:rFonts w:cs="Arial"/>
          <w:b/>
          <w:bCs/>
          <w:sz w:val="20"/>
          <w:szCs w:val="20"/>
          <w:lang w:eastAsia="cs-CZ"/>
        </w:rPr>
        <w:t>Nesp</w:t>
      </w:r>
      <w:r w:rsidR="005F5C53" w:rsidRPr="00FD32F5">
        <w:rPr>
          <w:rFonts w:cs="Arial"/>
          <w:b/>
          <w:sz w:val="20"/>
          <w:szCs w:val="20"/>
        </w:rPr>
        <w:t>lněno. Nav</w:t>
      </w:r>
      <w:r w:rsidR="004D280D" w:rsidRPr="00FD32F5">
        <w:rPr>
          <w:rFonts w:cs="Arial"/>
          <w:b/>
          <w:sz w:val="20"/>
          <w:szCs w:val="20"/>
        </w:rPr>
        <w:t xml:space="preserve">ržen posun termínu do </w:t>
      </w:r>
      <w:proofErr w:type="gramStart"/>
      <w:r w:rsidR="004D280D" w:rsidRPr="00FD32F5">
        <w:rPr>
          <w:rFonts w:cs="Arial"/>
          <w:b/>
          <w:sz w:val="20"/>
          <w:szCs w:val="20"/>
        </w:rPr>
        <w:t>31.12.2024</w:t>
      </w:r>
      <w:proofErr w:type="gramEnd"/>
      <w:r w:rsidR="005F5C53" w:rsidRPr="00FD32F5">
        <w:rPr>
          <w:rFonts w:cs="Arial"/>
          <w:b/>
          <w:sz w:val="20"/>
          <w:szCs w:val="20"/>
        </w:rPr>
        <w:t>.</w:t>
      </w:r>
    </w:p>
    <w:p w14:paraId="762F2021" w14:textId="77777777" w:rsidR="0046521E" w:rsidRPr="000A3539" w:rsidRDefault="0046521E" w:rsidP="0046521E">
      <w:pPr>
        <w:tabs>
          <w:tab w:val="left" w:pos="720"/>
        </w:tabs>
        <w:rPr>
          <w:rFonts w:cs="Arial"/>
          <w:b/>
          <w:bCs/>
          <w:sz w:val="20"/>
          <w:szCs w:val="20"/>
          <w:lang w:eastAsia="cs-CZ"/>
        </w:rPr>
      </w:pPr>
    </w:p>
    <w:p w14:paraId="4248A90A" w14:textId="631BFFF6" w:rsidR="003F1972" w:rsidRPr="00A72D14" w:rsidRDefault="0046521E" w:rsidP="00F766CB">
      <w:pPr>
        <w:tabs>
          <w:tab w:val="left" w:pos="720"/>
        </w:tabs>
        <w:rPr>
          <w:rFonts w:cs="Arial"/>
          <w:b/>
          <w:bCs/>
          <w:sz w:val="20"/>
          <w:szCs w:val="20"/>
          <w:lang w:eastAsia="cs-CZ"/>
        </w:rPr>
      </w:pPr>
      <w:r w:rsidRPr="00A72D14">
        <w:rPr>
          <w:rFonts w:cs="Arial"/>
          <w:b/>
          <w:bCs/>
          <w:sz w:val="20"/>
          <w:szCs w:val="20"/>
          <w:lang w:eastAsia="cs-CZ"/>
        </w:rPr>
        <w:t>PLNĚNÍ MŠMT:</w:t>
      </w:r>
    </w:p>
    <w:p w14:paraId="42305958" w14:textId="77777777" w:rsidR="003F1972" w:rsidRPr="00163218" w:rsidRDefault="003F1972" w:rsidP="003F1972">
      <w:pPr>
        <w:tabs>
          <w:tab w:val="left" w:pos="1985"/>
          <w:tab w:val="right" w:pos="6663"/>
          <w:tab w:val="left" w:pos="6804"/>
        </w:tabs>
        <w:rPr>
          <w:rFonts w:cs="Arial"/>
          <w:bCs/>
          <w:sz w:val="20"/>
          <w:szCs w:val="20"/>
        </w:rPr>
      </w:pPr>
      <w:r w:rsidRPr="00A72D14">
        <w:rPr>
          <w:rFonts w:cs="Arial"/>
          <w:bCs/>
          <w:sz w:val="20"/>
          <w:szCs w:val="20"/>
        </w:rPr>
        <w:t>V souladu s technickými možnostmi webové stránky MŠMT chystáme zpřístupnění těchto stránek osobám se zdravotním</w:t>
      </w:r>
      <w:r w:rsidRPr="00163218">
        <w:rPr>
          <w:rFonts w:cs="Arial"/>
          <w:bCs/>
          <w:sz w:val="20"/>
          <w:szCs w:val="20"/>
        </w:rPr>
        <w:t xml:space="preserve"> postižením. Vybrané pasáže webu </w:t>
      </w:r>
      <w:hyperlink r:id="rId64" w:history="1">
        <w:r w:rsidRPr="00163218">
          <w:rPr>
            <w:rFonts w:cs="Arial"/>
            <w:bCs/>
            <w:sz w:val="20"/>
            <w:szCs w:val="20"/>
          </w:rPr>
          <w:t>www.msmt.cz</w:t>
        </w:r>
      </w:hyperlink>
      <w:r w:rsidRPr="00163218">
        <w:rPr>
          <w:rFonts w:cs="Arial"/>
          <w:bCs/>
          <w:sz w:val="20"/>
          <w:szCs w:val="20"/>
        </w:rPr>
        <w:t xml:space="preserve"> budou soustředěny na jednom místě v graficky upravené podobě, která zajistí přístupnost informací všem uživatelům. </w:t>
      </w:r>
    </w:p>
    <w:p w14:paraId="17FF901F" w14:textId="17DB85A8" w:rsidR="003F1972" w:rsidRPr="00163218" w:rsidRDefault="003F1972" w:rsidP="003F1972">
      <w:pPr>
        <w:tabs>
          <w:tab w:val="left" w:pos="1985"/>
          <w:tab w:val="right" w:pos="6663"/>
          <w:tab w:val="left" w:pos="6804"/>
        </w:tabs>
        <w:rPr>
          <w:rFonts w:cs="Arial"/>
          <w:bCs/>
          <w:sz w:val="20"/>
          <w:szCs w:val="20"/>
        </w:rPr>
      </w:pPr>
      <w:r w:rsidRPr="00163218">
        <w:rPr>
          <w:rFonts w:cs="Arial"/>
          <w:bCs/>
          <w:sz w:val="20"/>
          <w:szCs w:val="20"/>
        </w:rPr>
        <w:t xml:space="preserve">Zástupci MŠMT se v roce 2023 zúčastnili školení k Metodice Easy-to-read. </w:t>
      </w:r>
    </w:p>
    <w:p w14:paraId="0DE92D36" w14:textId="3F97397F" w:rsidR="0046521E" w:rsidRPr="000A3539" w:rsidRDefault="0046521E" w:rsidP="0046521E">
      <w:pPr>
        <w:keepNext/>
        <w:tabs>
          <w:tab w:val="left" w:pos="720"/>
        </w:tabs>
        <w:rPr>
          <w:rFonts w:cs="Arial"/>
          <w:b/>
          <w:bCs/>
          <w:sz w:val="20"/>
          <w:szCs w:val="20"/>
          <w:lang w:eastAsia="cs-CZ"/>
        </w:rPr>
      </w:pPr>
      <w:r w:rsidRPr="000A3539">
        <w:rPr>
          <w:rFonts w:cs="Arial"/>
          <w:b/>
          <w:bCs/>
          <w:sz w:val="20"/>
          <w:szCs w:val="20"/>
          <w:lang w:eastAsia="cs-CZ"/>
        </w:rPr>
        <w:t>STANOVISKO K </w:t>
      </w:r>
      <w:r w:rsidRPr="005A730A">
        <w:rPr>
          <w:rFonts w:cs="Arial"/>
          <w:b/>
          <w:bCs/>
          <w:sz w:val="20"/>
          <w:szCs w:val="20"/>
          <w:lang w:eastAsia="cs-CZ"/>
        </w:rPr>
        <w:t>PLNĚNÍ</w:t>
      </w:r>
      <w:r w:rsidRPr="00A72D14">
        <w:rPr>
          <w:rFonts w:cs="Arial"/>
          <w:b/>
          <w:bCs/>
          <w:sz w:val="20"/>
          <w:szCs w:val="20"/>
          <w:lang w:eastAsia="cs-CZ"/>
        </w:rPr>
        <w:t xml:space="preserve">: </w:t>
      </w:r>
      <w:r w:rsidR="002F4C0E" w:rsidRPr="00A72D14">
        <w:rPr>
          <w:rFonts w:cs="Arial"/>
          <w:b/>
          <w:bCs/>
          <w:sz w:val="20"/>
          <w:szCs w:val="20"/>
          <w:lang w:eastAsia="cs-CZ"/>
        </w:rPr>
        <w:t>Nesp</w:t>
      </w:r>
      <w:r w:rsidR="002F4C0E" w:rsidRPr="00A72D14">
        <w:rPr>
          <w:rFonts w:cs="Arial"/>
          <w:b/>
          <w:sz w:val="20"/>
          <w:szCs w:val="20"/>
        </w:rPr>
        <w:t xml:space="preserve">lněno. Navržen posun termínu do </w:t>
      </w:r>
      <w:proofErr w:type="gramStart"/>
      <w:r w:rsidR="002F4C0E" w:rsidRPr="00A72D14">
        <w:rPr>
          <w:rFonts w:cs="Arial"/>
          <w:b/>
          <w:sz w:val="20"/>
          <w:szCs w:val="20"/>
        </w:rPr>
        <w:t>31.12.202</w:t>
      </w:r>
      <w:r w:rsidR="003F1972" w:rsidRPr="00A72D14">
        <w:rPr>
          <w:rFonts w:cs="Arial"/>
          <w:b/>
          <w:sz w:val="20"/>
          <w:szCs w:val="20"/>
        </w:rPr>
        <w:t>4</w:t>
      </w:r>
      <w:proofErr w:type="gramEnd"/>
      <w:r w:rsidR="002F4C0E" w:rsidRPr="00A72D14">
        <w:rPr>
          <w:rFonts w:cs="Arial"/>
          <w:b/>
          <w:sz w:val="20"/>
          <w:szCs w:val="20"/>
        </w:rPr>
        <w:t>.</w:t>
      </w:r>
    </w:p>
    <w:p w14:paraId="4578321B" w14:textId="77777777" w:rsidR="0046521E" w:rsidRPr="007657B2" w:rsidRDefault="0046521E" w:rsidP="0046521E">
      <w:pPr>
        <w:rPr>
          <w:rFonts w:cs="Arial"/>
          <w:sz w:val="20"/>
          <w:szCs w:val="20"/>
        </w:rPr>
      </w:pPr>
    </w:p>
    <w:p w14:paraId="2F270635" w14:textId="65869276" w:rsidR="0046521E" w:rsidRPr="002A4E8E" w:rsidRDefault="0046521E" w:rsidP="002A4E8E">
      <w:pPr>
        <w:tabs>
          <w:tab w:val="left" w:pos="720"/>
        </w:tabs>
        <w:rPr>
          <w:rFonts w:cs="Arial"/>
          <w:b/>
          <w:bCs/>
          <w:sz w:val="20"/>
          <w:szCs w:val="20"/>
          <w:lang w:eastAsia="cs-CZ"/>
        </w:rPr>
      </w:pPr>
      <w:r w:rsidRPr="002A4E8E">
        <w:rPr>
          <w:rFonts w:cs="Arial"/>
          <w:b/>
          <w:bCs/>
          <w:sz w:val="20"/>
          <w:szCs w:val="20"/>
          <w:lang w:eastAsia="cs-CZ"/>
        </w:rPr>
        <w:t>PLNĚNÍ MV:</w:t>
      </w:r>
    </w:p>
    <w:p w14:paraId="153F990E" w14:textId="391FDA8C" w:rsidR="002A4E8E" w:rsidRPr="00B61985" w:rsidRDefault="002A4E8E" w:rsidP="002A4E8E">
      <w:pPr>
        <w:rPr>
          <w:rFonts w:cs="Arial"/>
          <w:sz w:val="20"/>
          <w:szCs w:val="20"/>
        </w:rPr>
      </w:pPr>
      <w:r w:rsidRPr="002A4E8E">
        <w:rPr>
          <w:rFonts w:cs="Arial"/>
          <w:sz w:val="20"/>
          <w:szCs w:val="20"/>
        </w:rPr>
        <w:t xml:space="preserve">Ministerstvo vnitra má připraven nový projekt na zcela nové internetové stránky, aktuálně platným je nyní poskytována jen udržovací podpora. Připravený popis je na vyžádání k dispozici. Jeho zveřejnění je s novými internetovými </w:t>
      </w:r>
      <w:r w:rsidRPr="00B61985">
        <w:rPr>
          <w:rFonts w:cs="Arial"/>
          <w:sz w:val="20"/>
          <w:szCs w:val="20"/>
        </w:rPr>
        <w:t xml:space="preserve">stránkami plánováno. MV žádá o prodloužení termínu do </w:t>
      </w:r>
      <w:proofErr w:type="gramStart"/>
      <w:r w:rsidRPr="00B61985">
        <w:rPr>
          <w:rFonts w:cs="Arial"/>
          <w:sz w:val="20"/>
          <w:szCs w:val="20"/>
        </w:rPr>
        <w:t>31.01.2025</w:t>
      </w:r>
      <w:proofErr w:type="gramEnd"/>
      <w:r w:rsidRPr="00B61985">
        <w:rPr>
          <w:rFonts w:cs="Arial"/>
          <w:sz w:val="20"/>
          <w:szCs w:val="20"/>
        </w:rPr>
        <w:t>.</w:t>
      </w:r>
    </w:p>
    <w:p w14:paraId="27F82257" w14:textId="34A2F30A" w:rsidR="007657B2" w:rsidRPr="002A4E8E" w:rsidRDefault="007657B2" w:rsidP="002A4E8E">
      <w:pPr>
        <w:rPr>
          <w:rFonts w:cs="Arial"/>
          <w:b/>
          <w:bCs/>
          <w:sz w:val="20"/>
          <w:szCs w:val="20"/>
          <w:lang w:eastAsia="cs-CZ"/>
        </w:rPr>
      </w:pPr>
      <w:r w:rsidRPr="00B61985">
        <w:rPr>
          <w:rFonts w:cs="Arial"/>
          <w:b/>
          <w:bCs/>
          <w:sz w:val="20"/>
          <w:szCs w:val="20"/>
          <w:lang w:eastAsia="cs-CZ"/>
        </w:rPr>
        <w:t xml:space="preserve">STANOVISKO K PLNĚNÍ: </w:t>
      </w:r>
      <w:r w:rsidR="002A4E8E" w:rsidRPr="00B61985">
        <w:rPr>
          <w:rFonts w:cs="Arial"/>
          <w:b/>
          <w:bCs/>
          <w:sz w:val="20"/>
          <w:szCs w:val="20"/>
          <w:lang w:eastAsia="cs-CZ"/>
        </w:rPr>
        <w:t>Nesp</w:t>
      </w:r>
      <w:r w:rsidR="002A4E8E" w:rsidRPr="00B61985">
        <w:rPr>
          <w:rFonts w:cs="Arial"/>
          <w:b/>
          <w:sz w:val="20"/>
          <w:szCs w:val="20"/>
        </w:rPr>
        <w:t xml:space="preserve">lněno. Navržen posun termínu do </w:t>
      </w:r>
      <w:proofErr w:type="gramStart"/>
      <w:r w:rsidR="002A4E8E" w:rsidRPr="00B61985">
        <w:rPr>
          <w:rFonts w:cs="Arial"/>
          <w:b/>
          <w:sz w:val="20"/>
          <w:szCs w:val="20"/>
        </w:rPr>
        <w:t>31.12.2024</w:t>
      </w:r>
      <w:proofErr w:type="gramEnd"/>
      <w:r w:rsidR="002A4E8E" w:rsidRPr="00B61985">
        <w:rPr>
          <w:rFonts w:cs="Arial"/>
          <w:b/>
          <w:sz w:val="20"/>
          <w:szCs w:val="20"/>
        </w:rPr>
        <w:t>.</w:t>
      </w:r>
    </w:p>
    <w:p w14:paraId="5A826B79" w14:textId="3451AAF5" w:rsidR="0046521E" w:rsidRPr="007E697A" w:rsidRDefault="0046521E" w:rsidP="00F37CB9">
      <w:pPr>
        <w:rPr>
          <w:rFonts w:cs="Arial"/>
          <w:sz w:val="20"/>
          <w:szCs w:val="20"/>
        </w:rPr>
      </w:pPr>
    </w:p>
    <w:p w14:paraId="5861DBFE" w14:textId="7B342F1D" w:rsidR="0046521E" w:rsidRPr="00EB1FC0" w:rsidRDefault="0046521E" w:rsidP="00EB1FC0">
      <w:pPr>
        <w:keepNext/>
        <w:keepLines/>
        <w:tabs>
          <w:tab w:val="left" w:pos="720"/>
        </w:tabs>
        <w:rPr>
          <w:rFonts w:cs="Arial"/>
          <w:b/>
          <w:bCs/>
          <w:sz w:val="20"/>
          <w:szCs w:val="20"/>
          <w:lang w:eastAsia="cs-CZ"/>
        </w:rPr>
      </w:pPr>
      <w:r w:rsidRPr="00EB1FC0">
        <w:rPr>
          <w:rFonts w:cs="Arial"/>
          <w:b/>
          <w:bCs/>
          <w:sz w:val="20"/>
          <w:szCs w:val="20"/>
          <w:lang w:eastAsia="cs-CZ"/>
        </w:rPr>
        <w:t>PLNĚNÍ MZe:</w:t>
      </w:r>
    </w:p>
    <w:p w14:paraId="17843B3C" w14:textId="75B33DD3" w:rsidR="00EB1FC0" w:rsidRPr="00EB1FC0" w:rsidRDefault="00EB1FC0" w:rsidP="00EB1FC0">
      <w:pPr>
        <w:rPr>
          <w:sz w:val="20"/>
          <w:szCs w:val="20"/>
        </w:rPr>
      </w:pPr>
      <w:r w:rsidRPr="00EB1FC0">
        <w:rPr>
          <w:sz w:val="20"/>
          <w:szCs w:val="20"/>
        </w:rPr>
        <w:t>Ministerstvo zemědělství v září a říjnu roku 2023 realizovalo upgrade internetových stránek tak, aby co nejvíce odpovídaly metodice Easy-to-read. V součinnosti s útvarem zodpovědným za komunikaci s veřejností budou i nadále probíhat kooperace na poskytování informací ve srozumitelné formě dle citované metodiky.</w:t>
      </w:r>
    </w:p>
    <w:p w14:paraId="3D4193B6" w14:textId="539D1391" w:rsidR="0046521E" w:rsidRPr="00EB1FC0" w:rsidRDefault="0046521E" w:rsidP="00EB1FC0">
      <w:pPr>
        <w:keepNext/>
        <w:tabs>
          <w:tab w:val="left" w:pos="720"/>
        </w:tabs>
        <w:rPr>
          <w:rFonts w:cs="Arial"/>
          <w:b/>
          <w:bCs/>
          <w:sz w:val="20"/>
          <w:szCs w:val="20"/>
          <w:lang w:eastAsia="cs-CZ"/>
        </w:rPr>
      </w:pPr>
      <w:r w:rsidRPr="00EB1FC0">
        <w:rPr>
          <w:rFonts w:cs="Arial"/>
          <w:b/>
          <w:bCs/>
          <w:sz w:val="20"/>
          <w:szCs w:val="20"/>
          <w:lang w:eastAsia="cs-CZ"/>
        </w:rPr>
        <w:t>STANOVISKO K PLNĚNÍ:</w:t>
      </w:r>
      <w:r w:rsidR="0060331B" w:rsidRPr="00EB1FC0">
        <w:rPr>
          <w:rFonts w:cs="Arial"/>
          <w:b/>
          <w:sz w:val="20"/>
          <w:szCs w:val="20"/>
        </w:rPr>
        <w:t xml:space="preserve"> </w:t>
      </w:r>
      <w:r w:rsidR="0060331B" w:rsidRPr="00B4557B">
        <w:rPr>
          <w:rFonts w:cs="Arial"/>
          <w:b/>
          <w:sz w:val="20"/>
          <w:szCs w:val="20"/>
        </w:rPr>
        <w:t xml:space="preserve">Nesplněno. Navržen posun termínu do </w:t>
      </w:r>
      <w:proofErr w:type="gramStart"/>
      <w:r w:rsidR="0060331B" w:rsidRPr="00B4557B">
        <w:rPr>
          <w:rFonts w:cs="Arial"/>
          <w:b/>
          <w:sz w:val="20"/>
          <w:szCs w:val="20"/>
        </w:rPr>
        <w:t>31.12.202</w:t>
      </w:r>
      <w:r w:rsidR="007C5E73" w:rsidRPr="00B4557B">
        <w:rPr>
          <w:rFonts w:cs="Arial"/>
          <w:b/>
          <w:sz w:val="20"/>
          <w:szCs w:val="20"/>
        </w:rPr>
        <w:t>4</w:t>
      </w:r>
      <w:proofErr w:type="gramEnd"/>
      <w:r w:rsidR="0060331B" w:rsidRPr="00B4557B">
        <w:rPr>
          <w:rFonts w:cs="Arial"/>
          <w:b/>
          <w:sz w:val="20"/>
          <w:szCs w:val="20"/>
        </w:rPr>
        <w:t>.</w:t>
      </w:r>
    </w:p>
    <w:p w14:paraId="15AD825F" w14:textId="78A80F18" w:rsidR="0046521E" w:rsidRPr="00416148" w:rsidRDefault="0046521E" w:rsidP="00003590">
      <w:pPr>
        <w:rPr>
          <w:rFonts w:cs="Arial"/>
          <w:sz w:val="20"/>
          <w:szCs w:val="20"/>
        </w:rPr>
      </w:pPr>
    </w:p>
    <w:p w14:paraId="3C6F28CA" w14:textId="4B0970F6" w:rsidR="0046521E" w:rsidRPr="00E61186" w:rsidRDefault="0046521E" w:rsidP="00E61186">
      <w:pPr>
        <w:tabs>
          <w:tab w:val="left" w:pos="720"/>
        </w:tabs>
        <w:rPr>
          <w:rFonts w:cs="Arial"/>
          <w:b/>
          <w:bCs/>
          <w:sz w:val="20"/>
          <w:szCs w:val="20"/>
          <w:lang w:eastAsia="cs-CZ"/>
        </w:rPr>
      </w:pPr>
      <w:r w:rsidRPr="00E61186">
        <w:rPr>
          <w:rFonts w:cs="Arial"/>
          <w:b/>
          <w:bCs/>
          <w:sz w:val="20"/>
          <w:szCs w:val="20"/>
          <w:lang w:eastAsia="cs-CZ"/>
        </w:rPr>
        <w:t>PLNĚNÍ MŽP:</w:t>
      </w:r>
    </w:p>
    <w:p w14:paraId="1C34F2D0" w14:textId="328E78F2" w:rsidR="00E61186" w:rsidRPr="0026573F" w:rsidRDefault="00E61186" w:rsidP="00E61186">
      <w:pPr>
        <w:rPr>
          <w:rFonts w:cs="Arial"/>
          <w:sz w:val="20"/>
          <w:szCs w:val="20"/>
        </w:rPr>
      </w:pPr>
      <w:r w:rsidRPr="00E61186">
        <w:rPr>
          <w:rFonts w:cs="Arial"/>
          <w:sz w:val="20"/>
          <w:szCs w:val="20"/>
        </w:rPr>
        <w:t xml:space="preserve">Dodržení metodiky je vyžadováno při tvorbě nového webu ministerstva. Spuštění webu je plánované na první polovinu tohoto </w:t>
      </w:r>
      <w:r w:rsidRPr="0026573F">
        <w:rPr>
          <w:rFonts w:cs="Arial"/>
          <w:sz w:val="20"/>
          <w:szCs w:val="20"/>
        </w:rPr>
        <w:t>roku. MŽP žádá o posun termínu.</w:t>
      </w:r>
    </w:p>
    <w:p w14:paraId="0F7CA2A8" w14:textId="5E0B018C" w:rsidR="0046521E" w:rsidRPr="00416148" w:rsidRDefault="0046521E" w:rsidP="00E61186">
      <w:pPr>
        <w:rPr>
          <w:rFonts w:cs="Arial"/>
          <w:b/>
          <w:bCs/>
          <w:sz w:val="20"/>
          <w:szCs w:val="20"/>
          <w:lang w:eastAsia="cs-CZ"/>
        </w:rPr>
      </w:pPr>
      <w:r w:rsidRPr="0026573F">
        <w:rPr>
          <w:rFonts w:cs="Arial"/>
          <w:b/>
          <w:bCs/>
          <w:sz w:val="20"/>
          <w:szCs w:val="20"/>
          <w:lang w:eastAsia="cs-CZ"/>
        </w:rPr>
        <w:t>STANOVISKO K PLNĚNÍ:</w:t>
      </w:r>
      <w:r w:rsidRPr="0026573F">
        <w:rPr>
          <w:rFonts w:cs="Arial"/>
          <w:b/>
          <w:sz w:val="20"/>
          <w:szCs w:val="20"/>
        </w:rPr>
        <w:t xml:space="preserve"> </w:t>
      </w:r>
      <w:r w:rsidR="00E61186" w:rsidRPr="0026573F">
        <w:rPr>
          <w:rFonts w:cs="Arial"/>
          <w:b/>
          <w:sz w:val="20"/>
          <w:szCs w:val="20"/>
        </w:rPr>
        <w:t xml:space="preserve">Nesplněno. Navržen posun termínu do </w:t>
      </w:r>
      <w:proofErr w:type="gramStart"/>
      <w:r w:rsidR="00E61186" w:rsidRPr="0026573F">
        <w:rPr>
          <w:rFonts w:cs="Arial"/>
          <w:b/>
          <w:sz w:val="20"/>
          <w:szCs w:val="20"/>
        </w:rPr>
        <w:t>31.12.2024</w:t>
      </w:r>
      <w:proofErr w:type="gramEnd"/>
      <w:r w:rsidR="00E61186" w:rsidRPr="0026573F">
        <w:rPr>
          <w:rFonts w:cs="Arial"/>
          <w:b/>
          <w:sz w:val="20"/>
          <w:szCs w:val="20"/>
        </w:rPr>
        <w:t>.</w:t>
      </w:r>
    </w:p>
    <w:p w14:paraId="6B96A198" w14:textId="2048E2E0" w:rsidR="000E7339" w:rsidRDefault="000E7339" w:rsidP="00003590">
      <w:pPr>
        <w:rPr>
          <w:rFonts w:cs="Arial"/>
          <w:bCs/>
          <w:sz w:val="20"/>
          <w:szCs w:val="20"/>
        </w:rPr>
      </w:pPr>
    </w:p>
    <w:p w14:paraId="2C82DCFE" w14:textId="77777777" w:rsidR="000F1090" w:rsidRPr="00B67FF9" w:rsidRDefault="000F1090" w:rsidP="000F1090">
      <w:pPr>
        <w:rPr>
          <w:rFonts w:cs="Arial"/>
          <w:szCs w:val="20"/>
        </w:rPr>
      </w:pPr>
      <w:r w:rsidRPr="00B67FF9">
        <w:rPr>
          <w:rFonts w:cs="Arial"/>
          <w:bCs/>
          <w:szCs w:val="20"/>
        </w:rPr>
        <w:t xml:space="preserve">Opatření </w:t>
      </w:r>
      <w:r>
        <w:rPr>
          <w:rFonts w:cs="Arial"/>
          <w:szCs w:val="20"/>
        </w:rPr>
        <w:t>3.3</w:t>
      </w:r>
      <w:r w:rsidRPr="00B67FF9">
        <w:rPr>
          <w:rFonts w:cs="Arial"/>
          <w:szCs w:val="20"/>
        </w:rPr>
        <w:t>.</w:t>
      </w:r>
      <w:r>
        <w:rPr>
          <w:rFonts w:cs="Arial"/>
          <w:szCs w:val="20"/>
        </w:rPr>
        <w:t>5</w:t>
      </w:r>
      <w:r w:rsidRPr="00B67FF9">
        <w:rPr>
          <w:rFonts w:cs="Arial"/>
          <w:szCs w:val="20"/>
        </w:rPr>
        <w:t xml:space="preserve"> Zajistit publikaci základních karet u vybraných agend dle vzorů Metodiky Easy-to-read a piktogramických karet pro klienty.</w:t>
      </w:r>
    </w:p>
    <w:p w14:paraId="3364BDE9" w14:textId="77777777" w:rsidR="000F1090" w:rsidRPr="00B67FF9" w:rsidRDefault="000F1090" w:rsidP="000F1090">
      <w:pPr>
        <w:rPr>
          <w:rFonts w:cs="Arial"/>
          <w:szCs w:val="20"/>
        </w:rPr>
      </w:pPr>
      <w:r>
        <w:rPr>
          <w:rFonts w:cs="Arial"/>
          <w:szCs w:val="20"/>
        </w:rPr>
        <w:t xml:space="preserve">Termín: </w:t>
      </w:r>
      <w:proofErr w:type="gramStart"/>
      <w:r>
        <w:rPr>
          <w:rFonts w:cs="Arial"/>
          <w:szCs w:val="20"/>
        </w:rPr>
        <w:t>31.12.</w:t>
      </w:r>
      <w:r w:rsidRPr="00B67FF9">
        <w:rPr>
          <w:rFonts w:cs="Arial"/>
          <w:szCs w:val="20"/>
        </w:rPr>
        <w:t>2023</w:t>
      </w:r>
      <w:proofErr w:type="gramEnd"/>
    </w:p>
    <w:p w14:paraId="3AD671FB" w14:textId="77777777" w:rsidR="000F1090" w:rsidRPr="00B67FF9" w:rsidRDefault="000F1090" w:rsidP="00A0530A">
      <w:pPr>
        <w:rPr>
          <w:rFonts w:cs="Arial"/>
          <w:szCs w:val="20"/>
        </w:rPr>
      </w:pPr>
      <w:r w:rsidRPr="00B67FF9">
        <w:rPr>
          <w:rFonts w:cs="Arial"/>
          <w:szCs w:val="20"/>
        </w:rPr>
        <w:t>Gestor: všechny resorty</w:t>
      </w:r>
      <w:r>
        <w:rPr>
          <w:rFonts w:cs="Arial"/>
          <w:szCs w:val="20"/>
        </w:rPr>
        <w:t>, ÚV</w:t>
      </w:r>
    </w:p>
    <w:p w14:paraId="4FDF77F5" w14:textId="6862AE05" w:rsidR="000F1090" w:rsidRDefault="000F1090" w:rsidP="00A0530A">
      <w:pPr>
        <w:rPr>
          <w:rFonts w:cs="Arial"/>
          <w:szCs w:val="20"/>
        </w:rPr>
      </w:pPr>
      <w:r>
        <w:rPr>
          <w:rFonts w:cs="Arial"/>
          <w:szCs w:val="20"/>
        </w:rPr>
        <w:t>Indikátor: Základní karty jsou publikovány.</w:t>
      </w:r>
    </w:p>
    <w:p w14:paraId="2CBAE370" w14:textId="77777777" w:rsidR="00A0530A" w:rsidRDefault="00A0530A" w:rsidP="00A0530A">
      <w:pPr>
        <w:rPr>
          <w:rFonts w:cs="Arial"/>
          <w:szCs w:val="20"/>
        </w:rPr>
      </w:pPr>
    </w:p>
    <w:p w14:paraId="60C88A6D" w14:textId="35B8010F" w:rsidR="00626AA9" w:rsidRPr="009B1D34" w:rsidRDefault="00626AA9" w:rsidP="00626AA9">
      <w:pPr>
        <w:tabs>
          <w:tab w:val="left" w:pos="720"/>
        </w:tabs>
        <w:rPr>
          <w:rFonts w:cs="Arial"/>
          <w:b/>
          <w:bCs/>
          <w:sz w:val="20"/>
          <w:szCs w:val="20"/>
          <w:lang w:eastAsia="cs-CZ"/>
        </w:rPr>
      </w:pPr>
      <w:r w:rsidRPr="009B1D34">
        <w:rPr>
          <w:rFonts w:cs="Arial"/>
          <w:b/>
          <w:bCs/>
          <w:sz w:val="20"/>
          <w:szCs w:val="20"/>
          <w:lang w:eastAsia="cs-CZ"/>
        </w:rPr>
        <w:t>PLNĚNÍ MD:</w:t>
      </w:r>
    </w:p>
    <w:p w14:paraId="6F0D6DAB" w14:textId="483FB6D2" w:rsidR="00A0530A" w:rsidRPr="009B1D34" w:rsidRDefault="00A0530A" w:rsidP="00A0530A">
      <w:pPr>
        <w:rPr>
          <w:rFonts w:cs="Arial"/>
          <w:sz w:val="20"/>
          <w:szCs w:val="20"/>
        </w:rPr>
      </w:pPr>
      <w:r w:rsidRPr="009B1D34">
        <w:rPr>
          <w:rFonts w:cs="Arial"/>
          <w:sz w:val="20"/>
          <w:szCs w:val="20"/>
        </w:rPr>
        <w:t xml:space="preserve">Karty vybraných agend jsou splněny podobou životních situací na webu MD </w:t>
      </w:r>
      <w:hyperlink r:id="rId65" w:history="1">
        <w:r w:rsidRPr="009B1D34">
          <w:rPr>
            <w:rStyle w:val="Hypertextovodkaz"/>
            <w:rFonts w:cs="Arial"/>
            <w:sz w:val="20"/>
            <w:szCs w:val="20"/>
          </w:rPr>
          <w:t>https://www.mdcr.cz/Zivotni-situace</w:t>
        </w:r>
      </w:hyperlink>
      <w:r w:rsidRPr="009B1D34">
        <w:rPr>
          <w:rFonts w:cs="Arial"/>
          <w:sz w:val="20"/>
          <w:szCs w:val="20"/>
        </w:rPr>
        <w:t>.</w:t>
      </w:r>
    </w:p>
    <w:p w14:paraId="08736765" w14:textId="110458E1" w:rsidR="00626AA9" w:rsidRPr="00D91018" w:rsidRDefault="00626AA9" w:rsidP="00626AA9">
      <w:pPr>
        <w:keepNext/>
        <w:tabs>
          <w:tab w:val="left" w:pos="720"/>
        </w:tabs>
        <w:rPr>
          <w:rFonts w:cs="Arial"/>
          <w:b/>
          <w:bCs/>
          <w:sz w:val="20"/>
          <w:szCs w:val="20"/>
          <w:lang w:eastAsia="cs-CZ"/>
        </w:rPr>
      </w:pPr>
      <w:r w:rsidRPr="00D91018">
        <w:rPr>
          <w:rFonts w:cs="Arial"/>
          <w:b/>
          <w:bCs/>
          <w:sz w:val="20"/>
          <w:szCs w:val="20"/>
          <w:lang w:eastAsia="cs-CZ"/>
        </w:rPr>
        <w:t>STANOVISKO K </w:t>
      </w:r>
      <w:r w:rsidRPr="000270A3">
        <w:rPr>
          <w:rFonts w:cs="Arial"/>
          <w:b/>
          <w:bCs/>
          <w:sz w:val="20"/>
          <w:szCs w:val="20"/>
          <w:lang w:eastAsia="cs-CZ"/>
        </w:rPr>
        <w:t xml:space="preserve">PLNĚNÍ: </w:t>
      </w:r>
      <w:r w:rsidR="00CD6319" w:rsidRPr="000270A3">
        <w:rPr>
          <w:rFonts w:cs="Arial"/>
          <w:b/>
          <w:bCs/>
          <w:sz w:val="20"/>
          <w:szCs w:val="20"/>
          <w:lang w:eastAsia="cs-CZ"/>
        </w:rPr>
        <w:t>Sp</w:t>
      </w:r>
      <w:r w:rsidRPr="000270A3">
        <w:rPr>
          <w:rFonts w:cs="Arial"/>
          <w:b/>
          <w:bCs/>
          <w:sz w:val="20"/>
          <w:szCs w:val="20"/>
          <w:lang w:eastAsia="cs-CZ"/>
        </w:rPr>
        <w:t>lněno.</w:t>
      </w:r>
    </w:p>
    <w:p w14:paraId="4E524177" w14:textId="77777777" w:rsidR="00626AA9" w:rsidRPr="00D91018" w:rsidRDefault="00626AA9" w:rsidP="00626AA9">
      <w:pPr>
        <w:tabs>
          <w:tab w:val="left" w:pos="720"/>
        </w:tabs>
        <w:rPr>
          <w:rFonts w:cs="Arial"/>
          <w:b/>
          <w:bCs/>
          <w:sz w:val="20"/>
          <w:szCs w:val="20"/>
          <w:lang w:eastAsia="cs-CZ"/>
        </w:rPr>
      </w:pPr>
    </w:p>
    <w:p w14:paraId="44A65FC7" w14:textId="286C71E2" w:rsidR="00626AA9" w:rsidRPr="00A354B3" w:rsidRDefault="00626AA9" w:rsidP="00A354B3">
      <w:pPr>
        <w:tabs>
          <w:tab w:val="left" w:pos="720"/>
        </w:tabs>
        <w:rPr>
          <w:rFonts w:cs="Arial"/>
          <w:b/>
          <w:bCs/>
          <w:sz w:val="20"/>
          <w:szCs w:val="20"/>
          <w:lang w:eastAsia="cs-CZ"/>
        </w:rPr>
      </w:pPr>
      <w:r w:rsidRPr="00A354B3">
        <w:rPr>
          <w:rFonts w:cs="Arial"/>
          <w:b/>
          <w:bCs/>
          <w:sz w:val="20"/>
          <w:szCs w:val="20"/>
          <w:lang w:eastAsia="cs-CZ"/>
        </w:rPr>
        <w:t>PLNĚNÍ MF:</w:t>
      </w:r>
    </w:p>
    <w:p w14:paraId="455B0389" w14:textId="77777777" w:rsidR="00A354B3" w:rsidRPr="00A354B3" w:rsidRDefault="00A354B3" w:rsidP="00A354B3">
      <w:pPr>
        <w:rPr>
          <w:rFonts w:cs="Arial"/>
          <w:sz w:val="20"/>
          <w:szCs w:val="20"/>
        </w:rPr>
      </w:pPr>
      <w:r w:rsidRPr="00A354B3">
        <w:rPr>
          <w:rFonts w:cs="Arial"/>
          <w:sz w:val="20"/>
          <w:szCs w:val="20"/>
        </w:rPr>
        <w:lastRenderedPageBreak/>
        <w:t xml:space="preserve">Opatření je splněno v souladu se zadaným termínem  31. prosince 2023. Informace o gesci a agendách zpracované dle metodiky Easy-to-read jsou zveřejněny jak na příslušných webových stránkách, tak na Portálu veřejné správy. </w:t>
      </w:r>
    </w:p>
    <w:p w14:paraId="6359BA86" w14:textId="4D7C8490" w:rsidR="00A354B3" w:rsidRPr="00A354B3" w:rsidRDefault="00A354B3" w:rsidP="00A354B3">
      <w:pPr>
        <w:rPr>
          <w:rFonts w:cs="Arial"/>
          <w:sz w:val="20"/>
          <w:szCs w:val="20"/>
        </w:rPr>
      </w:pPr>
      <w:r w:rsidRPr="00A354B3">
        <w:rPr>
          <w:rFonts w:cs="Arial"/>
          <w:sz w:val="20"/>
          <w:szCs w:val="20"/>
        </w:rPr>
        <w:t xml:space="preserve">Vzhledem k širokému spektru činností, kterými se zabývá Finanční správa České republiky, bylo v rámci výše uvedeného opatření cíleno na základní agendu, jež je prvotně s Finanční správou České republiky spojena – správa daní, protože ve věci placení daní, a to s žádostmi o informace k podání aj., se na finanční ředitelství veřejnost nejvíce obrací. K tomuto účelu byla zřízena samostatná stránka na internetu Finanční správy České republiky </w:t>
      </w:r>
      <w:hyperlink r:id="rId66" w:history="1">
        <w:r w:rsidRPr="00A354B3">
          <w:rPr>
            <w:rStyle w:val="Hypertextovodkaz"/>
            <w:sz w:val="20"/>
            <w:szCs w:val="20"/>
          </w:rPr>
          <w:t>„Snadné čtení“</w:t>
        </w:r>
      </w:hyperlink>
      <w:r w:rsidRPr="00A354B3">
        <w:rPr>
          <w:rFonts w:cs="Arial"/>
          <w:sz w:val="20"/>
          <w:szCs w:val="20"/>
        </w:rPr>
        <w:t>, označená specifickým piktogramem, kde jsou obecné informace o činnosti Finanční správy České republiky a odkazy, které uživatele navedou na Základní karty. Ty jsou v podobě dokumentů PDF popisujících problematiku konkrétní daně jednoduše a srozumitelně, včetně doporučení, jak postupovat, kam se obrátit a kde najít formulář. Karty jsou průběžně revidovány, aktualizovány. V čase jejich</w:t>
      </w:r>
      <w:r w:rsidRPr="00A354B3">
        <w:rPr>
          <w:rFonts w:cs="Arial"/>
          <w:i/>
          <w:sz w:val="20"/>
          <w:szCs w:val="20"/>
        </w:rPr>
        <w:t xml:space="preserve"> </w:t>
      </w:r>
      <w:r w:rsidRPr="00A354B3">
        <w:rPr>
          <w:rFonts w:cs="Arial"/>
          <w:sz w:val="20"/>
          <w:szCs w:val="20"/>
        </w:rPr>
        <w:t xml:space="preserve">dočasného sejmutí je uživatel o této skutečnosti informován (přímo u konkrétní karty) s možností přesměrování na další dostupné informace. </w:t>
      </w:r>
    </w:p>
    <w:p w14:paraId="3DB51E33" w14:textId="51DA97B0" w:rsidR="00626AA9" w:rsidRPr="00A354B3" w:rsidRDefault="00626AA9" w:rsidP="00A354B3">
      <w:pPr>
        <w:keepNext/>
        <w:tabs>
          <w:tab w:val="left" w:pos="720"/>
        </w:tabs>
        <w:rPr>
          <w:rFonts w:cs="Arial"/>
          <w:b/>
          <w:bCs/>
          <w:sz w:val="20"/>
          <w:szCs w:val="20"/>
          <w:lang w:eastAsia="cs-CZ"/>
        </w:rPr>
      </w:pPr>
      <w:r w:rsidRPr="00A354B3">
        <w:rPr>
          <w:rFonts w:cs="Arial"/>
          <w:b/>
          <w:bCs/>
          <w:sz w:val="20"/>
          <w:szCs w:val="20"/>
          <w:lang w:eastAsia="cs-CZ"/>
        </w:rPr>
        <w:t xml:space="preserve">STANOVISKO K PLNĚNÍ: </w:t>
      </w:r>
      <w:r w:rsidR="00B810D2">
        <w:rPr>
          <w:rFonts w:cs="Arial"/>
          <w:b/>
          <w:bCs/>
          <w:sz w:val="20"/>
          <w:szCs w:val="20"/>
          <w:lang w:eastAsia="cs-CZ"/>
        </w:rPr>
        <w:t>Sp</w:t>
      </w:r>
      <w:r w:rsidRPr="00A354B3">
        <w:rPr>
          <w:rFonts w:cs="Arial"/>
          <w:b/>
          <w:bCs/>
          <w:sz w:val="20"/>
          <w:szCs w:val="20"/>
          <w:lang w:eastAsia="cs-CZ"/>
        </w:rPr>
        <w:t>lněno.</w:t>
      </w:r>
    </w:p>
    <w:p w14:paraId="68545A40" w14:textId="77777777" w:rsidR="00626AA9" w:rsidRPr="00D91018" w:rsidRDefault="00626AA9" w:rsidP="00626AA9">
      <w:pPr>
        <w:rPr>
          <w:rFonts w:cs="Arial"/>
          <w:sz w:val="20"/>
          <w:szCs w:val="20"/>
        </w:rPr>
      </w:pPr>
    </w:p>
    <w:p w14:paraId="07172D48" w14:textId="6C222322" w:rsidR="00626AA9" w:rsidRPr="000A632A" w:rsidRDefault="00626AA9" w:rsidP="000A632A">
      <w:pPr>
        <w:tabs>
          <w:tab w:val="left" w:pos="720"/>
        </w:tabs>
        <w:rPr>
          <w:rFonts w:cs="Arial"/>
          <w:b/>
          <w:bCs/>
          <w:sz w:val="20"/>
          <w:szCs w:val="20"/>
          <w:lang w:eastAsia="cs-CZ"/>
        </w:rPr>
      </w:pPr>
      <w:r w:rsidRPr="000A632A">
        <w:rPr>
          <w:rFonts w:cs="Arial"/>
          <w:b/>
          <w:bCs/>
          <w:sz w:val="20"/>
          <w:szCs w:val="20"/>
          <w:lang w:eastAsia="cs-CZ"/>
        </w:rPr>
        <w:t>PLNĚNÍ MK:</w:t>
      </w:r>
    </w:p>
    <w:p w14:paraId="10D644E1" w14:textId="77777777" w:rsidR="000A632A" w:rsidRPr="000A632A" w:rsidRDefault="000A632A" w:rsidP="000A632A">
      <w:pPr>
        <w:rPr>
          <w:rFonts w:eastAsia="Calibri"/>
          <w:sz w:val="20"/>
          <w:szCs w:val="20"/>
        </w:rPr>
      </w:pPr>
      <w:r w:rsidRPr="000A632A">
        <w:rPr>
          <w:rFonts w:eastAsia="Calibri"/>
          <w:sz w:val="20"/>
          <w:szCs w:val="20"/>
        </w:rPr>
        <w:t xml:space="preserve">MK: </w:t>
      </w:r>
      <w:hyperlink r:id="rId67" w:history="1">
        <w:r w:rsidRPr="000A632A">
          <w:rPr>
            <w:rFonts w:eastAsia="Calibri"/>
            <w:color w:val="0563C1"/>
            <w:sz w:val="20"/>
            <w:szCs w:val="20"/>
            <w:u w:val="single"/>
          </w:rPr>
          <w:t>Působnost ministerstva Informace ve snadném čtení | mkcr.cz (gov.cz)</w:t>
        </w:r>
      </w:hyperlink>
    </w:p>
    <w:p w14:paraId="4435E7EB" w14:textId="7680C29E" w:rsidR="000A632A" w:rsidRPr="000A632A" w:rsidRDefault="000A632A" w:rsidP="000A632A">
      <w:pPr>
        <w:rPr>
          <w:rFonts w:eastAsia="Calibri"/>
          <w:sz w:val="20"/>
          <w:szCs w:val="20"/>
        </w:rPr>
      </w:pPr>
      <w:r w:rsidRPr="000A632A">
        <w:rPr>
          <w:rFonts w:eastAsia="Calibri"/>
          <w:bCs/>
          <w:sz w:val="20"/>
          <w:szCs w:val="20"/>
        </w:rPr>
        <w:t>Příspěvkové organizace</w:t>
      </w:r>
      <w:r>
        <w:rPr>
          <w:rFonts w:eastAsia="Calibri"/>
          <w:bCs/>
          <w:sz w:val="20"/>
          <w:szCs w:val="20"/>
        </w:rPr>
        <w:t xml:space="preserve"> MK také publikovaly základní karty, například</w:t>
      </w:r>
      <w:r w:rsidRPr="000A632A">
        <w:rPr>
          <w:rFonts w:eastAsia="Calibri"/>
          <w:bCs/>
          <w:sz w:val="20"/>
          <w:szCs w:val="20"/>
        </w:rPr>
        <w:t>:</w:t>
      </w:r>
    </w:p>
    <w:p w14:paraId="630EEDF9" w14:textId="77777777" w:rsidR="000A632A" w:rsidRPr="000A632A" w:rsidRDefault="000A632A" w:rsidP="000A632A">
      <w:pPr>
        <w:rPr>
          <w:rFonts w:eastAsia="Calibri"/>
          <w:sz w:val="20"/>
          <w:szCs w:val="20"/>
        </w:rPr>
      </w:pPr>
      <w:r w:rsidRPr="000A632A">
        <w:rPr>
          <w:rFonts w:eastAsia="Calibri"/>
          <w:sz w:val="20"/>
          <w:szCs w:val="20"/>
        </w:rPr>
        <w:t>NPÚ:</w:t>
      </w:r>
      <w:r w:rsidRPr="000A632A">
        <w:rPr>
          <w:rFonts w:eastAsia="Calibri"/>
          <w:b/>
          <w:sz w:val="20"/>
          <w:szCs w:val="20"/>
        </w:rPr>
        <w:t xml:space="preserve"> </w:t>
      </w:r>
      <w:hyperlink r:id="rId68" w:history="1">
        <w:r w:rsidRPr="000A632A">
          <w:rPr>
            <w:rFonts w:eastAsia="Calibri"/>
            <w:color w:val="0563C1"/>
            <w:sz w:val="20"/>
            <w:szCs w:val="20"/>
            <w:u w:val="single"/>
          </w:rPr>
          <w:t>https://www.npu.cz/cs/hrady-a-zamky/pristup-pro-handicapovane</w:t>
        </w:r>
      </w:hyperlink>
      <w:r w:rsidRPr="000A632A">
        <w:rPr>
          <w:rFonts w:eastAsia="Calibri"/>
          <w:sz w:val="20"/>
          <w:szCs w:val="20"/>
        </w:rPr>
        <w:t xml:space="preserve"> </w:t>
      </w:r>
    </w:p>
    <w:p w14:paraId="4ECC4DDC" w14:textId="77777777" w:rsidR="000A632A" w:rsidRPr="000A632A" w:rsidRDefault="000A632A" w:rsidP="000A632A">
      <w:pPr>
        <w:rPr>
          <w:rFonts w:eastAsia="Calibri"/>
          <w:sz w:val="20"/>
          <w:szCs w:val="20"/>
        </w:rPr>
      </w:pPr>
      <w:r w:rsidRPr="000A632A">
        <w:rPr>
          <w:rFonts w:eastAsia="Calibri"/>
          <w:sz w:val="20"/>
          <w:szCs w:val="20"/>
        </w:rPr>
        <w:t>Jednotlivé objekty mají piktogramicky a písemnou formou zveřejněné informace o dostupnosti.</w:t>
      </w:r>
    </w:p>
    <w:p w14:paraId="0ED3DA0D" w14:textId="77777777" w:rsidR="000A632A" w:rsidRPr="000A632A" w:rsidRDefault="000A632A" w:rsidP="000A632A">
      <w:pPr>
        <w:rPr>
          <w:rFonts w:eastAsia="Calibri"/>
          <w:sz w:val="20"/>
          <w:szCs w:val="20"/>
        </w:rPr>
      </w:pPr>
      <w:r w:rsidRPr="000A632A">
        <w:rPr>
          <w:rFonts w:eastAsia="Calibri"/>
          <w:sz w:val="20"/>
          <w:szCs w:val="20"/>
        </w:rPr>
        <w:t xml:space="preserve">NIPOS: </w:t>
      </w:r>
      <w:hyperlink r:id="rId69" w:history="1">
        <w:r w:rsidRPr="000A632A">
          <w:rPr>
            <w:rFonts w:eastAsia="Calibri"/>
            <w:color w:val="0563C1"/>
            <w:sz w:val="20"/>
            <w:szCs w:val="20"/>
            <w:u w:val="single"/>
          </w:rPr>
          <w:t>https://www.nipos.cz/nipos-etr/</w:t>
        </w:r>
      </w:hyperlink>
    </w:p>
    <w:p w14:paraId="7060D220" w14:textId="2F5451A0" w:rsidR="000A632A" w:rsidRPr="000A632A" w:rsidRDefault="000A632A" w:rsidP="000A632A">
      <w:pPr>
        <w:rPr>
          <w:rFonts w:eastAsia="Calibri"/>
          <w:color w:val="0070C0"/>
          <w:sz w:val="20"/>
          <w:szCs w:val="20"/>
        </w:rPr>
      </w:pPr>
      <w:r w:rsidRPr="000A632A">
        <w:rPr>
          <w:rFonts w:eastAsia="Calibri"/>
          <w:bCs/>
          <w:sz w:val="20"/>
          <w:szCs w:val="20"/>
        </w:rPr>
        <w:t xml:space="preserve">Národní muzeum (NM): </w:t>
      </w:r>
      <w:hyperlink r:id="rId70" w:history="1">
        <w:r w:rsidRPr="000A632A">
          <w:rPr>
            <w:rFonts w:eastAsia="Calibri"/>
            <w:color w:val="0563C1"/>
            <w:sz w:val="20"/>
            <w:szCs w:val="20"/>
            <w:u w:val="single"/>
          </w:rPr>
          <w:t>https://www.nm.cz/navstivte-nas/narodni-muzeum-bez-barier/informace-dle-metodiky-snadneho-cteni</w:t>
        </w:r>
      </w:hyperlink>
      <w:r w:rsidR="006A2BCD">
        <w:rPr>
          <w:rFonts w:eastAsia="Calibri"/>
          <w:color w:val="0563C1"/>
          <w:sz w:val="20"/>
          <w:szCs w:val="20"/>
          <w:u w:val="single"/>
        </w:rPr>
        <w:t>.</w:t>
      </w:r>
    </w:p>
    <w:p w14:paraId="1F30E971" w14:textId="3D924FC5" w:rsidR="00626AA9" w:rsidRPr="00A44CDD" w:rsidRDefault="008B2905" w:rsidP="00626AA9">
      <w:pPr>
        <w:rPr>
          <w:rFonts w:cs="Arial"/>
          <w:sz w:val="20"/>
          <w:szCs w:val="20"/>
        </w:rPr>
      </w:pPr>
      <w:r>
        <w:rPr>
          <w:rFonts w:cs="Arial"/>
          <w:b/>
          <w:bCs/>
          <w:sz w:val="20"/>
          <w:szCs w:val="20"/>
          <w:lang w:eastAsia="cs-CZ"/>
        </w:rPr>
        <w:t>STANOVISKO K PLNĚNÍ: Sp</w:t>
      </w:r>
      <w:r w:rsidR="00626AA9" w:rsidRPr="00A44CDD">
        <w:rPr>
          <w:rFonts w:cs="Arial"/>
          <w:b/>
          <w:bCs/>
          <w:sz w:val="20"/>
          <w:szCs w:val="20"/>
          <w:lang w:eastAsia="cs-CZ"/>
        </w:rPr>
        <w:t>lněno.</w:t>
      </w:r>
    </w:p>
    <w:p w14:paraId="32785610" w14:textId="77777777" w:rsidR="00626AA9" w:rsidRPr="00A44CDD" w:rsidRDefault="00626AA9" w:rsidP="00626AA9">
      <w:pPr>
        <w:tabs>
          <w:tab w:val="left" w:pos="720"/>
        </w:tabs>
        <w:rPr>
          <w:rFonts w:cs="Arial"/>
          <w:b/>
          <w:bCs/>
          <w:sz w:val="20"/>
          <w:szCs w:val="20"/>
          <w:lang w:eastAsia="cs-CZ"/>
        </w:rPr>
      </w:pPr>
    </w:p>
    <w:p w14:paraId="4D8A7EA0" w14:textId="5747E62E" w:rsidR="00626AA9" w:rsidRPr="007A1D51" w:rsidRDefault="00626AA9" w:rsidP="007A1D51">
      <w:pPr>
        <w:tabs>
          <w:tab w:val="left" w:pos="720"/>
        </w:tabs>
        <w:rPr>
          <w:rFonts w:cs="Arial"/>
          <w:b/>
          <w:bCs/>
          <w:sz w:val="20"/>
          <w:szCs w:val="20"/>
          <w:lang w:eastAsia="cs-CZ"/>
        </w:rPr>
      </w:pPr>
      <w:r w:rsidRPr="007A1D51">
        <w:rPr>
          <w:rFonts w:cs="Arial"/>
          <w:b/>
          <w:bCs/>
          <w:sz w:val="20"/>
          <w:szCs w:val="20"/>
          <w:lang w:eastAsia="cs-CZ"/>
        </w:rPr>
        <w:t>PLNĚNÍ MMR:</w:t>
      </w:r>
    </w:p>
    <w:p w14:paraId="38C29DEC" w14:textId="16E1EB4D" w:rsidR="007A1D51" w:rsidRPr="007A1D51" w:rsidRDefault="007A1D51" w:rsidP="007A1D51">
      <w:pPr>
        <w:rPr>
          <w:rFonts w:cs="Arial"/>
          <w:iCs/>
          <w:sz w:val="20"/>
          <w:szCs w:val="20"/>
        </w:rPr>
      </w:pPr>
      <w:r w:rsidRPr="007A1D51">
        <w:rPr>
          <w:rFonts w:cs="Arial"/>
          <w:iCs/>
          <w:sz w:val="20"/>
          <w:szCs w:val="20"/>
        </w:rPr>
        <w:t xml:space="preserve">Na internetových stránkách MMR je základní Easy to Read informace o MMR, zde: </w:t>
      </w:r>
      <w:hyperlink r:id="rId71" w:history="1">
        <w:r w:rsidRPr="007A1D51">
          <w:rPr>
            <w:rStyle w:val="Hypertextovodkaz"/>
            <w:iCs/>
            <w:sz w:val="20"/>
            <w:szCs w:val="20"/>
          </w:rPr>
          <w:t>https://mmr.gov.cz/cs/ministerstvo/snadne-cteni</w:t>
        </w:r>
      </w:hyperlink>
      <w:r w:rsidRPr="007A1D51">
        <w:rPr>
          <w:rFonts w:cs="Arial"/>
          <w:iCs/>
          <w:sz w:val="20"/>
          <w:szCs w:val="20"/>
        </w:rPr>
        <w:t xml:space="preserve">. </w:t>
      </w:r>
      <w:r w:rsidRPr="000270A3">
        <w:rPr>
          <w:rFonts w:cs="Arial"/>
          <w:iCs/>
          <w:sz w:val="20"/>
          <w:szCs w:val="20"/>
        </w:rPr>
        <w:t>Odkaz a ikona na ni se nacházejí </w:t>
      </w:r>
      <w:r w:rsidR="00BF18AF">
        <w:rPr>
          <w:rFonts w:cs="Arial"/>
          <w:iCs/>
          <w:sz w:val="20"/>
          <w:szCs w:val="20"/>
        </w:rPr>
        <w:t xml:space="preserve">na </w:t>
      </w:r>
      <w:r w:rsidRPr="000270A3">
        <w:rPr>
          <w:rFonts w:cs="Arial"/>
          <w:iCs/>
          <w:sz w:val="20"/>
          <w:szCs w:val="20"/>
        </w:rPr>
        <w:t>patičce webu.</w:t>
      </w:r>
    </w:p>
    <w:p w14:paraId="7C56680C" w14:textId="5CE675CF" w:rsidR="00A43B52" w:rsidRPr="007A1D51" w:rsidRDefault="007A1D51" w:rsidP="007A1D51">
      <w:pPr>
        <w:rPr>
          <w:rFonts w:cs="Arial"/>
          <w:iCs/>
          <w:sz w:val="20"/>
          <w:szCs w:val="20"/>
        </w:rPr>
      </w:pPr>
      <w:r w:rsidRPr="007A1D51">
        <w:rPr>
          <w:rFonts w:cs="Arial"/>
          <w:iCs/>
          <w:sz w:val="20"/>
          <w:szCs w:val="20"/>
        </w:rPr>
        <w:t>Piktogramické karty jsou součástí materiálu o přístupnosti objektů MMR, kterým je plněno opatření 2.1.3.</w:t>
      </w:r>
    </w:p>
    <w:p w14:paraId="55289FA8" w14:textId="0442D868" w:rsidR="00626AA9" w:rsidRPr="007A1D51" w:rsidRDefault="00626AA9" w:rsidP="007A1D51">
      <w:pPr>
        <w:keepNext/>
        <w:tabs>
          <w:tab w:val="left" w:pos="720"/>
        </w:tabs>
        <w:rPr>
          <w:rFonts w:cs="Arial"/>
          <w:b/>
          <w:bCs/>
          <w:sz w:val="20"/>
          <w:szCs w:val="20"/>
          <w:lang w:eastAsia="cs-CZ"/>
        </w:rPr>
      </w:pPr>
      <w:r w:rsidRPr="007A1D51">
        <w:rPr>
          <w:rFonts w:cs="Arial"/>
          <w:b/>
          <w:bCs/>
          <w:sz w:val="20"/>
          <w:szCs w:val="20"/>
          <w:lang w:eastAsia="cs-CZ"/>
        </w:rPr>
        <w:t>STANOVISKO K </w:t>
      </w:r>
      <w:r w:rsidRPr="000270A3">
        <w:rPr>
          <w:rFonts w:cs="Arial"/>
          <w:b/>
          <w:bCs/>
          <w:sz w:val="20"/>
          <w:szCs w:val="20"/>
          <w:lang w:eastAsia="cs-CZ"/>
        </w:rPr>
        <w:t xml:space="preserve">PLNĚNÍ: </w:t>
      </w:r>
      <w:r w:rsidR="00454DB4" w:rsidRPr="000270A3">
        <w:rPr>
          <w:rFonts w:cs="Arial"/>
          <w:b/>
          <w:bCs/>
          <w:sz w:val="20"/>
          <w:szCs w:val="20"/>
          <w:lang w:eastAsia="cs-CZ"/>
        </w:rPr>
        <w:t>Sp</w:t>
      </w:r>
      <w:r w:rsidRPr="000270A3">
        <w:rPr>
          <w:rFonts w:cs="Arial"/>
          <w:b/>
          <w:bCs/>
          <w:sz w:val="20"/>
          <w:szCs w:val="20"/>
          <w:lang w:eastAsia="cs-CZ"/>
        </w:rPr>
        <w:t>lněno.</w:t>
      </w:r>
    </w:p>
    <w:p w14:paraId="1281E094" w14:textId="77777777" w:rsidR="00626AA9" w:rsidRPr="00EF1E2F" w:rsidRDefault="00626AA9" w:rsidP="00EF1E2F">
      <w:pPr>
        <w:rPr>
          <w:rFonts w:cs="Arial"/>
          <w:sz w:val="20"/>
          <w:szCs w:val="20"/>
        </w:rPr>
      </w:pPr>
    </w:p>
    <w:p w14:paraId="1B913A80" w14:textId="2176025D" w:rsidR="00626AA9" w:rsidRPr="00EF1E2F" w:rsidRDefault="00626AA9" w:rsidP="00EF1E2F">
      <w:pPr>
        <w:tabs>
          <w:tab w:val="left" w:pos="720"/>
        </w:tabs>
        <w:rPr>
          <w:rFonts w:cs="Arial"/>
          <w:b/>
          <w:bCs/>
          <w:sz w:val="20"/>
          <w:szCs w:val="20"/>
          <w:lang w:eastAsia="cs-CZ"/>
        </w:rPr>
      </w:pPr>
      <w:r w:rsidRPr="00EF1E2F">
        <w:rPr>
          <w:rFonts w:cs="Arial"/>
          <w:b/>
          <w:bCs/>
          <w:sz w:val="20"/>
          <w:szCs w:val="20"/>
          <w:lang w:eastAsia="cs-CZ"/>
        </w:rPr>
        <w:t>PLNĚNÍ MO:</w:t>
      </w:r>
    </w:p>
    <w:p w14:paraId="47457995" w14:textId="5469192E" w:rsidR="00EF1E2F" w:rsidRPr="00EF1E2F" w:rsidRDefault="00EF1E2F" w:rsidP="00EF1E2F">
      <w:pPr>
        <w:rPr>
          <w:rFonts w:cs="Arial"/>
          <w:sz w:val="20"/>
          <w:szCs w:val="20"/>
        </w:rPr>
      </w:pPr>
      <w:r w:rsidRPr="00EF1E2F">
        <w:rPr>
          <w:rFonts w:cs="Arial"/>
          <w:sz w:val="20"/>
          <w:szCs w:val="20"/>
        </w:rPr>
        <w:t>Karty se základními informacemi o činnosti Ministerstva obrany ČR a jeho úkolech byly publikovány – viz vyhodnocení bodu 3.3.4. Přestože „klienty Ministerstva obra</w:t>
      </w:r>
      <w:r w:rsidR="00894AA9">
        <w:rPr>
          <w:rFonts w:cs="Arial"/>
          <w:sz w:val="20"/>
          <w:szCs w:val="20"/>
        </w:rPr>
        <w:t>ny ČR“ jsou především zájemci o </w:t>
      </w:r>
      <w:r w:rsidRPr="00EF1E2F">
        <w:rPr>
          <w:rFonts w:cs="Arial"/>
          <w:sz w:val="20"/>
          <w:szCs w:val="20"/>
        </w:rPr>
        <w:t>činnou službu, u kterých je zdravotní postižení vyloučeno, jsou na výše uvedených webových stránkách i na informačních brožurách využívány k vizuální prezentaci informací i piktogramy.</w:t>
      </w:r>
    </w:p>
    <w:p w14:paraId="2D7E04D6" w14:textId="35D42727" w:rsidR="00626AA9" w:rsidRPr="00EF1E2F" w:rsidRDefault="00626AA9" w:rsidP="00EF1E2F">
      <w:pPr>
        <w:keepNext/>
        <w:tabs>
          <w:tab w:val="left" w:pos="720"/>
        </w:tabs>
        <w:rPr>
          <w:rFonts w:cs="Arial"/>
          <w:sz w:val="20"/>
          <w:szCs w:val="20"/>
        </w:rPr>
      </w:pPr>
      <w:r w:rsidRPr="00687529">
        <w:rPr>
          <w:rFonts w:cs="Arial"/>
          <w:b/>
          <w:bCs/>
          <w:sz w:val="20"/>
          <w:szCs w:val="20"/>
          <w:lang w:eastAsia="cs-CZ"/>
        </w:rPr>
        <w:t xml:space="preserve">STANOVISKO K PLNĚNÍ: </w:t>
      </w:r>
      <w:r w:rsidR="00BE387C" w:rsidRPr="00687529">
        <w:rPr>
          <w:rFonts w:cs="Arial"/>
          <w:b/>
          <w:bCs/>
          <w:sz w:val="20"/>
          <w:szCs w:val="20"/>
          <w:lang w:eastAsia="cs-CZ"/>
        </w:rPr>
        <w:t>S</w:t>
      </w:r>
      <w:r w:rsidR="00BE387C" w:rsidRPr="00687529">
        <w:rPr>
          <w:rFonts w:cs="Arial"/>
          <w:b/>
          <w:sz w:val="20"/>
          <w:szCs w:val="20"/>
        </w:rPr>
        <w:t>p</w:t>
      </w:r>
      <w:r w:rsidRPr="00687529">
        <w:rPr>
          <w:rFonts w:cs="Arial"/>
          <w:b/>
          <w:sz w:val="20"/>
          <w:szCs w:val="20"/>
        </w:rPr>
        <w:t>lněno.</w:t>
      </w:r>
    </w:p>
    <w:p w14:paraId="568C5265" w14:textId="77777777" w:rsidR="00626AA9" w:rsidRPr="00EF1E2F" w:rsidRDefault="00626AA9" w:rsidP="00EF1E2F">
      <w:pPr>
        <w:rPr>
          <w:rFonts w:cs="Arial"/>
          <w:sz w:val="20"/>
          <w:szCs w:val="20"/>
        </w:rPr>
      </w:pPr>
    </w:p>
    <w:p w14:paraId="6041BF8F" w14:textId="0BA237A4" w:rsidR="00626AA9" w:rsidRPr="00535038" w:rsidRDefault="00626AA9" w:rsidP="00535038">
      <w:pPr>
        <w:tabs>
          <w:tab w:val="left" w:pos="720"/>
        </w:tabs>
        <w:rPr>
          <w:rFonts w:cs="Arial"/>
          <w:b/>
          <w:bCs/>
          <w:sz w:val="20"/>
          <w:szCs w:val="20"/>
          <w:lang w:eastAsia="cs-CZ"/>
        </w:rPr>
      </w:pPr>
      <w:r w:rsidRPr="00535038">
        <w:rPr>
          <w:rFonts w:cs="Arial"/>
          <w:b/>
          <w:bCs/>
          <w:sz w:val="20"/>
          <w:szCs w:val="20"/>
          <w:lang w:eastAsia="cs-CZ"/>
        </w:rPr>
        <w:t>PLNĚNÍ MPO:</w:t>
      </w:r>
    </w:p>
    <w:p w14:paraId="693D4E57" w14:textId="023863B2" w:rsidR="00535038" w:rsidRPr="00535038" w:rsidRDefault="00535038" w:rsidP="00535038">
      <w:pPr>
        <w:rPr>
          <w:rFonts w:cs="Arial"/>
          <w:bCs/>
          <w:sz w:val="20"/>
          <w:szCs w:val="20"/>
        </w:rPr>
      </w:pPr>
      <w:r w:rsidRPr="00535038">
        <w:rPr>
          <w:rFonts w:cs="Arial"/>
          <w:bCs/>
          <w:sz w:val="20"/>
          <w:szCs w:val="20"/>
        </w:rPr>
        <w:t>Základní karty jsou publikovány na webu MPO:</w:t>
      </w:r>
      <w:r>
        <w:rPr>
          <w:rFonts w:cs="Arial"/>
          <w:bCs/>
          <w:sz w:val="20"/>
          <w:szCs w:val="20"/>
        </w:rPr>
        <w:t xml:space="preserve"> </w:t>
      </w:r>
      <w:hyperlink r:id="rId72" w:history="1">
        <w:r w:rsidRPr="00535038">
          <w:rPr>
            <w:rStyle w:val="Hypertextovodkaz"/>
            <w:rFonts w:cs="Arial"/>
            <w:bCs/>
            <w:sz w:val="20"/>
            <w:szCs w:val="20"/>
          </w:rPr>
          <w:t>https://www.mpo.cz/cz/rozcestnik/podpora-rovnych-prilezitosti-pro-ozp/o-ministerstvu-prumyslu-a-obchodu-ve-snadnem-cteni--279481/</w:t>
        </w:r>
      </w:hyperlink>
    </w:p>
    <w:p w14:paraId="555ECD1B" w14:textId="7916074E" w:rsidR="00626AA9" w:rsidRPr="00535038" w:rsidRDefault="00626AA9" w:rsidP="00535038">
      <w:pPr>
        <w:rPr>
          <w:rFonts w:cs="Arial"/>
          <w:b/>
          <w:sz w:val="20"/>
          <w:szCs w:val="20"/>
        </w:rPr>
      </w:pPr>
      <w:r w:rsidRPr="00535038">
        <w:rPr>
          <w:rFonts w:cs="Arial"/>
          <w:b/>
          <w:bCs/>
          <w:sz w:val="20"/>
          <w:szCs w:val="20"/>
          <w:lang w:eastAsia="cs-CZ"/>
        </w:rPr>
        <w:t xml:space="preserve">STANOVISKO K PLNĚNÍ: </w:t>
      </w:r>
      <w:r w:rsidR="00535038">
        <w:rPr>
          <w:rFonts w:cs="Arial"/>
          <w:b/>
          <w:sz w:val="20"/>
          <w:szCs w:val="20"/>
        </w:rPr>
        <w:t>Sp</w:t>
      </w:r>
      <w:r w:rsidRPr="00535038">
        <w:rPr>
          <w:rFonts w:cs="Arial"/>
          <w:b/>
          <w:sz w:val="20"/>
          <w:szCs w:val="20"/>
        </w:rPr>
        <w:t>lněno.</w:t>
      </w:r>
    </w:p>
    <w:p w14:paraId="30EF5DD3" w14:textId="77777777" w:rsidR="00626AA9" w:rsidRPr="0045711F" w:rsidRDefault="00626AA9" w:rsidP="00626AA9">
      <w:pPr>
        <w:rPr>
          <w:rFonts w:cs="Arial"/>
          <w:sz w:val="20"/>
          <w:szCs w:val="20"/>
        </w:rPr>
      </w:pPr>
    </w:p>
    <w:p w14:paraId="69EF3966" w14:textId="7D9BE030" w:rsidR="00626AA9" w:rsidRPr="0045711F" w:rsidRDefault="00626AA9" w:rsidP="00626AA9">
      <w:pPr>
        <w:keepNext/>
        <w:tabs>
          <w:tab w:val="left" w:pos="720"/>
        </w:tabs>
        <w:rPr>
          <w:rFonts w:cs="Arial"/>
          <w:b/>
          <w:bCs/>
          <w:sz w:val="20"/>
          <w:szCs w:val="20"/>
          <w:lang w:eastAsia="cs-CZ"/>
        </w:rPr>
      </w:pPr>
      <w:r w:rsidRPr="0045711F">
        <w:rPr>
          <w:rFonts w:cs="Arial"/>
          <w:b/>
          <w:bCs/>
          <w:sz w:val="20"/>
          <w:szCs w:val="20"/>
          <w:lang w:eastAsia="cs-CZ"/>
        </w:rPr>
        <w:lastRenderedPageBreak/>
        <w:t>PLNĚNÍ MPSV:</w:t>
      </w:r>
    </w:p>
    <w:p w14:paraId="128D33CE" w14:textId="77777777" w:rsidR="00BC06D3" w:rsidRPr="0045711F" w:rsidRDefault="00BC06D3" w:rsidP="00BC06D3">
      <w:pPr>
        <w:rPr>
          <w:rFonts w:cs="Arial"/>
          <w:sz w:val="20"/>
          <w:szCs w:val="20"/>
        </w:rPr>
      </w:pPr>
      <w:r w:rsidRPr="0045711F">
        <w:rPr>
          <w:rFonts w:cs="Arial"/>
          <w:sz w:val="20"/>
          <w:szCs w:val="20"/>
        </w:rPr>
        <w:t>Splněním opatření 3.3.4 považuje ČSSZ za splněné současně i opatření 3.3.5., protože publikované informace nejen o působnosti ČSSZ, ale i o všech životních situacích (které zahrnují všechny základní agendy ČSSZ) ve formátu „Snadně a přehledně“ obsahují také piktogramy a další grafické a vizuální prvky podporující snadné čtení a porozumění, plní tedy i funkci základních a piktogramových karet.</w:t>
      </w:r>
    </w:p>
    <w:p w14:paraId="5FF481E7" w14:textId="412F3C93" w:rsidR="00BC06D3" w:rsidRPr="0045711F" w:rsidRDefault="00BC06D3" w:rsidP="00BC06D3">
      <w:pPr>
        <w:rPr>
          <w:rFonts w:cs="Arial"/>
          <w:sz w:val="20"/>
          <w:szCs w:val="20"/>
        </w:rPr>
      </w:pPr>
      <w:r w:rsidRPr="0045711F">
        <w:rPr>
          <w:rFonts w:cs="Arial"/>
          <w:sz w:val="20"/>
          <w:szCs w:val="20"/>
        </w:rPr>
        <w:t>ČSSZ bude piktogramy nadále aktivně využívat při přípravě a aktualizaci informací a informačních/edukačních/osvětových materiálů pro klienty a v</w:t>
      </w:r>
      <w:r w:rsidR="00894AA9">
        <w:rPr>
          <w:rFonts w:cs="Arial"/>
          <w:sz w:val="20"/>
          <w:szCs w:val="20"/>
        </w:rPr>
        <w:t>ytvářet dle aktuálních potřeb a </w:t>
      </w:r>
      <w:r w:rsidRPr="0045711F">
        <w:rPr>
          <w:rFonts w:cs="Arial"/>
          <w:sz w:val="20"/>
          <w:szCs w:val="20"/>
        </w:rPr>
        <w:t>požadavků nové piktogramové karty.</w:t>
      </w:r>
    </w:p>
    <w:p w14:paraId="1979DE6A" w14:textId="7F91FCB6" w:rsidR="00626AA9" w:rsidRPr="0045711F" w:rsidRDefault="00626AA9" w:rsidP="00626AA9">
      <w:pPr>
        <w:keepNext/>
        <w:tabs>
          <w:tab w:val="left" w:pos="720"/>
        </w:tabs>
        <w:rPr>
          <w:rFonts w:cs="Arial"/>
          <w:b/>
          <w:bCs/>
          <w:sz w:val="20"/>
          <w:szCs w:val="20"/>
          <w:lang w:eastAsia="cs-CZ"/>
        </w:rPr>
      </w:pPr>
      <w:r w:rsidRPr="0045711F">
        <w:rPr>
          <w:rFonts w:cs="Arial"/>
          <w:b/>
          <w:bCs/>
          <w:sz w:val="20"/>
          <w:szCs w:val="20"/>
          <w:lang w:eastAsia="cs-CZ"/>
        </w:rPr>
        <w:t xml:space="preserve">STANOVISKO K PLNĚNÍ: </w:t>
      </w:r>
      <w:r w:rsidR="0045711F" w:rsidRPr="00F24127">
        <w:rPr>
          <w:rFonts w:cs="Arial"/>
          <w:b/>
          <w:bCs/>
          <w:sz w:val="20"/>
          <w:szCs w:val="20"/>
          <w:lang w:eastAsia="cs-CZ"/>
        </w:rPr>
        <w:t>Nes</w:t>
      </w:r>
      <w:r w:rsidR="0045711F" w:rsidRPr="00F24127">
        <w:rPr>
          <w:rFonts w:cs="Arial"/>
          <w:b/>
          <w:sz w:val="20"/>
          <w:szCs w:val="20"/>
        </w:rPr>
        <w:t>p</w:t>
      </w:r>
      <w:r w:rsidRPr="00F24127">
        <w:rPr>
          <w:rFonts w:cs="Arial"/>
          <w:b/>
          <w:sz w:val="20"/>
          <w:szCs w:val="20"/>
        </w:rPr>
        <w:t>lněno.</w:t>
      </w:r>
      <w:r w:rsidR="00645D1F" w:rsidRPr="00F24127">
        <w:rPr>
          <w:rFonts w:cs="Arial"/>
          <w:b/>
          <w:sz w:val="20"/>
          <w:szCs w:val="20"/>
        </w:rPr>
        <w:t xml:space="preserve"> Chybí MPSV a </w:t>
      </w:r>
      <w:r w:rsidR="0045711F" w:rsidRPr="00F24127">
        <w:rPr>
          <w:rFonts w:cs="Arial"/>
          <w:b/>
          <w:sz w:val="20"/>
          <w:szCs w:val="20"/>
        </w:rPr>
        <w:t>ÚP</w:t>
      </w:r>
      <w:r w:rsidR="00645D1F" w:rsidRPr="00F24127">
        <w:rPr>
          <w:rFonts w:cs="Arial"/>
          <w:b/>
          <w:sz w:val="20"/>
          <w:szCs w:val="20"/>
        </w:rPr>
        <w:t xml:space="preserve">. Navržen posun termínu do </w:t>
      </w:r>
      <w:proofErr w:type="gramStart"/>
      <w:r w:rsidR="00645D1F" w:rsidRPr="00F24127">
        <w:rPr>
          <w:rFonts w:cs="Arial"/>
          <w:b/>
          <w:sz w:val="20"/>
          <w:szCs w:val="20"/>
        </w:rPr>
        <w:t>31.12.2024</w:t>
      </w:r>
      <w:proofErr w:type="gramEnd"/>
      <w:r w:rsidR="00645D1F" w:rsidRPr="00F24127">
        <w:rPr>
          <w:rFonts w:cs="Arial"/>
          <w:b/>
          <w:sz w:val="20"/>
          <w:szCs w:val="20"/>
        </w:rPr>
        <w:t>.</w:t>
      </w:r>
    </w:p>
    <w:p w14:paraId="7356529C" w14:textId="77777777" w:rsidR="00626AA9" w:rsidRPr="0045711F" w:rsidRDefault="00626AA9" w:rsidP="00626AA9">
      <w:pPr>
        <w:rPr>
          <w:rFonts w:cs="Arial"/>
          <w:sz w:val="20"/>
          <w:szCs w:val="20"/>
        </w:rPr>
      </w:pPr>
    </w:p>
    <w:p w14:paraId="51AC1D29" w14:textId="68A11D6E" w:rsidR="00626AA9" w:rsidRPr="00F44D7F" w:rsidRDefault="00626AA9" w:rsidP="00F44D7F">
      <w:pPr>
        <w:tabs>
          <w:tab w:val="left" w:pos="720"/>
        </w:tabs>
        <w:rPr>
          <w:rFonts w:cs="Arial"/>
          <w:b/>
          <w:bCs/>
          <w:sz w:val="20"/>
          <w:szCs w:val="20"/>
          <w:lang w:eastAsia="cs-CZ"/>
        </w:rPr>
      </w:pPr>
      <w:r w:rsidRPr="00F44D7F">
        <w:rPr>
          <w:rFonts w:cs="Arial"/>
          <w:b/>
          <w:bCs/>
          <w:sz w:val="20"/>
          <w:szCs w:val="20"/>
          <w:lang w:eastAsia="cs-CZ"/>
        </w:rPr>
        <w:t>PLNĚNÍ MSp:</w:t>
      </w:r>
    </w:p>
    <w:p w14:paraId="07F2F715" w14:textId="552BBF3D" w:rsidR="00D1327F" w:rsidRPr="00F44D7F" w:rsidRDefault="00D1327F" w:rsidP="00F44D7F">
      <w:pPr>
        <w:rPr>
          <w:rFonts w:cs="Arial"/>
          <w:sz w:val="20"/>
          <w:szCs w:val="20"/>
        </w:rPr>
      </w:pPr>
      <w:r w:rsidRPr="00F44D7F">
        <w:rPr>
          <w:rFonts w:cs="Arial"/>
          <w:sz w:val="20"/>
          <w:szCs w:val="20"/>
        </w:rPr>
        <w:t xml:space="preserve">V návaznosti na opatření 3.3.4 MSp žádá o posunutí termínu do </w:t>
      </w:r>
      <w:proofErr w:type="gramStart"/>
      <w:r w:rsidRPr="00F44D7F">
        <w:rPr>
          <w:rFonts w:cs="Arial"/>
          <w:sz w:val="20"/>
          <w:szCs w:val="20"/>
        </w:rPr>
        <w:t>31.12.2024</w:t>
      </w:r>
      <w:proofErr w:type="gramEnd"/>
      <w:r w:rsidRPr="00F44D7F">
        <w:rPr>
          <w:rFonts w:cs="Arial"/>
          <w:sz w:val="20"/>
          <w:szCs w:val="20"/>
        </w:rPr>
        <w:t>.</w:t>
      </w:r>
    </w:p>
    <w:p w14:paraId="52E79CB6" w14:textId="35D60EEB" w:rsidR="00626AA9" w:rsidRPr="00F44D7F" w:rsidRDefault="00626AA9" w:rsidP="00F44D7F">
      <w:pPr>
        <w:keepNext/>
        <w:tabs>
          <w:tab w:val="left" w:pos="720"/>
        </w:tabs>
        <w:rPr>
          <w:rFonts w:cs="Arial"/>
          <w:b/>
          <w:bCs/>
          <w:sz w:val="20"/>
          <w:szCs w:val="20"/>
          <w:lang w:eastAsia="cs-CZ"/>
        </w:rPr>
      </w:pPr>
      <w:r w:rsidRPr="00F44D7F">
        <w:rPr>
          <w:rFonts w:cs="Arial"/>
          <w:b/>
          <w:bCs/>
          <w:sz w:val="20"/>
          <w:szCs w:val="20"/>
          <w:lang w:eastAsia="cs-CZ"/>
        </w:rPr>
        <w:t xml:space="preserve">STANOVISKO K PLNĚNÍ: </w:t>
      </w:r>
      <w:r w:rsidR="00D1327F" w:rsidRPr="00066EC8">
        <w:rPr>
          <w:rFonts w:cs="Arial"/>
          <w:b/>
          <w:bCs/>
          <w:sz w:val="20"/>
          <w:szCs w:val="20"/>
          <w:lang w:eastAsia="cs-CZ"/>
        </w:rPr>
        <w:t>Nes</w:t>
      </w:r>
      <w:r w:rsidR="00D1327F" w:rsidRPr="00066EC8">
        <w:rPr>
          <w:rFonts w:cs="Arial"/>
          <w:b/>
          <w:sz w:val="20"/>
          <w:szCs w:val="20"/>
        </w:rPr>
        <w:t>p</w:t>
      </w:r>
      <w:r w:rsidRPr="00066EC8">
        <w:rPr>
          <w:rFonts w:cs="Arial"/>
          <w:b/>
          <w:sz w:val="20"/>
          <w:szCs w:val="20"/>
        </w:rPr>
        <w:t>lněno.</w:t>
      </w:r>
      <w:r w:rsidR="00D1327F" w:rsidRPr="00066EC8">
        <w:rPr>
          <w:rFonts w:cs="Arial"/>
          <w:b/>
          <w:sz w:val="20"/>
          <w:szCs w:val="20"/>
        </w:rPr>
        <w:t xml:space="preserve"> Navržen posun termínu do </w:t>
      </w:r>
      <w:proofErr w:type="gramStart"/>
      <w:r w:rsidR="00D1327F" w:rsidRPr="00066EC8">
        <w:rPr>
          <w:rFonts w:cs="Arial"/>
          <w:b/>
          <w:sz w:val="20"/>
          <w:szCs w:val="20"/>
        </w:rPr>
        <w:t>31.12.2024</w:t>
      </w:r>
      <w:proofErr w:type="gramEnd"/>
      <w:r w:rsidR="00D1327F" w:rsidRPr="00066EC8">
        <w:rPr>
          <w:rFonts w:cs="Arial"/>
          <w:b/>
          <w:sz w:val="20"/>
          <w:szCs w:val="20"/>
        </w:rPr>
        <w:t>.</w:t>
      </w:r>
    </w:p>
    <w:p w14:paraId="1A73E4C3" w14:textId="77777777" w:rsidR="00626AA9" w:rsidRPr="00F44D7F" w:rsidRDefault="00626AA9" w:rsidP="00F44D7F">
      <w:pPr>
        <w:rPr>
          <w:rFonts w:cs="Arial"/>
          <w:sz w:val="20"/>
          <w:szCs w:val="20"/>
        </w:rPr>
      </w:pPr>
    </w:p>
    <w:p w14:paraId="6B1BBCDE" w14:textId="77777777" w:rsidR="00626AA9" w:rsidRPr="00312EFE" w:rsidRDefault="00626AA9" w:rsidP="00626AA9">
      <w:pPr>
        <w:tabs>
          <w:tab w:val="left" w:pos="720"/>
        </w:tabs>
        <w:rPr>
          <w:rFonts w:cs="Arial"/>
          <w:b/>
          <w:bCs/>
          <w:sz w:val="20"/>
          <w:szCs w:val="20"/>
          <w:lang w:eastAsia="cs-CZ"/>
        </w:rPr>
      </w:pPr>
      <w:r w:rsidRPr="00312EFE">
        <w:rPr>
          <w:rFonts w:cs="Arial"/>
          <w:b/>
          <w:bCs/>
          <w:sz w:val="20"/>
          <w:szCs w:val="20"/>
          <w:lang w:eastAsia="cs-CZ"/>
        </w:rPr>
        <w:t>PLNĚNÍ MŠMT:</w:t>
      </w:r>
    </w:p>
    <w:p w14:paraId="71B23459" w14:textId="5ECE83F2" w:rsidR="00312EFE" w:rsidRPr="00312EFE" w:rsidRDefault="00312EFE" w:rsidP="00312EFE">
      <w:pPr>
        <w:rPr>
          <w:rFonts w:cs="Arial"/>
          <w:sz w:val="20"/>
          <w:szCs w:val="20"/>
        </w:rPr>
      </w:pPr>
      <w:r w:rsidRPr="00312EFE">
        <w:rPr>
          <w:rFonts w:cs="Arial"/>
          <w:sz w:val="20"/>
          <w:szCs w:val="20"/>
        </w:rPr>
        <w:t xml:space="preserve">Bylo připraveno několik základních karet a aktuálně se řeší možnosti jejich zveřejnění na webu MŠMT. </w:t>
      </w:r>
    </w:p>
    <w:p w14:paraId="22297B0C" w14:textId="27050350" w:rsidR="00626AA9" w:rsidRPr="00312EFE" w:rsidRDefault="00626AA9" w:rsidP="00626AA9">
      <w:pPr>
        <w:keepNext/>
        <w:tabs>
          <w:tab w:val="left" w:pos="720"/>
        </w:tabs>
        <w:rPr>
          <w:rFonts w:cs="Arial"/>
          <w:b/>
          <w:bCs/>
          <w:sz w:val="20"/>
          <w:szCs w:val="20"/>
          <w:lang w:eastAsia="cs-CZ"/>
        </w:rPr>
      </w:pPr>
      <w:r w:rsidRPr="00066EC8">
        <w:rPr>
          <w:rFonts w:cs="Arial"/>
          <w:b/>
          <w:bCs/>
          <w:sz w:val="20"/>
          <w:szCs w:val="20"/>
          <w:lang w:eastAsia="cs-CZ"/>
        </w:rPr>
        <w:t xml:space="preserve">STANOVISKO K PLNĚNÍ: </w:t>
      </w:r>
      <w:r w:rsidR="00312EFE" w:rsidRPr="00066EC8">
        <w:rPr>
          <w:rFonts w:cs="Arial"/>
          <w:b/>
          <w:bCs/>
          <w:sz w:val="20"/>
          <w:szCs w:val="20"/>
          <w:lang w:eastAsia="cs-CZ"/>
        </w:rPr>
        <w:t>Nes</w:t>
      </w:r>
      <w:r w:rsidR="00312EFE" w:rsidRPr="00066EC8">
        <w:rPr>
          <w:rFonts w:cs="Arial"/>
          <w:b/>
          <w:sz w:val="20"/>
          <w:szCs w:val="20"/>
        </w:rPr>
        <w:t xml:space="preserve">plněno. Navržen posun termínu do </w:t>
      </w:r>
      <w:proofErr w:type="gramStart"/>
      <w:r w:rsidR="00312EFE" w:rsidRPr="00066EC8">
        <w:rPr>
          <w:rFonts w:cs="Arial"/>
          <w:b/>
          <w:sz w:val="20"/>
          <w:szCs w:val="20"/>
        </w:rPr>
        <w:t>31.12.2024</w:t>
      </w:r>
      <w:proofErr w:type="gramEnd"/>
      <w:r w:rsidR="00312EFE" w:rsidRPr="00066EC8">
        <w:rPr>
          <w:rFonts w:cs="Arial"/>
          <w:b/>
          <w:sz w:val="20"/>
          <w:szCs w:val="20"/>
        </w:rPr>
        <w:t>.</w:t>
      </w:r>
    </w:p>
    <w:p w14:paraId="2C625281" w14:textId="77777777" w:rsidR="00626AA9" w:rsidRPr="00400B58" w:rsidRDefault="00626AA9" w:rsidP="00626AA9">
      <w:pPr>
        <w:rPr>
          <w:rFonts w:cs="Arial"/>
          <w:sz w:val="20"/>
          <w:szCs w:val="20"/>
        </w:rPr>
      </w:pPr>
    </w:p>
    <w:p w14:paraId="5303DBDB" w14:textId="77777777" w:rsidR="00626AA9" w:rsidRPr="00172A78" w:rsidRDefault="00626AA9" w:rsidP="00172A78">
      <w:pPr>
        <w:tabs>
          <w:tab w:val="left" w:pos="720"/>
        </w:tabs>
        <w:rPr>
          <w:rFonts w:cs="Arial"/>
          <w:b/>
          <w:bCs/>
          <w:sz w:val="20"/>
          <w:szCs w:val="20"/>
          <w:lang w:eastAsia="cs-CZ"/>
        </w:rPr>
      </w:pPr>
      <w:r w:rsidRPr="00172A78">
        <w:rPr>
          <w:rFonts w:cs="Arial"/>
          <w:b/>
          <w:bCs/>
          <w:sz w:val="20"/>
          <w:szCs w:val="20"/>
          <w:lang w:eastAsia="cs-CZ"/>
        </w:rPr>
        <w:t>PLNĚNÍ MV:</w:t>
      </w:r>
    </w:p>
    <w:p w14:paraId="518272F0" w14:textId="6EB71CBB" w:rsidR="00172A78" w:rsidRPr="00172A78" w:rsidRDefault="00172A78" w:rsidP="00172A78">
      <w:pPr>
        <w:rPr>
          <w:rFonts w:cs="Arial"/>
          <w:sz w:val="20"/>
          <w:szCs w:val="20"/>
        </w:rPr>
      </w:pPr>
      <w:r w:rsidRPr="00172A78">
        <w:rPr>
          <w:rFonts w:cs="Arial"/>
          <w:sz w:val="20"/>
          <w:szCs w:val="20"/>
        </w:rPr>
        <w:t>Ministerstvo vnitra má připraven nový projekt na zcela nové internetové stránky, aktuálně platným je nyní poskytována jen udržovací podpora. Připravený popis je na vyžádání k </w:t>
      </w:r>
      <w:r w:rsidRPr="001372C4">
        <w:rPr>
          <w:rFonts w:cs="Arial"/>
          <w:sz w:val="20"/>
          <w:szCs w:val="20"/>
        </w:rPr>
        <w:t xml:space="preserve">dispozici. Jeho zveřejnění je s novými internetovými stránkami plánováno. MV žádá o prodloužení termínu do </w:t>
      </w:r>
      <w:proofErr w:type="gramStart"/>
      <w:r w:rsidR="001372C4">
        <w:rPr>
          <w:rFonts w:cs="Arial"/>
          <w:sz w:val="20"/>
          <w:szCs w:val="20"/>
        </w:rPr>
        <w:t>31.01.2025</w:t>
      </w:r>
      <w:proofErr w:type="gramEnd"/>
      <w:r w:rsidR="001372C4">
        <w:rPr>
          <w:rFonts w:cs="Arial"/>
          <w:sz w:val="20"/>
          <w:szCs w:val="20"/>
        </w:rPr>
        <w:t>.</w:t>
      </w:r>
    </w:p>
    <w:p w14:paraId="561634DA" w14:textId="65E2905F" w:rsidR="00626AA9" w:rsidRPr="00172A78" w:rsidRDefault="00626AA9" w:rsidP="00172A78">
      <w:pPr>
        <w:keepNext/>
        <w:tabs>
          <w:tab w:val="left" w:pos="720"/>
        </w:tabs>
        <w:rPr>
          <w:rFonts w:cs="Arial"/>
          <w:b/>
          <w:bCs/>
          <w:sz w:val="20"/>
          <w:szCs w:val="20"/>
          <w:lang w:eastAsia="cs-CZ"/>
        </w:rPr>
      </w:pPr>
      <w:r w:rsidRPr="00172A78">
        <w:rPr>
          <w:rFonts w:cs="Arial"/>
          <w:b/>
          <w:bCs/>
          <w:sz w:val="20"/>
          <w:szCs w:val="20"/>
          <w:lang w:eastAsia="cs-CZ"/>
        </w:rPr>
        <w:t>STANOVISKO K </w:t>
      </w:r>
      <w:r w:rsidRPr="00ED5DF7">
        <w:rPr>
          <w:rFonts w:cs="Arial"/>
          <w:b/>
          <w:bCs/>
          <w:sz w:val="20"/>
          <w:szCs w:val="20"/>
          <w:lang w:eastAsia="cs-CZ"/>
        </w:rPr>
        <w:t xml:space="preserve">PLNĚNÍ: </w:t>
      </w:r>
      <w:r w:rsidR="00E5275B" w:rsidRPr="00ED5DF7">
        <w:rPr>
          <w:rFonts w:cs="Arial"/>
          <w:b/>
          <w:bCs/>
          <w:sz w:val="20"/>
          <w:szCs w:val="20"/>
          <w:lang w:eastAsia="cs-CZ"/>
        </w:rPr>
        <w:t>Nes</w:t>
      </w:r>
      <w:r w:rsidR="00E5275B" w:rsidRPr="00ED5DF7">
        <w:rPr>
          <w:rFonts w:cs="Arial"/>
          <w:b/>
          <w:sz w:val="20"/>
          <w:szCs w:val="20"/>
        </w:rPr>
        <w:t xml:space="preserve">plněno. Navržen posun termínu do </w:t>
      </w:r>
      <w:proofErr w:type="gramStart"/>
      <w:r w:rsidR="00E5275B" w:rsidRPr="00ED5DF7">
        <w:rPr>
          <w:rFonts w:cs="Arial"/>
          <w:b/>
          <w:sz w:val="20"/>
          <w:szCs w:val="20"/>
        </w:rPr>
        <w:t>31.12.2024</w:t>
      </w:r>
      <w:proofErr w:type="gramEnd"/>
      <w:r w:rsidR="00E5275B" w:rsidRPr="00ED5DF7">
        <w:rPr>
          <w:rFonts w:cs="Arial"/>
          <w:b/>
          <w:sz w:val="20"/>
          <w:szCs w:val="20"/>
        </w:rPr>
        <w:t>.</w:t>
      </w:r>
    </w:p>
    <w:p w14:paraId="2CF6764C" w14:textId="77777777" w:rsidR="00626AA9" w:rsidRPr="007F3C43" w:rsidRDefault="00626AA9" w:rsidP="00626AA9">
      <w:pPr>
        <w:rPr>
          <w:rFonts w:cs="Arial"/>
          <w:sz w:val="20"/>
          <w:szCs w:val="20"/>
        </w:rPr>
      </w:pPr>
    </w:p>
    <w:p w14:paraId="0625190E" w14:textId="77777777" w:rsidR="00626AA9" w:rsidRPr="004455FB" w:rsidRDefault="00626AA9" w:rsidP="004455FB">
      <w:pPr>
        <w:tabs>
          <w:tab w:val="left" w:pos="720"/>
        </w:tabs>
        <w:rPr>
          <w:rFonts w:cs="Arial"/>
          <w:b/>
          <w:bCs/>
          <w:sz w:val="20"/>
          <w:szCs w:val="20"/>
          <w:lang w:eastAsia="cs-CZ"/>
        </w:rPr>
      </w:pPr>
      <w:r w:rsidRPr="004455FB">
        <w:rPr>
          <w:rFonts w:cs="Arial"/>
          <w:b/>
          <w:bCs/>
          <w:sz w:val="20"/>
          <w:szCs w:val="20"/>
          <w:lang w:eastAsia="cs-CZ"/>
        </w:rPr>
        <w:t>PLNĚNÍ MZ:</w:t>
      </w:r>
    </w:p>
    <w:p w14:paraId="792763B6" w14:textId="78586BE1" w:rsidR="004455FB" w:rsidRPr="004455FB" w:rsidRDefault="004455FB" w:rsidP="004455FB">
      <w:pPr>
        <w:rPr>
          <w:rFonts w:cs="Arial"/>
          <w:color w:val="000000" w:themeColor="text1"/>
          <w:sz w:val="20"/>
          <w:szCs w:val="20"/>
        </w:rPr>
      </w:pPr>
      <w:r w:rsidRPr="004455FB">
        <w:rPr>
          <w:rFonts w:cs="Arial"/>
          <w:color w:val="000000" w:themeColor="text1"/>
          <w:sz w:val="20"/>
          <w:szCs w:val="20"/>
        </w:rPr>
        <w:t xml:space="preserve">V součinnosti s Národním informačním zdravotnickým portálem (NZIP) byla zpracována mnohá témata týkající se zdravotní péče v Easy-to-read formátu. Informace jsou přístupné na webu Ministerstva zdravotnictví pod názvem „Co je důležité vědět o zdravotní péči“ - </w:t>
      </w:r>
      <w:hyperlink r:id="rId73" w:history="1">
        <w:r w:rsidRPr="004455FB">
          <w:rPr>
            <w:rStyle w:val="Hypertextovodkaz"/>
            <w:rFonts w:cs="Arial"/>
            <w:color w:val="000000" w:themeColor="text1"/>
            <w:sz w:val="20"/>
            <w:szCs w:val="20"/>
          </w:rPr>
          <w:t>Informace ve snadném čtení – Ministerstvo zdravotnictví (mzcr.cz)</w:t>
        </w:r>
      </w:hyperlink>
      <w:r w:rsidRPr="004455FB">
        <w:rPr>
          <w:rFonts w:cs="Arial"/>
          <w:color w:val="000000" w:themeColor="text1"/>
          <w:sz w:val="20"/>
          <w:szCs w:val="20"/>
        </w:rPr>
        <w:t>. Veškeré materiály v ETR jsou před zveřejněním konzultovány a ověřovány se zástupci Společnosti pro podporu lidí s mentálním postižením v České republice.</w:t>
      </w:r>
    </w:p>
    <w:p w14:paraId="772924F7" w14:textId="26E41DA2" w:rsidR="004455FB" w:rsidRPr="004455FB" w:rsidRDefault="004455FB" w:rsidP="004455FB">
      <w:pPr>
        <w:rPr>
          <w:rFonts w:cs="Arial"/>
          <w:color w:val="000000" w:themeColor="text1"/>
          <w:sz w:val="20"/>
          <w:szCs w:val="20"/>
        </w:rPr>
      </w:pPr>
      <w:r w:rsidRPr="004455FB">
        <w:rPr>
          <w:rFonts w:cs="Arial"/>
          <w:color w:val="000000" w:themeColor="text1"/>
          <w:sz w:val="20"/>
          <w:szCs w:val="20"/>
        </w:rPr>
        <w:t>Na NZIP je dále v současné době zveřejněno více než 30 tematických článků ve snadném čtení, např.:</w:t>
      </w:r>
    </w:p>
    <w:p w14:paraId="007C0EA5" w14:textId="77777777" w:rsidR="004455FB" w:rsidRPr="004455FB" w:rsidRDefault="004455FB" w:rsidP="008263CB">
      <w:pPr>
        <w:pStyle w:val="Odstavecseseznamem"/>
        <w:numPr>
          <w:ilvl w:val="0"/>
          <w:numId w:val="35"/>
        </w:numPr>
        <w:rPr>
          <w:rFonts w:eastAsia="Times New Roman" w:cs="Arial"/>
          <w:color w:val="000000" w:themeColor="text1"/>
          <w:sz w:val="20"/>
          <w:szCs w:val="20"/>
          <w:lang w:eastAsia="cs-CZ"/>
        </w:rPr>
      </w:pPr>
      <w:r w:rsidRPr="004455FB">
        <w:rPr>
          <w:rFonts w:eastAsia="Times New Roman" w:cs="Arial"/>
          <w:color w:val="000000" w:themeColor="text1"/>
          <w:sz w:val="20"/>
          <w:szCs w:val="20"/>
          <w:lang w:eastAsia="cs-CZ"/>
        </w:rPr>
        <w:t>Péče o zuby a jejich nemoci</w:t>
      </w:r>
    </w:p>
    <w:p w14:paraId="324A8D9C" w14:textId="77777777" w:rsidR="004455FB" w:rsidRPr="004455FB" w:rsidRDefault="007C49CB" w:rsidP="008263CB">
      <w:pPr>
        <w:pStyle w:val="Odstavecseseznamem"/>
        <w:numPr>
          <w:ilvl w:val="0"/>
          <w:numId w:val="33"/>
        </w:numPr>
        <w:rPr>
          <w:rFonts w:eastAsia="Times New Roman" w:cs="Arial"/>
          <w:color w:val="000000" w:themeColor="text1"/>
          <w:sz w:val="20"/>
          <w:szCs w:val="20"/>
          <w:lang w:eastAsia="cs-CZ"/>
        </w:rPr>
      </w:pPr>
      <w:hyperlink r:id="rId74" w:tgtFrame="_blank" w:history="1">
        <w:r w:rsidR="004455FB" w:rsidRPr="004455FB">
          <w:rPr>
            <w:rFonts w:eastAsia="Times New Roman" w:cs="Arial"/>
            <w:color w:val="000000" w:themeColor="text1"/>
            <w:sz w:val="20"/>
            <w:szCs w:val="20"/>
            <w:u w:val="single"/>
            <w:lang w:eastAsia="cs-CZ"/>
          </w:rPr>
          <w:t>Zubní preventivní prohlídky</w:t>
        </w:r>
      </w:hyperlink>
    </w:p>
    <w:p w14:paraId="3BCC71EA" w14:textId="7DF1062F" w:rsidR="004455FB" w:rsidRPr="004455FB" w:rsidRDefault="007C49CB" w:rsidP="008263CB">
      <w:pPr>
        <w:pStyle w:val="Odstavecseseznamem"/>
        <w:numPr>
          <w:ilvl w:val="0"/>
          <w:numId w:val="33"/>
        </w:numPr>
        <w:rPr>
          <w:rFonts w:eastAsia="Times New Roman" w:cs="Arial"/>
          <w:color w:val="000000" w:themeColor="text1"/>
          <w:sz w:val="20"/>
          <w:szCs w:val="20"/>
          <w:u w:val="single"/>
          <w:lang w:eastAsia="cs-CZ"/>
        </w:rPr>
      </w:pPr>
      <w:hyperlink r:id="rId75" w:history="1">
        <w:r w:rsidR="004455FB" w:rsidRPr="004455FB">
          <w:rPr>
            <w:rFonts w:eastAsia="Times New Roman" w:cs="Arial"/>
            <w:color w:val="000000" w:themeColor="text1"/>
            <w:sz w:val="20"/>
            <w:szCs w:val="20"/>
            <w:u w:val="single"/>
            <w:lang w:eastAsia="cs-CZ"/>
          </w:rPr>
          <w:t>Jak si správně čistit zuby? | NZIP</w:t>
        </w:r>
      </w:hyperlink>
    </w:p>
    <w:p w14:paraId="2D3AE185" w14:textId="77777777" w:rsidR="004455FB" w:rsidRPr="004455FB" w:rsidRDefault="004455FB" w:rsidP="008263CB">
      <w:pPr>
        <w:pStyle w:val="Odstavecseseznamem"/>
        <w:numPr>
          <w:ilvl w:val="0"/>
          <w:numId w:val="35"/>
        </w:numPr>
        <w:rPr>
          <w:rFonts w:cs="Arial"/>
          <w:color w:val="000000" w:themeColor="text1"/>
          <w:sz w:val="20"/>
          <w:szCs w:val="20"/>
        </w:rPr>
      </w:pPr>
      <w:r w:rsidRPr="004455FB">
        <w:rPr>
          <w:rFonts w:eastAsia="Times New Roman" w:cs="Arial"/>
          <w:color w:val="000000" w:themeColor="text1"/>
          <w:sz w:val="20"/>
          <w:szCs w:val="20"/>
          <w:lang w:eastAsia="cs-CZ"/>
        </w:rPr>
        <w:t>Psychické zdraví a nemoci</w:t>
      </w:r>
    </w:p>
    <w:p w14:paraId="46EA780B" w14:textId="77777777" w:rsidR="004455FB" w:rsidRPr="004455FB" w:rsidRDefault="007C49CB" w:rsidP="008263CB">
      <w:pPr>
        <w:pStyle w:val="Odstavecseseznamem"/>
        <w:numPr>
          <w:ilvl w:val="0"/>
          <w:numId w:val="34"/>
        </w:numPr>
        <w:rPr>
          <w:rFonts w:eastAsia="Times New Roman" w:cs="Arial"/>
          <w:color w:val="000000" w:themeColor="text1"/>
          <w:sz w:val="20"/>
          <w:szCs w:val="20"/>
          <w:u w:val="single"/>
          <w:lang w:eastAsia="cs-CZ"/>
        </w:rPr>
      </w:pPr>
      <w:hyperlink r:id="rId76" w:history="1">
        <w:r w:rsidR="004455FB" w:rsidRPr="004455FB">
          <w:rPr>
            <w:rFonts w:eastAsia="Times New Roman" w:cs="Arial"/>
            <w:color w:val="000000" w:themeColor="text1"/>
            <w:sz w:val="20"/>
            <w:szCs w:val="20"/>
            <w:u w:val="single"/>
            <w:lang w:eastAsia="cs-CZ"/>
          </w:rPr>
          <w:t>Jak vzniká deprese a na co si dát pozor | NZIP</w:t>
        </w:r>
      </w:hyperlink>
    </w:p>
    <w:p w14:paraId="2C0C17D6" w14:textId="77777777" w:rsidR="004455FB" w:rsidRPr="004455FB" w:rsidRDefault="007C49CB" w:rsidP="008263CB">
      <w:pPr>
        <w:pStyle w:val="Odstavecseseznamem"/>
        <w:numPr>
          <w:ilvl w:val="0"/>
          <w:numId w:val="34"/>
        </w:numPr>
        <w:rPr>
          <w:rFonts w:eastAsia="Times New Roman" w:cs="Arial"/>
          <w:color w:val="000000" w:themeColor="text1"/>
          <w:sz w:val="20"/>
          <w:szCs w:val="20"/>
          <w:u w:val="single"/>
          <w:lang w:eastAsia="cs-CZ"/>
        </w:rPr>
      </w:pPr>
      <w:hyperlink r:id="rId77" w:history="1">
        <w:r w:rsidR="004455FB" w:rsidRPr="004455FB">
          <w:rPr>
            <w:rFonts w:eastAsia="Times New Roman" w:cs="Arial"/>
            <w:color w:val="000000" w:themeColor="text1"/>
            <w:sz w:val="20"/>
            <w:szCs w:val="20"/>
            <w:u w:val="single"/>
            <w:lang w:eastAsia="cs-CZ"/>
          </w:rPr>
          <w:t>Jak se léčí deprese? | NZIP</w:t>
        </w:r>
      </w:hyperlink>
    </w:p>
    <w:p w14:paraId="50EFCF1A" w14:textId="677C7CCB" w:rsidR="004455FB" w:rsidRPr="007A49F0" w:rsidRDefault="007C49CB" w:rsidP="008263CB">
      <w:pPr>
        <w:pStyle w:val="Odstavecseseznamem"/>
        <w:numPr>
          <w:ilvl w:val="0"/>
          <w:numId w:val="34"/>
        </w:numPr>
        <w:rPr>
          <w:rFonts w:eastAsia="Times New Roman" w:cs="Arial"/>
          <w:color w:val="000000" w:themeColor="text1"/>
          <w:sz w:val="20"/>
          <w:szCs w:val="20"/>
          <w:u w:val="single"/>
          <w:lang w:eastAsia="cs-CZ"/>
        </w:rPr>
      </w:pPr>
      <w:hyperlink r:id="rId78" w:history="1">
        <w:r w:rsidR="004455FB" w:rsidRPr="004455FB">
          <w:rPr>
            <w:rFonts w:eastAsia="Times New Roman" w:cs="Arial"/>
            <w:color w:val="000000" w:themeColor="text1"/>
            <w:sz w:val="20"/>
            <w:szCs w:val="20"/>
            <w:u w:val="single"/>
            <w:lang w:eastAsia="cs-CZ"/>
          </w:rPr>
          <w:t>ADHD u dospělých | NZIP</w:t>
        </w:r>
      </w:hyperlink>
    </w:p>
    <w:p w14:paraId="583EE096" w14:textId="0065641A" w:rsidR="00626AA9" w:rsidRPr="004455FB" w:rsidRDefault="00626AA9" w:rsidP="004455FB">
      <w:pPr>
        <w:keepNext/>
        <w:tabs>
          <w:tab w:val="left" w:pos="720"/>
        </w:tabs>
        <w:rPr>
          <w:rFonts w:cs="Arial"/>
          <w:b/>
          <w:bCs/>
          <w:sz w:val="20"/>
          <w:szCs w:val="20"/>
          <w:lang w:eastAsia="cs-CZ"/>
        </w:rPr>
      </w:pPr>
      <w:r w:rsidRPr="004455FB">
        <w:rPr>
          <w:rFonts w:cs="Arial"/>
          <w:b/>
          <w:bCs/>
          <w:sz w:val="20"/>
          <w:szCs w:val="20"/>
          <w:lang w:eastAsia="cs-CZ"/>
        </w:rPr>
        <w:t>STANOVISKO K PLNĚNÍ:</w:t>
      </w:r>
      <w:r w:rsidRPr="004455FB">
        <w:rPr>
          <w:rFonts w:cs="Arial"/>
          <w:b/>
          <w:sz w:val="20"/>
          <w:szCs w:val="20"/>
        </w:rPr>
        <w:t xml:space="preserve"> </w:t>
      </w:r>
      <w:r w:rsidR="009378CC">
        <w:rPr>
          <w:rFonts w:cs="Arial"/>
          <w:b/>
          <w:sz w:val="20"/>
          <w:szCs w:val="20"/>
        </w:rPr>
        <w:t>Sp</w:t>
      </w:r>
      <w:r w:rsidRPr="004455FB">
        <w:rPr>
          <w:rFonts w:cs="Arial"/>
          <w:b/>
          <w:sz w:val="20"/>
          <w:szCs w:val="20"/>
        </w:rPr>
        <w:t>lněno.</w:t>
      </w:r>
    </w:p>
    <w:p w14:paraId="7F3AC4A9" w14:textId="77777777" w:rsidR="00626AA9" w:rsidRPr="007F3C43" w:rsidRDefault="00626AA9" w:rsidP="00626AA9">
      <w:pPr>
        <w:rPr>
          <w:rFonts w:cs="Arial"/>
          <w:sz w:val="20"/>
          <w:szCs w:val="20"/>
        </w:rPr>
      </w:pPr>
    </w:p>
    <w:p w14:paraId="0C97965C" w14:textId="77777777" w:rsidR="00626AA9" w:rsidRPr="00071C63" w:rsidRDefault="00626AA9" w:rsidP="00071C63">
      <w:pPr>
        <w:tabs>
          <w:tab w:val="left" w:pos="720"/>
        </w:tabs>
        <w:rPr>
          <w:rFonts w:cs="Arial"/>
          <w:b/>
          <w:bCs/>
          <w:sz w:val="20"/>
          <w:szCs w:val="20"/>
          <w:lang w:eastAsia="cs-CZ"/>
        </w:rPr>
      </w:pPr>
      <w:r w:rsidRPr="00071C63">
        <w:rPr>
          <w:rFonts w:cs="Arial"/>
          <w:b/>
          <w:bCs/>
          <w:sz w:val="20"/>
          <w:szCs w:val="20"/>
          <w:lang w:eastAsia="cs-CZ"/>
        </w:rPr>
        <w:t>PLNĚNÍ MZe:</w:t>
      </w:r>
    </w:p>
    <w:p w14:paraId="2D15DE17" w14:textId="3AB2FC98" w:rsidR="00071C63" w:rsidRPr="00071C63" w:rsidRDefault="00071C63" w:rsidP="00071C63">
      <w:pPr>
        <w:rPr>
          <w:sz w:val="20"/>
          <w:szCs w:val="20"/>
        </w:rPr>
      </w:pPr>
      <w:r w:rsidRPr="00071C63">
        <w:rPr>
          <w:sz w:val="20"/>
          <w:szCs w:val="20"/>
        </w:rPr>
        <w:t>Opatření je v realizaci, v roce 2023 nebylo dokončeno.</w:t>
      </w:r>
    </w:p>
    <w:p w14:paraId="2E7010C7" w14:textId="6E0621D6" w:rsidR="00626AA9" w:rsidRPr="00071C63" w:rsidRDefault="00626AA9" w:rsidP="00071C63">
      <w:pPr>
        <w:keepNext/>
        <w:tabs>
          <w:tab w:val="left" w:pos="720"/>
        </w:tabs>
        <w:rPr>
          <w:rFonts w:cs="Arial"/>
          <w:b/>
          <w:bCs/>
          <w:sz w:val="20"/>
          <w:szCs w:val="20"/>
          <w:lang w:eastAsia="cs-CZ"/>
        </w:rPr>
      </w:pPr>
      <w:r w:rsidRPr="00071C63">
        <w:rPr>
          <w:rFonts w:cs="Arial"/>
          <w:b/>
          <w:bCs/>
          <w:sz w:val="20"/>
          <w:szCs w:val="20"/>
          <w:lang w:eastAsia="cs-CZ"/>
        </w:rPr>
        <w:lastRenderedPageBreak/>
        <w:t>STANOVISKO K PLNĚNÍ</w:t>
      </w:r>
      <w:r w:rsidRPr="0022167F">
        <w:rPr>
          <w:rFonts w:cs="Arial"/>
          <w:b/>
          <w:bCs/>
          <w:sz w:val="20"/>
          <w:szCs w:val="20"/>
          <w:lang w:eastAsia="cs-CZ"/>
        </w:rPr>
        <w:t>:</w:t>
      </w:r>
      <w:r w:rsidRPr="0022167F">
        <w:rPr>
          <w:rFonts w:cs="Arial"/>
          <w:b/>
          <w:sz w:val="20"/>
          <w:szCs w:val="20"/>
        </w:rPr>
        <w:t xml:space="preserve"> </w:t>
      </w:r>
      <w:r w:rsidR="00071C63" w:rsidRPr="0022167F">
        <w:rPr>
          <w:rFonts w:cs="Arial"/>
          <w:b/>
          <w:sz w:val="20"/>
          <w:szCs w:val="20"/>
        </w:rPr>
        <w:t>Nesp</w:t>
      </w:r>
      <w:r w:rsidRPr="0022167F">
        <w:rPr>
          <w:rFonts w:cs="Arial"/>
          <w:b/>
          <w:sz w:val="20"/>
          <w:szCs w:val="20"/>
        </w:rPr>
        <w:t>lněno.</w:t>
      </w:r>
      <w:r w:rsidR="00071C63" w:rsidRPr="0022167F">
        <w:rPr>
          <w:rFonts w:cs="Arial"/>
          <w:b/>
          <w:sz w:val="20"/>
          <w:szCs w:val="20"/>
        </w:rPr>
        <w:t xml:space="preserve"> Navržen posun termínu do </w:t>
      </w:r>
      <w:proofErr w:type="gramStart"/>
      <w:r w:rsidR="00071C63" w:rsidRPr="0022167F">
        <w:rPr>
          <w:rFonts w:cs="Arial"/>
          <w:b/>
          <w:sz w:val="20"/>
          <w:szCs w:val="20"/>
        </w:rPr>
        <w:t>31.12.2024</w:t>
      </w:r>
      <w:proofErr w:type="gramEnd"/>
      <w:r w:rsidR="00071C63" w:rsidRPr="0022167F">
        <w:rPr>
          <w:rFonts w:cs="Arial"/>
          <w:b/>
          <w:sz w:val="20"/>
          <w:szCs w:val="20"/>
        </w:rPr>
        <w:t>.</w:t>
      </w:r>
    </w:p>
    <w:p w14:paraId="1C407577" w14:textId="77777777" w:rsidR="00626AA9" w:rsidRPr="008A0B9C" w:rsidRDefault="00626AA9" w:rsidP="00626AA9">
      <w:pPr>
        <w:rPr>
          <w:rFonts w:cs="Arial"/>
          <w:sz w:val="20"/>
          <w:szCs w:val="20"/>
        </w:rPr>
      </w:pPr>
    </w:p>
    <w:p w14:paraId="6FE72188" w14:textId="77777777" w:rsidR="00626AA9" w:rsidRPr="007B6823" w:rsidRDefault="00626AA9" w:rsidP="007B6823">
      <w:pPr>
        <w:tabs>
          <w:tab w:val="left" w:pos="720"/>
        </w:tabs>
        <w:rPr>
          <w:rFonts w:cs="Arial"/>
          <w:b/>
          <w:bCs/>
          <w:sz w:val="20"/>
          <w:szCs w:val="20"/>
          <w:lang w:eastAsia="cs-CZ"/>
        </w:rPr>
      </w:pPr>
      <w:r w:rsidRPr="007B6823">
        <w:rPr>
          <w:rFonts w:cs="Arial"/>
          <w:b/>
          <w:bCs/>
          <w:sz w:val="20"/>
          <w:szCs w:val="20"/>
          <w:lang w:eastAsia="cs-CZ"/>
        </w:rPr>
        <w:t>PLNĚNÍ MZV:</w:t>
      </w:r>
    </w:p>
    <w:p w14:paraId="7CC32C5B" w14:textId="7749B3EF" w:rsidR="007B6823" w:rsidRPr="007B6823" w:rsidRDefault="007B6823" w:rsidP="007B6823">
      <w:pPr>
        <w:rPr>
          <w:rFonts w:cs="Arial"/>
          <w:bCs/>
          <w:sz w:val="20"/>
          <w:szCs w:val="20"/>
        </w:rPr>
      </w:pPr>
      <w:r w:rsidRPr="007B6823">
        <w:rPr>
          <w:rFonts w:cs="Arial"/>
          <w:bCs/>
          <w:sz w:val="20"/>
          <w:szCs w:val="20"/>
        </w:rPr>
        <w:t xml:space="preserve">Základní karty u vybraných agend dle vzorů Metodiky Easy-to-read jsou zveřejněny v </w:t>
      </w:r>
      <w:hyperlink r:id="rId79" w:history="1">
        <w:r w:rsidRPr="004A05B1">
          <w:rPr>
            <w:rStyle w:val="Hypertextovodkaz"/>
            <w:rFonts w:cs="Arial"/>
            <w:bCs/>
            <w:sz w:val="20"/>
            <w:szCs w:val="20"/>
          </w:rPr>
          <w:t>sekci Snadné čtení na webu MZV</w:t>
        </w:r>
      </w:hyperlink>
      <w:r w:rsidRPr="007B6823">
        <w:rPr>
          <w:rFonts w:cs="Arial"/>
          <w:bCs/>
          <w:sz w:val="20"/>
          <w:szCs w:val="20"/>
        </w:rPr>
        <w:t xml:space="preserve"> v souladu s Opatřením 3.3.5.</w:t>
      </w:r>
    </w:p>
    <w:p w14:paraId="10FE4D4E" w14:textId="25F0EA51" w:rsidR="00626AA9" w:rsidRPr="007B6823" w:rsidRDefault="00626AA9" w:rsidP="007B6823">
      <w:pPr>
        <w:keepNext/>
        <w:tabs>
          <w:tab w:val="left" w:pos="720"/>
        </w:tabs>
        <w:rPr>
          <w:rFonts w:cs="Arial"/>
          <w:b/>
          <w:bCs/>
          <w:sz w:val="20"/>
          <w:szCs w:val="20"/>
          <w:lang w:eastAsia="cs-CZ"/>
        </w:rPr>
      </w:pPr>
      <w:r w:rsidRPr="007B6823">
        <w:rPr>
          <w:rFonts w:cs="Arial"/>
          <w:b/>
          <w:bCs/>
          <w:sz w:val="20"/>
          <w:szCs w:val="20"/>
          <w:lang w:eastAsia="cs-CZ"/>
        </w:rPr>
        <w:t>STANOVISKO K PLNĚNÍ:</w:t>
      </w:r>
      <w:r w:rsidRPr="007B6823">
        <w:rPr>
          <w:rFonts w:cs="Arial"/>
          <w:b/>
          <w:sz w:val="20"/>
          <w:szCs w:val="20"/>
        </w:rPr>
        <w:t xml:space="preserve"> </w:t>
      </w:r>
      <w:r w:rsidR="007B6823">
        <w:rPr>
          <w:rFonts w:cs="Arial"/>
          <w:b/>
          <w:sz w:val="20"/>
          <w:szCs w:val="20"/>
        </w:rPr>
        <w:t>Sp</w:t>
      </w:r>
      <w:r w:rsidRPr="007B6823">
        <w:rPr>
          <w:rFonts w:cs="Arial"/>
          <w:b/>
          <w:sz w:val="20"/>
          <w:szCs w:val="20"/>
        </w:rPr>
        <w:t>lněno.</w:t>
      </w:r>
    </w:p>
    <w:p w14:paraId="06E85639" w14:textId="77777777" w:rsidR="00626AA9" w:rsidRPr="000D4CD9" w:rsidRDefault="00626AA9" w:rsidP="00626AA9">
      <w:pPr>
        <w:rPr>
          <w:rFonts w:cs="Arial"/>
          <w:sz w:val="20"/>
          <w:szCs w:val="20"/>
        </w:rPr>
      </w:pPr>
    </w:p>
    <w:p w14:paraId="1A40749E" w14:textId="77777777" w:rsidR="00626AA9" w:rsidRPr="00556E58" w:rsidRDefault="00626AA9" w:rsidP="00556E58">
      <w:pPr>
        <w:tabs>
          <w:tab w:val="left" w:pos="720"/>
        </w:tabs>
        <w:rPr>
          <w:rFonts w:cs="Arial"/>
          <w:b/>
          <w:bCs/>
          <w:sz w:val="20"/>
          <w:szCs w:val="20"/>
          <w:lang w:eastAsia="cs-CZ"/>
        </w:rPr>
      </w:pPr>
      <w:r w:rsidRPr="00556E58">
        <w:rPr>
          <w:rFonts w:cs="Arial"/>
          <w:b/>
          <w:bCs/>
          <w:sz w:val="20"/>
          <w:szCs w:val="20"/>
          <w:lang w:eastAsia="cs-CZ"/>
        </w:rPr>
        <w:t>PLNĚNÍ MŽP:</w:t>
      </w:r>
    </w:p>
    <w:p w14:paraId="5936A545" w14:textId="2587E9E2" w:rsidR="00556E58" w:rsidRPr="00556E58" w:rsidRDefault="00556E58" w:rsidP="00556E58">
      <w:pPr>
        <w:rPr>
          <w:rFonts w:cs="Arial"/>
          <w:sz w:val="20"/>
          <w:szCs w:val="20"/>
        </w:rPr>
      </w:pPr>
      <w:r w:rsidRPr="00556E58">
        <w:rPr>
          <w:rFonts w:cs="Arial"/>
          <w:sz w:val="20"/>
          <w:szCs w:val="20"/>
        </w:rPr>
        <w:t xml:space="preserve">Základní karty budou publikovány na novém webu. Spuštění webu je plánované na první polovinu tohoto roku. </w:t>
      </w:r>
      <w:r>
        <w:rPr>
          <w:rFonts w:cs="Arial"/>
          <w:sz w:val="20"/>
          <w:szCs w:val="20"/>
        </w:rPr>
        <w:t xml:space="preserve">MŽP žádá o posun </w:t>
      </w:r>
      <w:r w:rsidRPr="00556E58">
        <w:rPr>
          <w:rFonts w:cs="Arial"/>
          <w:sz w:val="20"/>
          <w:szCs w:val="20"/>
        </w:rPr>
        <w:t>termínu</w:t>
      </w:r>
      <w:r>
        <w:rPr>
          <w:rFonts w:cs="Arial"/>
          <w:sz w:val="20"/>
          <w:szCs w:val="20"/>
        </w:rPr>
        <w:t>.</w:t>
      </w:r>
    </w:p>
    <w:p w14:paraId="35C695CF" w14:textId="3B116658" w:rsidR="00626AA9" w:rsidRPr="00556E58" w:rsidRDefault="00626AA9" w:rsidP="00556E58">
      <w:pPr>
        <w:keepNext/>
        <w:tabs>
          <w:tab w:val="left" w:pos="720"/>
        </w:tabs>
        <w:rPr>
          <w:rFonts w:cs="Arial"/>
          <w:b/>
          <w:bCs/>
          <w:sz w:val="20"/>
          <w:szCs w:val="20"/>
          <w:lang w:eastAsia="cs-CZ"/>
        </w:rPr>
      </w:pPr>
      <w:r w:rsidRPr="00556E58">
        <w:rPr>
          <w:rFonts w:cs="Arial"/>
          <w:b/>
          <w:bCs/>
          <w:sz w:val="20"/>
          <w:szCs w:val="20"/>
          <w:lang w:eastAsia="cs-CZ"/>
        </w:rPr>
        <w:t>STANOVISKO K PLNĚNÍ:</w:t>
      </w:r>
      <w:r w:rsidRPr="00556E58">
        <w:rPr>
          <w:rFonts w:cs="Arial"/>
          <w:b/>
          <w:sz w:val="20"/>
          <w:szCs w:val="20"/>
        </w:rPr>
        <w:t xml:space="preserve"> </w:t>
      </w:r>
      <w:r w:rsidR="00F92C71" w:rsidRPr="0022167F">
        <w:rPr>
          <w:rFonts w:cs="Arial"/>
          <w:b/>
          <w:sz w:val="20"/>
          <w:szCs w:val="20"/>
        </w:rPr>
        <w:t xml:space="preserve">Nesplněno. Navržen posun termínu do </w:t>
      </w:r>
      <w:proofErr w:type="gramStart"/>
      <w:r w:rsidR="00F92C71" w:rsidRPr="0022167F">
        <w:rPr>
          <w:rFonts w:cs="Arial"/>
          <w:b/>
          <w:sz w:val="20"/>
          <w:szCs w:val="20"/>
        </w:rPr>
        <w:t>31.12.2024</w:t>
      </w:r>
      <w:proofErr w:type="gramEnd"/>
      <w:r w:rsidR="00F92C71" w:rsidRPr="0022167F">
        <w:rPr>
          <w:rFonts w:cs="Arial"/>
          <w:b/>
          <w:sz w:val="20"/>
          <w:szCs w:val="20"/>
        </w:rPr>
        <w:t>.</w:t>
      </w:r>
    </w:p>
    <w:p w14:paraId="1E6DF9D2" w14:textId="77777777" w:rsidR="00626AA9" w:rsidRPr="000D4CD9" w:rsidRDefault="00626AA9" w:rsidP="00626AA9">
      <w:pPr>
        <w:rPr>
          <w:rFonts w:cs="Arial"/>
          <w:sz w:val="20"/>
          <w:szCs w:val="20"/>
        </w:rPr>
      </w:pPr>
    </w:p>
    <w:p w14:paraId="7C15BC09" w14:textId="77777777" w:rsidR="00626AA9" w:rsidRPr="00F32DE5" w:rsidRDefault="00626AA9" w:rsidP="00F32DE5">
      <w:pPr>
        <w:tabs>
          <w:tab w:val="left" w:pos="720"/>
        </w:tabs>
        <w:rPr>
          <w:rFonts w:cs="Arial"/>
          <w:b/>
          <w:bCs/>
          <w:sz w:val="20"/>
          <w:szCs w:val="20"/>
          <w:lang w:eastAsia="cs-CZ"/>
        </w:rPr>
      </w:pPr>
      <w:r w:rsidRPr="00F32DE5">
        <w:rPr>
          <w:rFonts w:cs="Arial"/>
          <w:b/>
          <w:bCs/>
          <w:sz w:val="20"/>
          <w:szCs w:val="20"/>
          <w:lang w:eastAsia="cs-CZ"/>
        </w:rPr>
        <w:t>PLNĚNÍ ÚV:</w:t>
      </w:r>
    </w:p>
    <w:p w14:paraId="0ADD6DFC" w14:textId="7A3EBA5D" w:rsidR="00F92C71" w:rsidRPr="00F32DE5" w:rsidRDefault="00F92C71" w:rsidP="00F32DE5">
      <w:pPr>
        <w:rPr>
          <w:rFonts w:cs="Arial"/>
          <w:sz w:val="20"/>
          <w:szCs w:val="20"/>
        </w:rPr>
      </w:pPr>
      <w:r w:rsidRPr="00F32DE5">
        <w:rPr>
          <w:rFonts w:cs="Arial"/>
          <w:sz w:val="20"/>
          <w:szCs w:val="20"/>
        </w:rPr>
        <w:t xml:space="preserve">Informace jsou zveřejněny na </w:t>
      </w:r>
      <w:hyperlink r:id="rId80" w:history="1">
        <w:r w:rsidRPr="00F32DE5">
          <w:rPr>
            <w:rStyle w:val="Hypertextovodkaz"/>
            <w:rFonts w:cs="Arial"/>
            <w:color w:val="auto"/>
            <w:sz w:val="20"/>
            <w:szCs w:val="20"/>
          </w:rPr>
          <w:t>https://www.vlada.cz/cz/urad-vlady/o-uradu-vlady-ve-snadnem-cteni-202793/</w:t>
        </w:r>
      </w:hyperlink>
      <w:r w:rsidRPr="00F32DE5">
        <w:rPr>
          <w:rStyle w:val="Hypertextovodkaz"/>
          <w:rFonts w:cs="Arial"/>
          <w:color w:val="auto"/>
          <w:sz w:val="20"/>
          <w:szCs w:val="20"/>
          <w:u w:val="none"/>
        </w:rPr>
        <w:t xml:space="preserve"> a </w:t>
      </w:r>
      <w:hyperlink r:id="rId81" w:history="1">
        <w:r w:rsidRPr="00F32DE5">
          <w:rPr>
            <w:rStyle w:val="Hypertextovodkaz"/>
            <w:rFonts w:cs="Arial"/>
            <w:color w:val="auto"/>
            <w:sz w:val="20"/>
            <w:szCs w:val="20"/>
          </w:rPr>
          <w:t>https://vlada.gov.cz/chttps://vlada.gov.cz/cz/ppov/vvozp/vladni-vybor-pro-zdravotne-postizene-obcany-17734/</w:t>
        </w:r>
      </w:hyperlink>
      <w:r w:rsidRPr="00F32DE5">
        <w:rPr>
          <w:rStyle w:val="Hypertextovodkaz"/>
          <w:rFonts w:cs="Arial"/>
          <w:color w:val="auto"/>
          <w:sz w:val="20"/>
          <w:szCs w:val="20"/>
        </w:rPr>
        <w:t>.</w:t>
      </w:r>
    </w:p>
    <w:p w14:paraId="15BA16D3" w14:textId="076988EB" w:rsidR="00626AA9" w:rsidRPr="00F32DE5" w:rsidRDefault="00626AA9" w:rsidP="00F32DE5">
      <w:pPr>
        <w:rPr>
          <w:rFonts w:cs="Arial"/>
          <w:b/>
          <w:bCs/>
          <w:sz w:val="20"/>
          <w:szCs w:val="20"/>
          <w:lang w:eastAsia="cs-CZ"/>
        </w:rPr>
      </w:pPr>
      <w:r w:rsidRPr="00F32DE5">
        <w:rPr>
          <w:rFonts w:cs="Arial"/>
          <w:b/>
          <w:bCs/>
          <w:sz w:val="20"/>
          <w:szCs w:val="20"/>
          <w:lang w:eastAsia="cs-CZ"/>
        </w:rPr>
        <w:t xml:space="preserve">STANOVISKO K PLNĚNÍ: </w:t>
      </w:r>
      <w:r w:rsidR="00F32DE5" w:rsidRPr="00F32DE5">
        <w:rPr>
          <w:rFonts w:cs="Arial"/>
          <w:b/>
          <w:bCs/>
          <w:sz w:val="20"/>
          <w:szCs w:val="20"/>
          <w:lang w:eastAsia="cs-CZ"/>
        </w:rPr>
        <w:t>Sp</w:t>
      </w:r>
      <w:r w:rsidRPr="00F32DE5">
        <w:rPr>
          <w:rFonts w:cs="Arial"/>
          <w:b/>
          <w:bCs/>
          <w:sz w:val="20"/>
          <w:szCs w:val="20"/>
          <w:lang w:eastAsia="cs-CZ"/>
        </w:rPr>
        <w:t>lněno.</w:t>
      </w:r>
    </w:p>
    <w:p w14:paraId="2734776E" w14:textId="77777777" w:rsidR="000F1090" w:rsidRPr="00416148" w:rsidRDefault="000F1090" w:rsidP="00C62C52">
      <w:pPr>
        <w:rPr>
          <w:rFonts w:cs="Arial"/>
          <w:bCs/>
          <w:sz w:val="20"/>
          <w:szCs w:val="20"/>
        </w:rPr>
      </w:pPr>
    </w:p>
    <w:p w14:paraId="5D610E67" w14:textId="77777777" w:rsidR="00296146" w:rsidRPr="00B67FF9" w:rsidRDefault="00296146" w:rsidP="00C62C52">
      <w:pPr>
        <w:rPr>
          <w:rFonts w:cs="Arial"/>
          <w:szCs w:val="20"/>
        </w:rPr>
      </w:pPr>
      <w:r>
        <w:rPr>
          <w:rFonts w:cs="Arial"/>
          <w:bCs/>
          <w:szCs w:val="20"/>
        </w:rPr>
        <w:t xml:space="preserve">Opatření </w:t>
      </w:r>
      <w:r>
        <w:rPr>
          <w:rFonts w:cs="Arial"/>
          <w:szCs w:val="20"/>
        </w:rPr>
        <w:t>3.3.7</w:t>
      </w:r>
      <w:r w:rsidRPr="00B67FF9">
        <w:rPr>
          <w:rFonts w:cs="Arial"/>
          <w:szCs w:val="20"/>
        </w:rPr>
        <w:t xml:space="preserve"> Realizovat pilotní školení pro aplikaci </w:t>
      </w:r>
      <w:r>
        <w:rPr>
          <w:rFonts w:cs="Arial"/>
          <w:szCs w:val="20"/>
        </w:rPr>
        <w:t>m</w:t>
      </w:r>
      <w:r w:rsidRPr="00B67FF9">
        <w:rPr>
          <w:rFonts w:cs="Arial"/>
          <w:szCs w:val="20"/>
        </w:rPr>
        <w:t>etodiky Easy-to-read pro</w:t>
      </w:r>
      <w:r>
        <w:rPr>
          <w:rFonts w:cs="Arial"/>
          <w:szCs w:val="20"/>
        </w:rPr>
        <w:t> </w:t>
      </w:r>
      <w:r w:rsidRPr="00B67FF9">
        <w:rPr>
          <w:rFonts w:cs="Arial"/>
          <w:szCs w:val="20"/>
        </w:rPr>
        <w:t>zaměstnance územní veřejné správy. Na základě výsledků pilotního školení navrhnout mechanismus školení pro veřejnou správu</w:t>
      </w:r>
      <w:r>
        <w:rPr>
          <w:rFonts w:cs="Arial"/>
          <w:szCs w:val="20"/>
        </w:rPr>
        <w:t xml:space="preserve"> a toto školení provádět.</w:t>
      </w:r>
    </w:p>
    <w:p w14:paraId="6F72719D" w14:textId="77777777" w:rsidR="00296146" w:rsidRPr="00B67FF9" w:rsidRDefault="00296146" w:rsidP="00C62C52">
      <w:pPr>
        <w:rPr>
          <w:rFonts w:cs="Arial"/>
          <w:szCs w:val="20"/>
        </w:rPr>
      </w:pPr>
      <w:r w:rsidRPr="00B67FF9">
        <w:rPr>
          <w:rFonts w:cs="Arial"/>
          <w:szCs w:val="20"/>
        </w:rPr>
        <w:t xml:space="preserve">Termín: </w:t>
      </w:r>
      <w:proofErr w:type="gramStart"/>
      <w:r>
        <w:rPr>
          <w:rFonts w:cs="Arial"/>
          <w:szCs w:val="20"/>
        </w:rPr>
        <w:t>31.12.2022</w:t>
      </w:r>
      <w:proofErr w:type="gramEnd"/>
      <w:r>
        <w:rPr>
          <w:rFonts w:cs="Arial"/>
          <w:szCs w:val="20"/>
        </w:rPr>
        <w:t>, dále průběžně</w:t>
      </w:r>
    </w:p>
    <w:p w14:paraId="147D78F7" w14:textId="79C0A178" w:rsidR="00296146" w:rsidRPr="00B67FF9" w:rsidRDefault="00E55A59" w:rsidP="00C62C52">
      <w:pPr>
        <w:rPr>
          <w:rFonts w:cs="Arial"/>
          <w:szCs w:val="20"/>
        </w:rPr>
      </w:pPr>
      <w:r>
        <w:rPr>
          <w:rFonts w:cs="Arial"/>
          <w:szCs w:val="20"/>
        </w:rPr>
        <w:t>Gestor: MV</w:t>
      </w:r>
    </w:p>
    <w:p w14:paraId="59530600" w14:textId="77777777" w:rsidR="00C62C52" w:rsidRDefault="00296146" w:rsidP="00C62C52">
      <w:pPr>
        <w:rPr>
          <w:rFonts w:cs="Arial"/>
          <w:szCs w:val="20"/>
        </w:rPr>
      </w:pPr>
      <w:r>
        <w:rPr>
          <w:rFonts w:cs="Arial"/>
          <w:szCs w:val="20"/>
        </w:rPr>
        <w:t>Indikátor: Byl navržen mechanismus školení. Školení jsou pravidelně realizována.</w:t>
      </w:r>
    </w:p>
    <w:p w14:paraId="7828B07E" w14:textId="77777777" w:rsidR="00C62C52" w:rsidRDefault="00C62C52" w:rsidP="00C62C52">
      <w:pPr>
        <w:rPr>
          <w:rFonts w:cs="Arial"/>
          <w:b/>
          <w:bCs/>
          <w:sz w:val="20"/>
          <w:szCs w:val="20"/>
          <w:lang w:eastAsia="cs-CZ"/>
        </w:rPr>
      </w:pPr>
    </w:p>
    <w:p w14:paraId="52725CA4" w14:textId="6A4F1D6C" w:rsidR="005E6B85" w:rsidRPr="00C62C52" w:rsidRDefault="005E6B85" w:rsidP="00C62C52">
      <w:pPr>
        <w:rPr>
          <w:rFonts w:cs="Arial"/>
          <w:sz w:val="20"/>
          <w:szCs w:val="20"/>
        </w:rPr>
      </w:pPr>
      <w:r w:rsidRPr="00C62C52">
        <w:rPr>
          <w:rFonts w:cs="Arial"/>
          <w:b/>
          <w:bCs/>
          <w:sz w:val="20"/>
          <w:szCs w:val="20"/>
          <w:lang w:eastAsia="cs-CZ"/>
        </w:rPr>
        <w:t>PLNĚNÍ MV:</w:t>
      </w:r>
    </w:p>
    <w:p w14:paraId="77F72F3A" w14:textId="4C07CB88" w:rsidR="00C62C52" w:rsidRPr="00C62C52" w:rsidRDefault="00C62C52" w:rsidP="00C62C52">
      <w:pPr>
        <w:rPr>
          <w:rFonts w:cs="Arial"/>
          <w:sz w:val="20"/>
          <w:szCs w:val="20"/>
        </w:rPr>
      </w:pPr>
      <w:r w:rsidRPr="00C62C52">
        <w:rPr>
          <w:rFonts w:cs="Arial"/>
          <w:sz w:val="20"/>
          <w:szCs w:val="20"/>
        </w:rPr>
        <w:t xml:space="preserve">Na začátku roku 2023 dobíhala poslední část pilotního školení v aplikaci metodiky Easy to Read pro zaměstnance územní veřejné správy. Na základě všech uskutečněných školení bylo v průběhu března 2023 zpracováno vyhodnocení pilotního běhu. </w:t>
      </w:r>
    </w:p>
    <w:p w14:paraId="75AD2A5B" w14:textId="60DBB237" w:rsidR="00C62C52" w:rsidRPr="00C62C52" w:rsidRDefault="00C62C52" w:rsidP="00C62C52">
      <w:pPr>
        <w:tabs>
          <w:tab w:val="left" w:pos="720"/>
        </w:tabs>
        <w:rPr>
          <w:rFonts w:cs="Arial"/>
          <w:b/>
          <w:bCs/>
          <w:sz w:val="20"/>
          <w:szCs w:val="20"/>
          <w:lang w:eastAsia="cs-CZ"/>
        </w:rPr>
      </w:pPr>
      <w:r w:rsidRPr="00BD6628">
        <w:rPr>
          <w:rFonts w:cs="Arial"/>
          <w:sz w:val="20"/>
          <w:szCs w:val="20"/>
        </w:rPr>
        <w:t>Z důvodu chybějících projektových zdrojů financování nebude uvedená aktivita dále rozvíjena.</w:t>
      </w:r>
    </w:p>
    <w:p w14:paraId="43ED8F2B" w14:textId="73F59A87" w:rsidR="00296146" w:rsidRPr="00C62C52" w:rsidRDefault="005E6B85" w:rsidP="00C62C52">
      <w:pPr>
        <w:keepNext/>
        <w:tabs>
          <w:tab w:val="left" w:pos="720"/>
        </w:tabs>
        <w:rPr>
          <w:rFonts w:cs="Arial"/>
          <w:b/>
          <w:bCs/>
          <w:sz w:val="20"/>
          <w:szCs w:val="20"/>
          <w:lang w:eastAsia="cs-CZ"/>
        </w:rPr>
      </w:pPr>
      <w:r w:rsidRPr="00C62C52">
        <w:rPr>
          <w:rFonts w:cs="Arial"/>
          <w:b/>
          <w:bCs/>
          <w:sz w:val="20"/>
          <w:szCs w:val="20"/>
          <w:lang w:eastAsia="cs-CZ"/>
        </w:rPr>
        <w:t xml:space="preserve">STANOVISKO K PLNĚNÍ: </w:t>
      </w:r>
      <w:r w:rsidR="00477267" w:rsidRPr="00C62C52">
        <w:rPr>
          <w:rFonts w:cs="Arial"/>
          <w:b/>
          <w:bCs/>
          <w:sz w:val="20"/>
          <w:szCs w:val="20"/>
          <w:lang w:eastAsia="cs-CZ"/>
        </w:rPr>
        <w:t>P</w:t>
      </w:r>
      <w:r w:rsidRPr="00C62C52">
        <w:rPr>
          <w:rFonts w:cs="Arial"/>
          <w:b/>
          <w:bCs/>
          <w:sz w:val="20"/>
          <w:szCs w:val="20"/>
          <w:lang w:eastAsia="cs-CZ"/>
        </w:rPr>
        <w:t>lněno.</w:t>
      </w:r>
    </w:p>
    <w:p w14:paraId="745ACD00" w14:textId="77777777" w:rsidR="005E6B85" w:rsidRPr="0091405A" w:rsidRDefault="005E6B85" w:rsidP="005E6B85">
      <w:pPr>
        <w:keepNext/>
        <w:tabs>
          <w:tab w:val="left" w:pos="720"/>
        </w:tabs>
        <w:rPr>
          <w:rFonts w:cs="Arial"/>
          <w:b/>
          <w:bCs/>
          <w:sz w:val="20"/>
          <w:szCs w:val="20"/>
          <w:lang w:eastAsia="cs-CZ"/>
        </w:rPr>
      </w:pPr>
    </w:p>
    <w:p w14:paraId="30F3A8D3" w14:textId="625CBB63" w:rsidR="00F17E74" w:rsidRPr="0070009A" w:rsidRDefault="00F17E74" w:rsidP="006177CE">
      <w:pPr>
        <w:rPr>
          <w:rFonts w:cs="Arial"/>
          <w:szCs w:val="20"/>
        </w:rPr>
      </w:pPr>
      <w:r>
        <w:rPr>
          <w:rFonts w:cs="Arial"/>
          <w:b/>
          <w:bCs/>
          <w:szCs w:val="20"/>
        </w:rPr>
        <w:t xml:space="preserve">3.4 </w:t>
      </w:r>
      <w:r w:rsidRPr="0057756D">
        <w:rPr>
          <w:rFonts w:cs="Arial"/>
          <w:b/>
          <w:bCs/>
          <w:szCs w:val="20"/>
        </w:rPr>
        <w:t xml:space="preserve">Cíl: </w:t>
      </w:r>
      <w:r>
        <w:rPr>
          <w:rFonts w:cs="Arial"/>
          <w:b/>
          <w:bCs/>
          <w:szCs w:val="20"/>
        </w:rPr>
        <w:t>Vzdělávání zaměstnanců</w:t>
      </w:r>
      <w:r w:rsidRPr="0057756D">
        <w:rPr>
          <w:rFonts w:cs="Arial"/>
          <w:b/>
          <w:bCs/>
          <w:szCs w:val="20"/>
        </w:rPr>
        <w:t xml:space="preserve"> veřejné správy v tématech týkajících se zdravotního postižení.</w:t>
      </w:r>
    </w:p>
    <w:p w14:paraId="3DE159C8" w14:textId="77777777" w:rsidR="00F17E74" w:rsidRPr="00F912B5" w:rsidRDefault="00F17E74" w:rsidP="00FA771C">
      <w:pPr>
        <w:rPr>
          <w:rFonts w:cs="Arial"/>
          <w:bCs/>
          <w:szCs w:val="20"/>
        </w:rPr>
      </w:pPr>
      <w:r>
        <w:rPr>
          <w:rFonts w:cs="Arial"/>
          <w:bCs/>
          <w:szCs w:val="20"/>
        </w:rPr>
        <w:t>Opatření 3.4</w:t>
      </w:r>
      <w:r w:rsidRPr="00F912B5">
        <w:rPr>
          <w:rFonts w:cs="Arial"/>
          <w:bCs/>
          <w:szCs w:val="20"/>
        </w:rPr>
        <w:t>.1 Realizovat vzdělávání v obl</w:t>
      </w:r>
      <w:r>
        <w:rPr>
          <w:rFonts w:cs="Arial"/>
          <w:bCs/>
          <w:szCs w:val="20"/>
        </w:rPr>
        <w:t xml:space="preserve">asti governance accessibility, </w:t>
      </w:r>
      <w:r w:rsidRPr="00F912B5">
        <w:rPr>
          <w:rFonts w:cs="Arial"/>
          <w:bCs/>
          <w:szCs w:val="20"/>
        </w:rPr>
        <w:t>problematiky zdravotního postižení a zásad komunikace s vybranými skupinami osob se zdravotním postižením pro zaměstnance veřejné správy.</w:t>
      </w:r>
    </w:p>
    <w:p w14:paraId="093E312A" w14:textId="77777777" w:rsidR="00F17E74" w:rsidRPr="00F912B5" w:rsidRDefault="00F17E74" w:rsidP="00FA771C">
      <w:pPr>
        <w:rPr>
          <w:rFonts w:cs="Arial"/>
          <w:bCs/>
          <w:szCs w:val="20"/>
        </w:rPr>
      </w:pPr>
      <w:r w:rsidRPr="00F912B5">
        <w:rPr>
          <w:rFonts w:cs="Arial"/>
          <w:bCs/>
          <w:szCs w:val="20"/>
        </w:rPr>
        <w:t>Termín: průběžně</w:t>
      </w:r>
    </w:p>
    <w:p w14:paraId="31F0D420" w14:textId="6D4AF615" w:rsidR="00F17E74" w:rsidRPr="00F912B5" w:rsidRDefault="00836120" w:rsidP="00FA771C">
      <w:pPr>
        <w:rPr>
          <w:rFonts w:cs="Arial"/>
          <w:bCs/>
          <w:szCs w:val="20"/>
        </w:rPr>
      </w:pPr>
      <w:r>
        <w:rPr>
          <w:rFonts w:cs="Arial"/>
          <w:bCs/>
          <w:szCs w:val="20"/>
        </w:rPr>
        <w:t xml:space="preserve">Gestor: MV </w:t>
      </w:r>
    </w:p>
    <w:p w14:paraId="7F06AE7B" w14:textId="24C11AE7" w:rsidR="00F17E74" w:rsidRDefault="00F17E74" w:rsidP="00FA771C">
      <w:pPr>
        <w:rPr>
          <w:rFonts w:cs="Arial"/>
          <w:szCs w:val="20"/>
        </w:rPr>
      </w:pPr>
      <w:r w:rsidRPr="00927D1B">
        <w:rPr>
          <w:rFonts w:cs="Arial"/>
          <w:bCs/>
          <w:szCs w:val="20"/>
        </w:rPr>
        <w:t>Indikátor</w:t>
      </w:r>
      <w:r w:rsidRPr="00D87068">
        <w:rPr>
          <w:rFonts w:cs="Arial"/>
          <w:szCs w:val="20"/>
        </w:rPr>
        <w:t xml:space="preserve">: V daném roce bylo realizováno </w:t>
      </w:r>
      <w:r w:rsidR="008962A4">
        <w:rPr>
          <w:rFonts w:cs="Arial"/>
          <w:szCs w:val="20"/>
        </w:rPr>
        <w:t>uvedené</w:t>
      </w:r>
      <w:r>
        <w:rPr>
          <w:rFonts w:cs="Arial"/>
          <w:szCs w:val="20"/>
        </w:rPr>
        <w:t xml:space="preserve"> školení.</w:t>
      </w:r>
    </w:p>
    <w:p w14:paraId="1F31E8DC" w14:textId="77777777" w:rsidR="00FA771C" w:rsidRPr="009B3BAC" w:rsidRDefault="00FA771C" w:rsidP="00FA771C">
      <w:pPr>
        <w:rPr>
          <w:rFonts w:cs="Arial"/>
          <w:sz w:val="20"/>
          <w:szCs w:val="20"/>
        </w:rPr>
      </w:pPr>
    </w:p>
    <w:p w14:paraId="46F4176A" w14:textId="03EE5E28" w:rsidR="00371C52" w:rsidRPr="0053667C" w:rsidRDefault="00371C52" w:rsidP="0053667C">
      <w:pPr>
        <w:tabs>
          <w:tab w:val="left" w:pos="720"/>
        </w:tabs>
        <w:rPr>
          <w:rFonts w:cs="Arial"/>
          <w:b/>
          <w:bCs/>
          <w:sz w:val="20"/>
          <w:szCs w:val="20"/>
          <w:lang w:eastAsia="cs-CZ"/>
        </w:rPr>
      </w:pPr>
      <w:r w:rsidRPr="0053667C">
        <w:rPr>
          <w:rFonts w:cs="Arial"/>
          <w:b/>
          <w:bCs/>
          <w:sz w:val="20"/>
          <w:szCs w:val="20"/>
          <w:lang w:eastAsia="cs-CZ"/>
        </w:rPr>
        <w:t>PLNĚNÍ MV:</w:t>
      </w:r>
    </w:p>
    <w:p w14:paraId="442A3D47" w14:textId="7C94D436" w:rsidR="0053667C" w:rsidRPr="0053667C" w:rsidRDefault="0053667C" w:rsidP="008263CB">
      <w:pPr>
        <w:pStyle w:val="Odstavecseseznamem"/>
        <w:numPr>
          <w:ilvl w:val="0"/>
          <w:numId w:val="24"/>
        </w:numPr>
        <w:rPr>
          <w:rFonts w:cs="Arial"/>
          <w:bCs/>
          <w:iCs/>
          <w:sz w:val="20"/>
          <w:szCs w:val="20"/>
        </w:rPr>
      </w:pPr>
      <w:r w:rsidRPr="0053667C">
        <w:rPr>
          <w:rFonts w:cs="Arial"/>
          <w:bCs/>
          <w:iCs/>
          <w:sz w:val="20"/>
          <w:szCs w:val="20"/>
        </w:rPr>
        <w:lastRenderedPageBreak/>
        <w:t xml:space="preserve">Ministerstvo vnitra průběžně na žádost vzdělávacích institucí akredituje vzdělávací programy pro úředníky ÚSC včetně programů k uvedené problematice. </w:t>
      </w:r>
    </w:p>
    <w:p w14:paraId="237DA9A2" w14:textId="77777777" w:rsidR="0053667C" w:rsidRPr="00FC1147" w:rsidRDefault="0053667C" w:rsidP="0053667C">
      <w:pPr>
        <w:rPr>
          <w:rFonts w:cs="Arial"/>
          <w:bCs/>
          <w:iCs/>
          <w:sz w:val="20"/>
          <w:szCs w:val="20"/>
        </w:rPr>
      </w:pPr>
      <w:r w:rsidRPr="00FC1147">
        <w:rPr>
          <w:rFonts w:cs="Arial"/>
          <w:bCs/>
          <w:iCs/>
          <w:sz w:val="20"/>
          <w:szCs w:val="20"/>
        </w:rPr>
        <w:t>Konkrétní výstup průběžného plnění:</w:t>
      </w:r>
    </w:p>
    <w:p w14:paraId="2F6087B2" w14:textId="49C8693E" w:rsidR="0053667C" w:rsidRPr="0053667C" w:rsidRDefault="0053667C" w:rsidP="0053667C">
      <w:pPr>
        <w:rPr>
          <w:rFonts w:cs="Arial"/>
          <w:b/>
          <w:bCs/>
          <w:iCs/>
          <w:sz w:val="20"/>
          <w:szCs w:val="20"/>
        </w:rPr>
      </w:pPr>
      <w:r w:rsidRPr="0053667C">
        <w:rPr>
          <w:rFonts w:cs="Arial"/>
          <w:bCs/>
          <w:iCs/>
          <w:sz w:val="20"/>
          <w:szCs w:val="20"/>
        </w:rPr>
        <w:t>K </w:t>
      </w:r>
      <w:proofErr w:type="gramStart"/>
      <w:r w:rsidRPr="0053667C">
        <w:rPr>
          <w:rFonts w:cs="Arial"/>
          <w:bCs/>
          <w:iCs/>
          <w:sz w:val="20"/>
          <w:szCs w:val="20"/>
        </w:rPr>
        <w:t>31.12.2023</w:t>
      </w:r>
      <w:proofErr w:type="gramEnd"/>
      <w:r w:rsidRPr="0053667C">
        <w:rPr>
          <w:rFonts w:cs="Arial"/>
          <w:bCs/>
          <w:iCs/>
          <w:sz w:val="20"/>
          <w:szCs w:val="20"/>
        </w:rPr>
        <w:t xml:space="preserve"> Ministerstvo vnitra akreditovalo (resp. obnovilo akreditaci) 65 vzdělávacích programů k uvedené problematice určených úředníkům územních samosprávných celků. Akreditace programů byla udělena (obnovena) 16 vzdělávacím institucím.</w:t>
      </w:r>
      <w:r w:rsidRPr="0053667C">
        <w:rPr>
          <w:rFonts w:cs="Arial"/>
          <w:b/>
          <w:bCs/>
          <w:iCs/>
          <w:sz w:val="20"/>
          <w:szCs w:val="20"/>
        </w:rPr>
        <w:t xml:space="preserve"> </w:t>
      </w:r>
    </w:p>
    <w:p w14:paraId="06562DB8" w14:textId="0751DF51" w:rsidR="0053667C" w:rsidRPr="0053667C" w:rsidRDefault="0053667C" w:rsidP="008263CB">
      <w:pPr>
        <w:pStyle w:val="Odstavecseseznamem"/>
        <w:numPr>
          <w:ilvl w:val="0"/>
          <w:numId w:val="24"/>
        </w:numPr>
        <w:rPr>
          <w:rFonts w:cs="Arial"/>
          <w:bCs/>
          <w:iCs/>
          <w:sz w:val="20"/>
          <w:szCs w:val="20"/>
        </w:rPr>
      </w:pPr>
      <w:r w:rsidRPr="0053667C">
        <w:rPr>
          <w:rFonts w:cs="Arial"/>
          <w:bCs/>
          <w:iCs/>
          <w:sz w:val="20"/>
          <w:szCs w:val="20"/>
        </w:rPr>
        <w:t>Z pohledu metodické zřizovatelské funkce spolupracuje na realizaci vzdělávání pro potřeby zaměstnanců územní samosprávy, popř. státní správy, v rámci Institutu pro veřejnou správu Praha dle požadavků jednotlivých správních úřadů.</w:t>
      </w:r>
    </w:p>
    <w:p w14:paraId="1FE3F43F" w14:textId="4C837BAF" w:rsidR="0053667C" w:rsidRPr="00FC1147" w:rsidRDefault="0053667C" w:rsidP="0053667C">
      <w:pPr>
        <w:rPr>
          <w:rFonts w:cs="Arial"/>
          <w:bCs/>
          <w:iCs/>
          <w:sz w:val="20"/>
          <w:szCs w:val="20"/>
        </w:rPr>
      </w:pPr>
      <w:r w:rsidRPr="00FC1147">
        <w:rPr>
          <w:rFonts w:cs="Arial"/>
          <w:bCs/>
          <w:iCs/>
          <w:sz w:val="20"/>
          <w:szCs w:val="20"/>
        </w:rPr>
        <w:t>Konkrétní výstup průběžného plnění:</w:t>
      </w:r>
    </w:p>
    <w:p w14:paraId="1F7F2839" w14:textId="10ACB409" w:rsidR="0053667C" w:rsidRPr="0053667C" w:rsidRDefault="0053667C" w:rsidP="0053667C">
      <w:pPr>
        <w:rPr>
          <w:rFonts w:cs="Arial"/>
          <w:bCs/>
          <w:iCs/>
          <w:sz w:val="20"/>
          <w:szCs w:val="20"/>
        </w:rPr>
      </w:pPr>
      <w:r w:rsidRPr="00B35798">
        <w:rPr>
          <w:rFonts w:cs="Arial"/>
          <w:bCs/>
          <w:iCs/>
          <w:sz w:val="20"/>
          <w:szCs w:val="20"/>
        </w:rPr>
        <w:t>Projekt Komunikace s osobami ohroženými sociálním vyloučením</w:t>
      </w:r>
      <w:r w:rsidRPr="0053667C">
        <w:rPr>
          <w:rFonts w:cs="Arial"/>
          <w:bCs/>
          <w:iCs/>
          <w:sz w:val="20"/>
          <w:szCs w:val="20"/>
        </w:rPr>
        <w:t xml:space="preserve"> – vyhodnocení za rok 2023:</w:t>
      </w:r>
    </w:p>
    <w:p w14:paraId="0E8E5188" w14:textId="5C9E835A" w:rsidR="0053667C" w:rsidRPr="0053667C" w:rsidRDefault="0053667C" w:rsidP="0053667C">
      <w:pPr>
        <w:rPr>
          <w:rFonts w:cs="Arial"/>
          <w:bCs/>
          <w:iCs/>
          <w:sz w:val="20"/>
          <w:szCs w:val="20"/>
        </w:rPr>
      </w:pPr>
      <w:r w:rsidRPr="0053667C">
        <w:rPr>
          <w:rFonts w:cs="Arial"/>
          <w:bCs/>
          <w:iCs/>
          <w:sz w:val="20"/>
          <w:szCs w:val="20"/>
        </w:rPr>
        <w:t xml:space="preserve">Projekt Komunikace s osobami ohroženými sociálním vyloučením začal Institut pro veřejnou správu Praha z pověření Ministerstva vnitra realizovat v roce 2022. Skládá se ze tří modulů. Prezenční kurzy jsou pořádány v Praze, Českých Budějovicích, Plzni, Brně, Olomouci a Ostravě. </w:t>
      </w:r>
    </w:p>
    <w:p w14:paraId="42F37AEA" w14:textId="6BA07A0E" w:rsidR="0053667C" w:rsidRPr="0053667C" w:rsidRDefault="0053667C" w:rsidP="0053667C">
      <w:pPr>
        <w:rPr>
          <w:rFonts w:cs="Arial"/>
          <w:bCs/>
          <w:iCs/>
          <w:sz w:val="20"/>
          <w:szCs w:val="20"/>
        </w:rPr>
      </w:pPr>
      <w:r w:rsidRPr="0053667C">
        <w:rPr>
          <w:rFonts w:cs="Arial"/>
          <w:bCs/>
          <w:iCs/>
          <w:sz w:val="20"/>
          <w:szCs w:val="20"/>
        </w:rPr>
        <w:t>V lednu – březnu 2023 byly realizovány poslední prezenční semináře projektu</w:t>
      </w:r>
      <w:r>
        <w:rPr>
          <w:rFonts w:cs="Arial"/>
          <w:bCs/>
          <w:iCs/>
          <w:sz w:val="20"/>
          <w:szCs w:val="20"/>
        </w:rPr>
        <w:t xml:space="preserve">. Jedním z modulů je </w:t>
      </w:r>
      <w:r w:rsidRPr="0053667C">
        <w:rPr>
          <w:rFonts w:cs="Arial"/>
          <w:bCs/>
          <w:iCs/>
          <w:sz w:val="20"/>
          <w:szCs w:val="20"/>
        </w:rPr>
        <w:t>Komunikace s lidmi s</w:t>
      </w:r>
      <w:r>
        <w:rPr>
          <w:rFonts w:cs="Arial"/>
          <w:bCs/>
          <w:iCs/>
          <w:sz w:val="20"/>
          <w:szCs w:val="20"/>
        </w:rPr>
        <w:t> </w:t>
      </w:r>
      <w:r w:rsidRPr="0053667C">
        <w:rPr>
          <w:rFonts w:cs="Arial"/>
          <w:bCs/>
          <w:iCs/>
          <w:sz w:val="20"/>
          <w:szCs w:val="20"/>
        </w:rPr>
        <w:t>postižením</w:t>
      </w:r>
      <w:r>
        <w:rPr>
          <w:rFonts w:cs="Arial"/>
          <w:bCs/>
          <w:iCs/>
          <w:sz w:val="20"/>
          <w:szCs w:val="20"/>
        </w:rPr>
        <w:t xml:space="preserve">, </w:t>
      </w:r>
      <w:proofErr w:type="gramStart"/>
      <w:r>
        <w:rPr>
          <w:rFonts w:cs="Arial"/>
          <w:bCs/>
          <w:iCs/>
          <w:sz w:val="20"/>
          <w:szCs w:val="20"/>
        </w:rPr>
        <w:t>který</w:t>
      </w:r>
      <w:proofErr w:type="gramEnd"/>
      <w:r>
        <w:rPr>
          <w:rFonts w:cs="Arial"/>
          <w:bCs/>
          <w:iCs/>
          <w:sz w:val="20"/>
          <w:szCs w:val="20"/>
        </w:rPr>
        <w:t xml:space="preserve"> absolvovalo </w:t>
      </w:r>
      <w:r w:rsidRPr="0053667C">
        <w:rPr>
          <w:rFonts w:cs="Arial"/>
          <w:bCs/>
          <w:iCs/>
          <w:sz w:val="20"/>
          <w:szCs w:val="20"/>
        </w:rPr>
        <w:t>21 osob</w:t>
      </w:r>
      <w:r>
        <w:rPr>
          <w:rFonts w:cs="Arial"/>
          <w:bCs/>
          <w:iCs/>
          <w:sz w:val="20"/>
          <w:szCs w:val="20"/>
        </w:rPr>
        <w:t>.</w:t>
      </w:r>
    </w:p>
    <w:p w14:paraId="769AE31B" w14:textId="0B9AFC47" w:rsidR="0053667C" w:rsidRPr="0053667C" w:rsidRDefault="0053667C" w:rsidP="0053667C">
      <w:pPr>
        <w:rPr>
          <w:rFonts w:cs="Arial"/>
          <w:bCs/>
          <w:iCs/>
          <w:sz w:val="20"/>
          <w:szCs w:val="20"/>
        </w:rPr>
      </w:pPr>
      <w:r w:rsidRPr="0053667C">
        <w:rPr>
          <w:rFonts w:cs="Arial"/>
          <w:bCs/>
          <w:iCs/>
          <w:sz w:val="20"/>
          <w:szCs w:val="20"/>
        </w:rPr>
        <w:t>Po skončení projektu Institut akreditoval u Ministerstva vnitra každý modul jako samostatný kurz průběžného vzdělávání.</w:t>
      </w:r>
    </w:p>
    <w:p w14:paraId="4E2FEAB1" w14:textId="57BCB2CB" w:rsidR="00371C52" w:rsidRPr="0053667C" w:rsidRDefault="00371C52" w:rsidP="0053667C">
      <w:pPr>
        <w:keepNext/>
        <w:tabs>
          <w:tab w:val="left" w:pos="720"/>
        </w:tabs>
        <w:rPr>
          <w:rFonts w:cs="Arial"/>
          <w:b/>
          <w:bCs/>
          <w:sz w:val="20"/>
          <w:szCs w:val="20"/>
          <w:lang w:eastAsia="cs-CZ"/>
        </w:rPr>
      </w:pPr>
      <w:r w:rsidRPr="0053667C">
        <w:rPr>
          <w:rFonts w:cs="Arial"/>
          <w:b/>
          <w:bCs/>
          <w:sz w:val="20"/>
          <w:szCs w:val="20"/>
          <w:lang w:eastAsia="cs-CZ"/>
        </w:rPr>
        <w:t>STANOVISKO K PLNĚNÍ:</w:t>
      </w:r>
      <w:r w:rsidR="007200DD" w:rsidRPr="0053667C">
        <w:rPr>
          <w:rFonts w:cs="Arial"/>
          <w:b/>
          <w:bCs/>
          <w:sz w:val="20"/>
          <w:szCs w:val="20"/>
          <w:lang w:eastAsia="cs-CZ"/>
        </w:rPr>
        <w:t xml:space="preserve"> </w:t>
      </w:r>
      <w:r w:rsidR="009B3BAC" w:rsidRPr="0053667C">
        <w:rPr>
          <w:rFonts w:cs="Arial"/>
          <w:b/>
          <w:bCs/>
          <w:sz w:val="20"/>
          <w:szCs w:val="20"/>
          <w:lang w:eastAsia="cs-CZ"/>
        </w:rPr>
        <w:t>P</w:t>
      </w:r>
      <w:r w:rsidR="003636D0" w:rsidRPr="0053667C">
        <w:rPr>
          <w:rFonts w:cs="Arial"/>
          <w:b/>
          <w:bCs/>
          <w:sz w:val="20"/>
          <w:szCs w:val="20"/>
          <w:lang w:eastAsia="cs-CZ"/>
        </w:rPr>
        <w:t>lněno</w:t>
      </w:r>
      <w:r w:rsidR="0059632F" w:rsidRPr="0053667C">
        <w:rPr>
          <w:rFonts w:cs="Arial"/>
          <w:b/>
          <w:bCs/>
          <w:sz w:val="20"/>
          <w:szCs w:val="20"/>
          <w:lang w:eastAsia="cs-CZ"/>
        </w:rPr>
        <w:t>.</w:t>
      </w:r>
    </w:p>
    <w:p w14:paraId="3F2B8CE1" w14:textId="77777777" w:rsidR="00371C52" w:rsidRPr="009B3BAC" w:rsidRDefault="00371C52" w:rsidP="00AA6F9F">
      <w:pPr>
        <w:rPr>
          <w:rFonts w:cs="Arial"/>
          <w:sz w:val="20"/>
          <w:szCs w:val="20"/>
        </w:rPr>
      </w:pPr>
    </w:p>
    <w:p w14:paraId="3E60A33D" w14:textId="4DBFA17F" w:rsidR="00F17E74" w:rsidRPr="00F912B5" w:rsidRDefault="00F17E74" w:rsidP="00AA6F9F">
      <w:pPr>
        <w:rPr>
          <w:rFonts w:cs="Arial"/>
          <w:bCs/>
          <w:szCs w:val="20"/>
        </w:rPr>
      </w:pPr>
      <w:r>
        <w:rPr>
          <w:rFonts w:cs="Arial"/>
          <w:bCs/>
          <w:szCs w:val="20"/>
        </w:rPr>
        <w:t>Opatření 3.4</w:t>
      </w:r>
      <w:r w:rsidRPr="00F912B5">
        <w:rPr>
          <w:rFonts w:cs="Arial"/>
          <w:bCs/>
          <w:szCs w:val="20"/>
        </w:rPr>
        <w:t>.2 Zapracovat do základní odborné přípravy pol</w:t>
      </w:r>
      <w:r w:rsidR="00093402">
        <w:rPr>
          <w:rFonts w:cs="Arial"/>
          <w:bCs/>
          <w:szCs w:val="20"/>
        </w:rPr>
        <w:t xml:space="preserve">icistů a specializačních kurzů </w:t>
      </w:r>
      <w:r w:rsidRPr="00F912B5">
        <w:rPr>
          <w:rFonts w:cs="Arial"/>
          <w:bCs/>
          <w:szCs w:val="20"/>
        </w:rPr>
        <w:t>pro službu kriminální policie a vyšetřování a službu pořádkové policie problematiku osob se zdravotním postižením.</w:t>
      </w:r>
    </w:p>
    <w:p w14:paraId="1C632D0F" w14:textId="77777777" w:rsidR="00F17E74" w:rsidRPr="00F912B5" w:rsidRDefault="00F17E74" w:rsidP="00AA6F9F">
      <w:pPr>
        <w:rPr>
          <w:rFonts w:cs="Arial"/>
          <w:bCs/>
          <w:szCs w:val="20"/>
        </w:rPr>
      </w:pPr>
      <w:r w:rsidRPr="00F912B5">
        <w:rPr>
          <w:rFonts w:cs="Arial"/>
          <w:bCs/>
          <w:szCs w:val="20"/>
        </w:rPr>
        <w:t>Termín: průběžně</w:t>
      </w:r>
    </w:p>
    <w:p w14:paraId="23C46062" w14:textId="77777777" w:rsidR="00F17E74" w:rsidRPr="00F912B5" w:rsidRDefault="00F17E74" w:rsidP="00AA6F9F">
      <w:pPr>
        <w:rPr>
          <w:rFonts w:cs="Arial"/>
          <w:bCs/>
          <w:szCs w:val="20"/>
        </w:rPr>
      </w:pPr>
      <w:r w:rsidRPr="00F912B5">
        <w:rPr>
          <w:rFonts w:cs="Arial"/>
          <w:bCs/>
          <w:szCs w:val="20"/>
        </w:rPr>
        <w:t xml:space="preserve">Gestor: MV </w:t>
      </w:r>
    </w:p>
    <w:p w14:paraId="3FB25177" w14:textId="7B74CC85" w:rsidR="00F17E74" w:rsidRDefault="00F17E74" w:rsidP="00AA6F9F">
      <w:pPr>
        <w:rPr>
          <w:rFonts w:cs="Arial"/>
          <w:szCs w:val="20"/>
        </w:rPr>
      </w:pPr>
      <w:r w:rsidRPr="00D87068">
        <w:rPr>
          <w:rFonts w:cs="Arial"/>
          <w:szCs w:val="20"/>
        </w:rPr>
        <w:t>Indikátor:</w:t>
      </w:r>
      <w:r>
        <w:rPr>
          <w:rFonts w:cs="Arial"/>
          <w:szCs w:val="20"/>
        </w:rPr>
        <w:t xml:space="preserve"> Problematika osob se zdravotním postižením je do předmětné odborné přípravy </w:t>
      </w:r>
      <w:r w:rsidRPr="00927D1B">
        <w:rPr>
          <w:rFonts w:cs="Arial"/>
          <w:bCs/>
          <w:szCs w:val="20"/>
        </w:rPr>
        <w:t>zapracována</w:t>
      </w:r>
      <w:r>
        <w:rPr>
          <w:rFonts w:cs="Arial"/>
          <w:szCs w:val="20"/>
        </w:rPr>
        <w:t>.</w:t>
      </w:r>
    </w:p>
    <w:p w14:paraId="4AD70B1E" w14:textId="77777777" w:rsidR="00AA6F9F" w:rsidRPr="00F8642A" w:rsidRDefault="00AA6F9F" w:rsidP="00AA6F9F">
      <w:pPr>
        <w:rPr>
          <w:rFonts w:cs="Arial"/>
          <w:sz w:val="20"/>
          <w:szCs w:val="20"/>
        </w:rPr>
      </w:pPr>
    </w:p>
    <w:p w14:paraId="6695401F" w14:textId="409F6274" w:rsidR="002B2352" w:rsidRPr="00E059E8" w:rsidRDefault="002B2352" w:rsidP="00E059E8">
      <w:pPr>
        <w:tabs>
          <w:tab w:val="left" w:pos="720"/>
        </w:tabs>
        <w:rPr>
          <w:rFonts w:cs="Arial"/>
          <w:b/>
          <w:bCs/>
          <w:sz w:val="20"/>
          <w:szCs w:val="20"/>
          <w:lang w:eastAsia="cs-CZ"/>
        </w:rPr>
      </w:pPr>
      <w:r w:rsidRPr="00E059E8">
        <w:rPr>
          <w:rFonts w:cs="Arial"/>
          <w:b/>
          <w:bCs/>
          <w:sz w:val="20"/>
          <w:szCs w:val="20"/>
          <w:lang w:eastAsia="cs-CZ"/>
        </w:rPr>
        <w:t>PLNĚNÍ MV:</w:t>
      </w:r>
    </w:p>
    <w:p w14:paraId="312A09DB" w14:textId="0BB40CD8" w:rsidR="00E059E8" w:rsidRPr="00E059E8" w:rsidRDefault="00E059E8" w:rsidP="00E059E8">
      <w:pPr>
        <w:rPr>
          <w:rFonts w:cs="Arial"/>
          <w:sz w:val="20"/>
          <w:szCs w:val="20"/>
        </w:rPr>
      </w:pPr>
      <w:r w:rsidRPr="00E059E8">
        <w:rPr>
          <w:rFonts w:cs="Arial"/>
          <w:sz w:val="20"/>
          <w:szCs w:val="20"/>
        </w:rPr>
        <w:t>Policie ČR má již do základní odborné přípravy a dalších kvalifikačních kurzů např. i pro cizineckou policii tuto problematiku zapracovánu, a to v rámci nejrůznějších předmětů jako např. právo a v rámci komunikačních dovedností i v rámci modelových situací. Této problematice je věnována ze strany Policie ČR velká pozornost a je průběžně modifikována na základě nových poznatků, případně vzniku nových rizik pro tyto ohrožené skupiny. V rámci ZOP jsou školeni všichni nově nastoupivší policisté.</w:t>
      </w:r>
    </w:p>
    <w:p w14:paraId="638EC0F1" w14:textId="759A713F" w:rsidR="002B2352" w:rsidRPr="00D87D4E" w:rsidRDefault="002B2352" w:rsidP="00D87D4E">
      <w:pPr>
        <w:keepNext/>
        <w:tabs>
          <w:tab w:val="left" w:pos="720"/>
        </w:tabs>
        <w:rPr>
          <w:rFonts w:cs="Arial"/>
          <w:b/>
          <w:bCs/>
          <w:sz w:val="20"/>
          <w:szCs w:val="20"/>
          <w:lang w:eastAsia="cs-CZ"/>
        </w:rPr>
      </w:pPr>
      <w:r w:rsidRPr="00E059E8">
        <w:rPr>
          <w:rFonts w:cs="Arial"/>
          <w:b/>
          <w:bCs/>
          <w:sz w:val="20"/>
          <w:szCs w:val="20"/>
          <w:lang w:eastAsia="cs-CZ"/>
        </w:rPr>
        <w:t>STANOVISKO K PLNĚNÍ:</w:t>
      </w:r>
      <w:r w:rsidR="00D84A26" w:rsidRPr="00E059E8">
        <w:rPr>
          <w:rFonts w:cs="Arial"/>
          <w:b/>
          <w:bCs/>
          <w:sz w:val="20"/>
          <w:szCs w:val="20"/>
          <w:lang w:eastAsia="cs-CZ"/>
        </w:rPr>
        <w:t xml:space="preserve"> Plněno.</w:t>
      </w:r>
    </w:p>
    <w:p w14:paraId="03323788" w14:textId="77777777" w:rsidR="00CB0FE5" w:rsidRPr="00820C97" w:rsidRDefault="00CB0FE5" w:rsidP="00820C97">
      <w:pPr>
        <w:rPr>
          <w:rFonts w:cs="Arial"/>
          <w:sz w:val="20"/>
          <w:szCs w:val="20"/>
        </w:rPr>
      </w:pPr>
      <w:bookmarkStart w:id="19" w:name="_Toc38548789"/>
      <w:bookmarkStart w:id="20" w:name="_Toc38828886"/>
    </w:p>
    <w:p w14:paraId="69602D2F" w14:textId="77777777" w:rsidR="00F17E74" w:rsidRPr="00544214" w:rsidRDefault="00544214" w:rsidP="006D6699">
      <w:pPr>
        <w:pStyle w:val="Nadpis2"/>
        <w:numPr>
          <w:ilvl w:val="0"/>
          <w:numId w:val="0"/>
        </w:numPr>
        <w:spacing w:before="0" w:after="120"/>
        <w:ind w:left="576" w:hanging="576"/>
      </w:pPr>
      <w:bookmarkStart w:id="21" w:name="_Toc101957892"/>
      <w:r>
        <w:t>Oblast č. 4</w:t>
      </w:r>
      <w:r w:rsidR="00B345A2">
        <w:t>:</w:t>
      </w:r>
      <w:r>
        <w:t xml:space="preserve"> </w:t>
      </w:r>
      <w:r w:rsidR="00F17E74" w:rsidRPr="00544214">
        <w:t>Mimořádné události a krizové situace</w:t>
      </w:r>
      <w:bookmarkEnd w:id="19"/>
      <w:bookmarkEnd w:id="20"/>
      <w:bookmarkEnd w:id="21"/>
      <w:r w:rsidR="00F17E74" w:rsidRPr="00544214">
        <w:t xml:space="preserve"> </w:t>
      </w:r>
    </w:p>
    <w:p w14:paraId="38CF8B38" w14:textId="4CB6D8F0" w:rsidR="00F17E74" w:rsidRPr="007C6B1F" w:rsidRDefault="007C6B1F" w:rsidP="00F17E74">
      <w:pPr>
        <w:rPr>
          <w:rFonts w:cs="Arial"/>
          <w:sz w:val="20"/>
          <w:szCs w:val="20"/>
        </w:rPr>
      </w:pPr>
      <w:r>
        <w:rPr>
          <w:rFonts w:cs="Arial"/>
          <w:sz w:val="20"/>
          <w:szCs w:val="20"/>
        </w:rPr>
        <w:t>Tato oblast je zaměřena na z</w:t>
      </w:r>
      <w:r w:rsidR="00F17E74" w:rsidRPr="003B684A">
        <w:rPr>
          <w:rFonts w:cs="Arial"/>
          <w:sz w:val="20"/>
          <w:szCs w:val="20"/>
        </w:rPr>
        <w:t>ajišťování ochrany a bezpečnosti osob se zdravotním postižením za mimořádných událostí a krizových situací, jako jsou například mimořádné udál</w:t>
      </w:r>
      <w:r>
        <w:rPr>
          <w:rFonts w:cs="Arial"/>
          <w:sz w:val="20"/>
          <w:szCs w:val="20"/>
        </w:rPr>
        <w:t xml:space="preserve">osti způsobené </w:t>
      </w:r>
      <w:r w:rsidRPr="007C6B1F">
        <w:rPr>
          <w:rFonts w:cs="Arial"/>
          <w:sz w:val="20"/>
          <w:szCs w:val="20"/>
        </w:rPr>
        <w:t xml:space="preserve">přírodními vlivy. </w:t>
      </w:r>
    </w:p>
    <w:p w14:paraId="0D1CBE29" w14:textId="5D324DDB" w:rsidR="00F17E74" w:rsidRPr="003B684A" w:rsidRDefault="007C6B1F" w:rsidP="00AE6DA6">
      <w:pPr>
        <w:rPr>
          <w:rFonts w:cs="Arial"/>
          <w:sz w:val="20"/>
          <w:szCs w:val="20"/>
        </w:rPr>
      </w:pPr>
      <w:r w:rsidRPr="007C6B1F">
        <w:rPr>
          <w:rFonts w:cs="Arial"/>
          <w:sz w:val="20"/>
          <w:szCs w:val="20"/>
        </w:rPr>
        <w:t>O</w:t>
      </w:r>
      <w:r w:rsidR="00F17E74" w:rsidRPr="007C6B1F">
        <w:rPr>
          <w:rFonts w:cs="Arial"/>
          <w:sz w:val="20"/>
          <w:szCs w:val="20"/>
        </w:rPr>
        <w:t>soby</w:t>
      </w:r>
      <w:r w:rsidR="00F17E74" w:rsidRPr="003B684A">
        <w:rPr>
          <w:rFonts w:cs="Arial"/>
          <w:sz w:val="20"/>
          <w:szCs w:val="20"/>
        </w:rPr>
        <w:t xml:space="preserve"> se zdravotním postižením jsou při mimořádných událostech</w:t>
      </w:r>
      <w:r w:rsidR="00F17E74" w:rsidRPr="003B684A" w:rsidDel="004166B5">
        <w:rPr>
          <w:rFonts w:cs="Arial"/>
          <w:sz w:val="20"/>
          <w:szCs w:val="20"/>
        </w:rPr>
        <w:t xml:space="preserve"> </w:t>
      </w:r>
      <w:r w:rsidR="00F17E74" w:rsidRPr="003B684A">
        <w:rPr>
          <w:rFonts w:cs="Arial"/>
          <w:sz w:val="20"/>
          <w:szCs w:val="20"/>
        </w:rPr>
        <w:t xml:space="preserve">zranitelnější než většinová populace. K tomu přispívá zejména nedostatečné povědomí o specifických potřebách osob s dílčími typy zdravotního postižení, neexistence odpovídajících inkluzivních politik, strategií a programů pro snížení či odvrácení rizika, nedostatečný přístup k informacím či nepřístupná zařízení a služby. Pro zvýšení bezpečnosti osob se zdravotním postižením je proto nezbytné zvyšovat jejich povědomí </w:t>
      </w:r>
      <w:r w:rsidR="00894AA9">
        <w:rPr>
          <w:rFonts w:cs="Arial"/>
          <w:sz w:val="20"/>
          <w:szCs w:val="20"/>
        </w:rPr>
        <w:t>o </w:t>
      </w:r>
      <w:r w:rsidR="00F17E74" w:rsidRPr="003B684A">
        <w:rPr>
          <w:rFonts w:cs="Arial"/>
          <w:sz w:val="20"/>
          <w:szCs w:val="20"/>
        </w:rPr>
        <w:t>možnostech získání informací, řešení a chování při nastalých mimořádných událostech, ale zejména vhodně upravit plány pro řešení krizových situací tak, aby obsahovaly i opatření</w:t>
      </w:r>
      <w:r w:rsidR="00A2789D" w:rsidRPr="003B684A">
        <w:rPr>
          <w:rFonts w:cs="Arial"/>
          <w:sz w:val="20"/>
          <w:szCs w:val="20"/>
        </w:rPr>
        <w:t xml:space="preserve"> týkající se </w:t>
      </w:r>
      <w:r w:rsidR="00F17E74" w:rsidRPr="003B684A">
        <w:rPr>
          <w:rFonts w:cs="Arial"/>
          <w:sz w:val="20"/>
          <w:szCs w:val="20"/>
        </w:rPr>
        <w:t xml:space="preserve">osob </w:t>
      </w:r>
      <w:r w:rsidR="00F17E74" w:rsidRPr="003B684A">
        <w:rPr>
          <w:rFonts w:cs="Arial"/>
          <w:sz w:val="20"/>
          <w:szCs w:val="20"/>
        </w:rPr>
        <w:lastRenderedPageBreak/>
        <w:t xml:space="preserve">se zdravotním postižením, a realizovat školení pro </w:t>
      </w:r>
      <w:r w:rsidR="00F17E74" w:rsidRPr="003B684A">
        <w:rPr>
          <w:rFonts w:eastAsia="Calibri" w:cs="Arial"/>
          <w:sz w:val="20"/>
          <w:szCs w:val="20"/>
        </w:rPr>
        <w:t>všechny složky integrovaného záchranného systému týkající se specifických potřeb při komunikaci a</w:t>
      </w:r>
      <w:r w:rsidR="00251C70" w:rsidRPr="003B684A">
        <w:rPr>
          <w:rFonts w:eastAsia="Calibri" w:cs="Arial"/>
          <w:sz w:val="20"/>
          <w:szCs w:val="20"/>
        </w:rPr>
        <w:t> </w:t>
      </w:r>
      <w:r w:rsidR="00F17E74" w:rsidRPr="003B684A">
        <w:rPr>
          <w:rFonts w:eastAsia="Calibri" w:cs="Arial"/>
          <w:sz w:val="20"/>
          <w:szCs w:val="20"/>
        </w:rPr>
        <w:t>pomoci osobám se</w:t>
      </w:r>
      <w:r w:rsidR="00015B4E" w:rsidRPr="003B684A">
        <w:rPr>
          <w:rFonts w:eastAsia="Calibri" w:cs="Arial"/>
          <w:sz w:val="20"/>
          <w:szCs w:val="20"/>
        </w:rPr>
        <w:t> </w:t>
      </w:r>
      <w:r w:rsidR="00F17E74" w:rsidRPr="003B684A">
        <w:rPr>
          <w:rFonts w:eastAsia="Calibri" w:cs="Arial"/>
          <w:sz w:val="20"/>
          <w:szCs w:val="20"/>
        </w:rPr>
        <w:t>zdravotním postižením</w:t>
      </w:r>
      <w:r w:rsidR="00196DFB">
        <w:rPr>
          <w:rFonts w:cs="Arial"/>
          <w:sz w:val="20"/>
          <w:szCs w:val="20"/>
        </w:rPr>
        <w:t>.</w:t>
      </w:r>
    </w:p>
    <w:p w14:paraId="24ABC33E" w14:textId="77777777" w:rsidR="007C6B1F" w:rsidRDefault="007C6B1F" w:rsidP="00AE6DA6">
      <w:pPr>
        <w:rPr>
          <w:rFonts w:eastAsia="Calibri" w:cs="Arial"/>
          <w:b/>
          <w:szCs w:val="20"/>
        </w:rPr>
      </w:pPr>
    </w:p>
    <w:p w14:paraId="1C857BCC" w14:textId="28909613" w:rsidR="005D5505" w:rsidRDefault="00F17E74" w:rsidP="00AE6DA6">
      <w:pPr>
        <w:rPr>
          <w:rFonts w:eastAsia="Calibri" w:cs="Arial"/>
          <w:b/>
          <w:bCs/>
          <w:szCs w:val="20"/>
        </w:rPr>
      </w:pPr>
      <w:r>
        <w:rPr>
          <w:rFonts w:eastAsia="Calibri" w:cs="Arial"/>
          <w:b/>
          <w:szCs w:val="20"/>
        </w:rPr>
        <w:t xml:space="preserve">4.1 </w:t>
      </w:r>
      <w:r w:rsidRPr="0057756D">
        <w:rPr>
          <w:rFonts w:eastAsia="Calibri" w:cs="Arial"/>
          <w:b/>
          <w:szCs w:val="20"/>
        </w:rPr>
        <w:t xml:space="preserve">Cíl: Zajištění </w:t>
      </w:r>
      <w:r w:rsidRPr="0057756D">
        <w:rPr>
          <w:rFonts w:eastAsia="Calibri" w:cs="Arial"/>
          <w:b/>
          <w:bCs/>
          <w:szCs w:val="20"/>
        </w:rPr>
        <w:t>informovanosti osob se zdravotním postižením o mimořádných událostech a </w:t>
      </w:r>
      <w:r w:rsidRPr="00E54831">
        <w:rPr>
          <w:rFonts w:cs="Arial"/>
          <w:b/>
          <w:bCs/>
          <w:szCs w:val="20"/>
        </w:rPr>
        <w:t>krizových</w:t>
      </w:r>
      <w:r w:rsidRPr="0057756D">
        <w:rPr>
          <w:rFonts w:eastAsia="Calibri" w:cs="Arial"/>
          <w:b/>
          <w:bCs/>
          <w:szCs w:val="20"/>
        </w:rPr>
        <w:t xml:space="preserve"> situací</w:t>
      </w:r>
      <w:r>
        <w:rPr>
          <w:rFonts w:eastAsia="Calibri" w:cs="Arial"/>
          <w:b/>
          <w:bCs/>
          <w:szCs w:val="20"/>
        </w:rPr>
        <w:t>ch</w:t>
      </w:r>
      <w:r w:rsidRPr="0057756D">
        <w:rPr>
          <w:rFonts w:eastAsia="Calibri" w:cs="Arial"/>
          <w:b/>
          <w:bCs/>
          <w:szCs w:val="20"/>
        </w:rPr>
        <w:t>.</w:t>
      </w:r>
    </w:p>
    <w:p w14:paraId="65D54EA3" w14:textId="77777777" w:rsidR="00C15139" w:rsidRPr="0057756D" w:rsidRDefault="00C15139" w:rsidP="00C15139">
      <w:pPr>
        <w:rPr>
          <w:rFonts w:eastAsia="Calibri" w:cs="Arial"/>
          <w:b/>
          <w:szCs w:val="20"/>
        </w:rPr>
      </w:pPr>
      <w:r w:rsidRPr="0035060D">
        <w:rPr>
          <w:rFonts w:cs="Arial"/>
          <w:bCs/>
          <w:szCs w:val="20"/>
        </w:rPr>
        <w:t xml:space="preserve">Opatření </w:t>
      </w:r>
      <w:r>
        <w:rPr>
          <w:rFonts w:cs="Arial"/>
          <w:bCs/>
          <w:szCs w:val="20"/>
        </w:rPr>
        <w:t>4</w:t>
      </w:r>
      <w:r>
        <w:rPr>
          <w:rFonts w:cs="Arial"/>
          <w:szCs w:val="20"/>
        </w:rPr>
        <w:t xml:space="preserve">.1.1 </w:t>
      </w:r>
      <w:r w:rsidRPr="0057756D">
        <w:rPr>
          <w:rFonts w:eastAsia="Calibri" w:cs="Arial"/>
          <w:szCs w:val="20"/>
          <w:lang w:bidi="cs-CZ"/>
        </w:rPr>
        <w:t xml:space="preserve">Provést úpravu </w:t>
      </w:r>
      <w:r w:rsidRPr="00F4372D">
        <w:rPr>
          <w:rFonts w:eastAsia="Calibri" w:cs="Arial"/>
          <w:szCs w:val="20"/>
          <w:lang w:bidi="cs-CZ"/>
        </w:rPr>
        <w:t>typov</w:t>
      </w:r>
      <w:r>
        <w:rPr>
          <w:rFonts w:eastAsia="Calibri" w:cs="Arial"/>
          <w:szCs w:val="20"/>
          <w:lang w:bidi="cs-CZ"/>
        </w:rPr>
        <w:t>ých</w:t>
      </w:r>
      <w:r w:rsidRPr="00F4372D">
        <w:rPr>
          <w:rFonts w:eastAsia="Calibri" w:cs="Arial"/>
          <w:szCs w:val="20"/>
          <w:lang w:bidi="cs-CZ"/>
        </w:rPr>
        <w:t xml:space="preserve"> plá</w:t>
      </w:r>
      <w:r>
        <w:rPr>
          <w:rFonts w:eastAsia="Calibri" w:cs="Arial"/>
          <w:szCs w:val="20"/>
          <w:lang w:bidi="cs-CZ"/>
        </w:rPr>
        <w:t>nů</w:t>
      </w:r>
      <w:r w:rsidRPr="00F4372D">
        <w:rPr>
          <w:rFonts w:eastAsia="Calibri" w:cs="Arial"/>
          <w:szCs w:val="20"/>
          <w:lang w:bidi="cs-CZ"/>
        </w:rPr>
        <w:t xml:space="preserve"> pro řešení krizových situací</w:t>
      </w:r>
      <w:r>
        <w:rPr>
          <w:rFonts w:eastAsia="Calibri" w:cs="Arial"/>
          <w:szCs w:val="20"/>
          <w:lang w:bidi="cs-CZ"/>
        </w:rPr>
        <w:t xml:space="preserve"> </w:t>
      </w:r>
      <w:r w:rsidRPr="0057756D">
        <w:rPr>
          <w:rFonts w:eastAsia="Calibri" w:cs="Arial"/>
          <w:szCs w:val="20"/>
          <w:lang w:bidi="cs-CZ"/>
        </w:rPr>
        <w:t>tak, aby obsahovaly ustanovení týkající se osob se zdravotním postižením.</w:t>
      </w:r>
    </w:p>
    <w:p w14:paraId="4336B555" w14:textId="77777777" w:rsidR="00C15139" w:rsidRPr="0057756D" w:rsidRDefault="00C15139" w:rsidP="00C15139">
      <w:pPr>
        <w:rPr>
          <w:rFonts w:cs="Arial"/>
          <w:szCs w:val="20"/>
        </w:rPr>
      </w:pPr>
      <w:r>
        <w:rPr>
          <w:rFonts w:cs="Arial"/>
          <w:szCs w:val="20"/>
        </w:rPr>
        <w:t xml:space="preserve">Termín: </w:t>
      </w:r>
      <w:proofErr w:type="gramStart"/>
      <w:r>
        <w:rPr>
          <w:rFonts w:cs="Arial"/>
          <w:szCs w:val="20"/>
        </w:rPr>
        <w:t>31.12.2023</w:t>
      </w:r>
      <w:proofErr w:type="gramEnd"/>
    </w:p>
    <w:p w14:paraId="24D749DC" w14:textId="77777777" w:rsidR="00C15139" w:rsidRPr="0057756D" w:rsidRDefault="00C15139" w:rsidP="00C15139">
      <w:pPr>
        <w:rPr>
          <w:rFonts w:cs="Arial"/>
          <w:szCs w:val="20"/>
        </w:rPr>
      </w:pPr>
      <w:r w:rsidRPr="0057756D">
        <w:rPr>
          <w:rFonts w:cs="Arial"/>
          <w:szCs w:val="20"/>
        </w:rPr>
        <w:t xml:space="preserve">Gestor: </w:t>
      </w:r>
      <w:r>
        <w:rPr>
          <w:rFonts w:cs="Arial"/>
          <w:szCs w:val="20"/>
        </w:rPr>
        <w:t>MV</w:t>
      </w:r>
    </w:p>
    <w:p w14:paraId="72393770" w14:textId="147B499F" w:rsidR="00C15139" w:rsidRDefault="00C15139" w:rsidP="00C15139">
      <w:pPr>
        <w:rPr>
          <w:rFonts w:eastAsia="Calibri" w:cs="Arial"/>
          <w:szCs w:val="20"/>
        </w:rPr>
      </w:pPr>
      <w:r w:rsidRPr="00D87068">
        <w:rPr>
          <w:rFonts w:cs="Arial"/>
          <w:szCs w:val="20"/>
        </w:rPr>
        <w:t xml:space="preserve">Indikátor: </w:t>
      </w:r>
      <w:r>
        <w:rPr>
          <w:rFonts w:eastAsia="Calibri" w:cs="Arial"/>
          <w:szCs w:val="20"/>
        </w:rPr>
        <w:t>T</w:t>
      </w:r>
      <w:r w:rsidRPr="00F4372D">
        <w:rPr>
          <w:rFonts w:eastAsia="Calibri" w:cs="Arial"/>
          <w:szCs w:val="20"/>
        </w:rPr>
        <w:t>ypové plány pro řešení krizových situací</w:t>
      </w:r>
      <w:r>
        <w:rPr>
          <w:rFonts w:eastAsia="Calibri" w:cs="Arial"/>
          <w:szCs w:val="20"/>
        </w:rPr>
        <w:t xml:space="preserve"> </w:t>
      </w:r>
      <w:r w:rsidRPr="00F4372D">
        <w:rPr>
          <w:rFonts w:eastAsia="Calibri" w:cs="Arial"/>
          <w:szCs w:val="20"/>
        </w:rPr>
        <w:t>obsahují ustanovení týkající se osob se zdravotním postižením.</w:t>
      </w:r>
    </w:p>
    <w:p w14:paraId="53CD7959" w14:textId="77777777" w:rsidR="00C15139" w:rsidRDefault="00C15139" w:rsidP="00C15139">
      <w:pPr>
        <w:tabs>
          <w:tab w:val="left" w:pos="720"/>
        </w:tabs>
        <w:rPr>
          <w:rFonts w:cs="Arial"/>
          <w:b/>
          <w:bCs/>
          <w:sz w:val="20"/>
          <w:szCs w:val="20"/>
          <w:lang w:eastAsia="cs-CZ"/>
        </w:rPr>
      </w:pPr>
    </w:p>
    <w:p w14:paraId="41418020" w14:textId="63291EDA" w:rsidR="00C15139" w:rsidRPr="00FA5407" w:rsidRDefault="00C15139" w:rsidP="00FA5407">
      <w:pPr>
        <w:tabs>
          <w:tab w:val="left" w:pos="720"/>
        </w:tabs>
        <w:rPr>
          <w:rFonts w:cs="Arial"/>
          <w:b/>
          <w:bCs/>
          <w:sz w:val="20"/>
          <w:szCs w:val="20"/>
          <w:lang w:eastAsia="cs-CZ"/>
        </w:rPr>
      </w:pPr>
      <w:r w:rsidRPr="00CD6EF8">
        <w:rPr>
          <w:rFonts w:cs="Arial"/>
          <w:b/>
          <w:bCs/>
          <w:sz w:val="20"/>
          <w:szCs w:val="20"/>
          <w:lang w:eastAsia="cs-CZ"/>
        </w:rPr>
        <w:t>PLNĚNÍ MV:</w:t>
      </w:r>
      <w:r w:rsidR="00CD6EF8" w:rsidRPr="00CD6EF8">
        <w:rPr>
          <w:rFonts w:cs="Arial"/>
          <w:b/>
          <w:bCs/>
          <w:sz w:val="20"/>
          <w:szCs w:val="20"/>
          <w:lang w:eastAsia="cs-CZ"/>
        </w:rPr>
        <w:t xml:space="preserve"> </w:t>
      </w:r>
    </w:p>
    <w:p w14:paraId="3668F0B4" w14:textId="6E7C2995" w:rsidR="00FA5407" w:rsidRPr="00FA5407" w:rsidRDefault="00E6643C" w:rsidP="00FA5407">
      <w:pPr>
        <w:rPr>
          <w:rFonts w:cs="Arial"/>
          <w:sz w:val="20"/>
          <w:szCs w:val="20"/>
        </w:rPr>
      </w:pPr>
      <w:r>
        <w:rPr>
          <w:rFonts w:cs="Arial"/>
          <w:sz w:val="20"/>
          <w:szCs w:val="20"/>
        </w:rPr>
        <w:t>G</w:t>
      </w:r>
      <w:r w:rsidR="00FA5407" w:rsidRPr="00FA5407">
        <w:rPr>
          <w:rFonts w:cs="Arial"/>
          <w:sz w:val="20"/>
          <w:szCs w:val="20"/>
        </w:rPr>
        <w:t>estorem za Metodický pokyn ke zpracování Typových plánů je MV-GŘ HZS ČR, které má oprávnění upravovat jednotlivé části a požadavky typových plánů.</w:t>
      </w:r>
    </w:p>
    <w:p w14:paraId="20EFDD14" w14:textId="6CFDC5B8" w:rsidR="00FA5407" w:rsidRPr="00FA5407" w:rsidRDefault="00FA5407" w:rsidP="00FA5407">
      <w:pPr>
        <w:rPr>
          <w:rFonts w:cs="Arial"/>
          <w:sz w:val="20"/>
          <w:szCs w:val="20"/>
        </w:rPr>
      </w:pPr>
      <w:r w:rsidRPr="00FA5407">
        <w:rPr>
          <w:rFonts w:cs="Arial"/>
          <w:sz w:val="20"/>
          <w:szCs w:val="20"/>
        </w:rPr>
        <w:t>Dále je třeba uvést, že příprava na krizové situace a vypracované typové plány automaticky zahrnují osoby se zdravotním postižením, jelikož opatření a ochrana, které jsou přijímány při překonávání krizové situace, jsou pro všechny postižené obyvatele stejná. Z pohledu státu jsou si všechny osoby rovny, což má právní oporu v ÚZ č. 2/1993 Sb. Listina základních práv a svobod, Hlava I., čl. 1, dále pak čl. 3 odst. 1.</w:t>
      </w:r>
    </w:p>
    <w:p w14:paraId="1A16F614" w14:textId="051702F2" w:rsidR="00FA5407" w:rsidRPr="00FA5407" w:rsidRDefault="00FA5407" w:rsidP="00FA5407">
      <w:pPr>
        <w:rPr>
          <w:rFonts w:cs="Arial"/>
          <w:sz w:val="20"/>
          <w:szCs w:val="20"/>
        </w:rPr>
      </w:pPr>
      <w:r w:rsidRPr="00FA5407">
        <w:rPr>
          <w:rFonts w:cs="Arial"/>
          <w:sz w:val="20"/>
          <w:szCs w:val="20"/>
        </w:rPr>
        <w:t xml:space="preserve">HZS ČR dlouhodobě vykonává vzdělávací aktivity pro osoby invalidní, nebo osoby se zdravotním postižením. Vytváří informační materiály pro jednotlivé cílové skupiny (dle druhu zdravotního postižení), spolupracuje s organizacemi, které se věnují činnosti se zdravotně postiženými. Existují např. Karty pro komunikaci s neslyšícími. </w:t>
      </w:r>
    </w:p>
    <w:p w14:paraId="3DD15BFD" w14:textId="4D608204" w:rsidR="00FA5407" w:rsidRPr="00FA5407" w:rsidRDefault="00FA5407" w:rsidP="00FA5407">
      <w:pPr>
        <w:rPr>
          <w:rFonts w:cs="Arial"/>
          <w:sz w:val="20"/>
          <w:szCs w:val="20"/>
        </w:rPr>
      </w:pPr>
      <w:r w:rsidRPr="00FA5407">
        <w:rPr>
          <w:rFonts w:cs="Arial"/>
          <w:sz w:val="20"/>
          <w:szCs w:val="20"/>
        </w:rPr>
        <w:t xml:space="preserve">Policie ČR se dlouhodobě věnuje projektům přijímání tísňových zpráv a komunikaci se zdravotně postiženými. </w:t>
      </w:r>
    </w:p>
    <w:p w14:paraId="0477DD4A" w14:textId="177061B1" w:rsidR="00FA5407" w:rsidRPr="00FA5407" w:rsidRDefault="00FA5407" w:rsidP="00FA5407">
      <w:pPr>
        <w:rPr>
          <w:rFonts w:cs="Arial"/>
          <w:sz w:val="20"/>
          <w:szCs w:val="20"/>
        </w:rPr>
      </w:pPr>
      <w:r w:rsidRPr="00FA5407">
        <w:rPr>
          <w:rFonts w:cs="Arial"/>
          <w:sz w:val="20"/>
          <w:szCs w:val="20"/>
        </w:rPr>
        <w:t xml:space="preserve">Příslušníci složek IZS jsou pravidelně školeni o zvláštních potřebách zdravotně postižených osob – komunikace, manipulace. </w:t>
      </w:r>
    </w:p>
    <w:p w14:paraId="5B6B5FD6" w14:textId="5ED8BCA1" w:rsidR="00FA5407" w:rsidRPr="00FA5407" w:rsidRDefault="00FA5407" w:rsidP="00FA5407">
      <w:pPr>
        <w:rPr>
          <w:rFonts w:cs="Arial"/>
          <w:sz w:val="20"/>
          <w:szCs w:val="20"/>
        </w:rPr>
      </w:pPr>
      <w:r w:rsidRPr="00FA5407">
        <w:rPr>
          <w:rFonts w:cs="Arial"/>
          <w:sz w:val="20"/>
          <w:szCs w:val="20"/>
        </w:rPr>
        <w:t>V současné době je problematické získat informaci o počtu osob s individuálními potřebami (zdravotně postižení) v rámci zpracování TP. Existuje přitom řada databází např. databáze úřadu práce na základě, kterých je možné získat podrobné informace (druh postižení, adresa) a které by usnadnily činnost složek IZS (příprava adekvátních pomůcek apod. při zásahu) a zároveň umožnily cíleně navrhovat a přijímat opatření k individuální péči o obyvatele s individuálními potřebami. (Např. adekvátní náhradní ubytování – bezbariérové).</w:t>
      </w:r>
    </w:p>
    <w:p w14:paraId="16C66DC3" w14:textId="0692E02F" w:rsidR="00FA5407" w:rsidRPr="00FA5407" w:rsidRDefault="00FA5407" w:rsidP="00FA5407">
      <w:pPr>
        <w:rPr>
          <w:rFonts w:cs="Arial"/>
          <w:sz w:val="20"/>
          <w:szCs w:val="20"/>
        </w:rPr>
      </w:pPr>
      <w:r w:rsidRPr="00FA5407">
        <w:rPr>
          <w:rFonts w:cs="Arial"/>
          <w:sz w:val="20"/>
          <w:szCs w:val="20"/>
        </w:rPr>
        <w:t>Z výše uvedeného vyplývá, že ačkoliv nikde v typových plánech není explicitně uvedeno ustanovení týkající se OZP, je s těmito osobami v rámci krizového řízení automaticky počítáno.</w:t>
      </w:r>
    </w:p>
    <w:p w14:paraId="556DA1F0" w14:textId="77777777" w:rsidR="00FA5407" w:rsidRPr="009C442F" w:rsidRDefault="00FA5407" w:rsidP="00FA5407">
      <w:pPr>
        <w:rPr>
          <w:rFonts w:cs="Arial"/>
          <w:sz w:val="20"/>
          <w:szCs w:val="20"/>
        </w:rPr>
      </w:pPr>
      <w:r w:rsidRPr="009C442F">
        <w:rPr>
          <w:rFonts w:cs="Arial"/>
          <w:sz w:val="20"/>
          <w:szCs w:val="20"/>
        </w:rPr>
        <w:t>Odbor azylové a migrační politiky</w:t>
      </w:r>
    </w:p>
    <w:p w14:paraId="5DC008B4" w14:textId="3BC9479A" w:rsidR="00FA5407" w:rsidRPr="00FA5407" w:rsidRDefault="00FA5407" w:rsidP="00FA5407">
      <w:pPr>
        <w:rPr>
          <w:rFonts w:cs="Arial"/>
          <w:sz w:val="20"/>
          <w:szCs w:val="20"/>
        </w:rPr>
      </w:pPr>
      <w:r w:rsidRPr="00FA5407">
        <w:rPr>
          <w:rFonts w:cs="Arial"/>
          <w:sz w:val="20"/>
          <w:szCs w:val="20"/>
        </w:rPr>
        <w:t xml:space="preserve">Typový plán </w:t>
      </w:r>
      <w:r w:rsidRPr="009C442F">
        <w:rPr>
          <w:rFonts w:cs="Arial"/>
          <w:sz w:val="20"/>
          <w:szCs w:val="20"/>
        </w:rPr>
        <w:t>Migrační vlna velkého rozsahu</w:t>
      </w:r>
      <w:r w:rsidRPr="00FA5407">
        <w:rPr>
          <w:rFonts w:cs="Arial"/>
          <w:sz w:val="20"/>
          <w:szCs w:val="20"/>
        </w:rPr>
        <w:t xml:space="preserve"> v obecné rovině obsahuje postupy v souladu s NPPRP pro OZP. </w:t>
      </w:r>
    </w:p>
    <w:p w14:paraId="3E031BC9" w14:textId="629FCADE" w:rsidR="00FA5407" w:rsidRPr="00FA5407" w:rsidRDefault="00FA5407" w:rsidP="00FA5407">
      <w:pPr>
        <w:rPr>
          <w:rFonts w:cs="Arial"/>
          <w:sz w:val="20"/>
          <w:szCs w:val="20"/>
        </w:rPr>
      </w:pPr>
      <w:r w:rsidRPr="00FA5407">
        <w:rPr>
          <w:rFonts w:cs="Arial"/>
          <w:sz w:val="20"/>
          <w:szCs w:val="20"/>
        </w:rPr>
        <w:t>Stále probíhající konflikt v Ukrajině, v jehož důsledku vlny obyvatel Uk</w:t>
      </w:r>
      <w:r w:rsidR="00196DFB">
        <w:rPr>
          <w:rFonts w:cs="Arial"/>
          <w:sz w:val="20"/>
          <w:szCs w:val="20"/>
        </w:rPr>
        <w:t>rajiny mířily za poslední rok a </w:t>
      </w:r>
      <w:r w:rsidRPr="00FA5407">
        <w:rPr>
          <w:rFonts w:cs="Arial"/>
          <w:sz w:val="20"/>
          <w:szCs w:val="20"/>
        </w:rPr>
        <w:t>půl do ČR za účelem hledání pomoci dokazují, že typový plán splňuje opatření vyplývající z NPPRP pro OZP, neboť se jedná o dokument, jehož podstatou je stan</w:t>
      </w:r>
      <w:r w:rsidR="00196DFB">
        <w:rPr>
          <w:rFonts w:cs="Arial"/>
          <w:sz w:val="20"/>
          <w:szCs w:val="20"/>
        </w:rPr>
        <w:t>ovení typových postupů, zásad a </w:t>
      </w:r>
      <w:r w:rsidRPr="00FA5407">
        <w:rPr>
          <w:rFonts w:cs="Arial"/>
          <w:sz w:val="20"/>
          <w:szCs w:val="20"/>
        </w:rPr>
        <w:t xml:space="preserve">opatření pro řešení dané krizové situace nejen pro rezort </w:t>
      </w:r>
      <w:r>
        <w:rPr>
          <w:rFonts w:cs="Arial"/>
          <w:sz w:val="20"/>
          <w:szCs w:val="20"/>
        </w:rPr>
        <w:t>M</w:t>
      </w:r>
      <w:r w:rsidRPr="00FA5407">
        <w:rPr>
          <w:rFonts w:cs="Arial"/>
          <w:sz w:val="20"/>
          <w:szCs w:val="20"/>
        </w:rPr>
        <w:t>inisterstva vnitra, a to samozřejmě s ohledem na zdravotní stav ale i případná zdravotní postižení osob, jíž se zmíněná krizová situace dotýká.</w:t>
      </w:r>
    </w:p>
    <w:p w14:paraId="184DB342" w14:textId="77777777" w:rsidR="00FA5407" w:rsidRPr="00440222" w:rsidRDefault="00FA5407" w:rsidP="00FA5407">
      <w:pPr>
        <w:rPr>
          <w:rFonts w:cs="Arial"/>
          <w:sz w:val="20"/>
          <w:szCs w:val="20"/>
        </w:rPr>
      </w:pPr>
      <w:r w:rsidRPr="00440222">
        <w:rPr>
          <w:rFonts w:cs="Arial"/>
          <w:sz w:val="20"/>
          <w:szCs w:val="20"/>
        </w:rPr>
        <w:t xml:space="preserve">Nad výše uvedené si dovolíme zaslat zdůvodnění, proč není možné v rámci typových plánů konkrétně zahrnovat OZP. </w:t>
      </w:r>
    </w:p>
    <w:p w14:paraId="77E29828" w14:textId="77777777" w:rsidR="00FA5407" w:rsidRPr="00FA5407" w:rsidRDefault="00FA5407" w:rsidP="00FA5407">
      <w:pPr>
        <w:rPr>
          <w:rFonts w:cs="Arial"/>
          <w:sz w:val="20"/>
          <w:szCs w:val="20"/>
        </w:rPr>
      </w:pPr>
      <w:r w:rsidRPr="00233A34">
        <w:rPr>
          <w:rFonts w:cs="Arial"/>
          <w:sz w:val="20"/>
          <w:szCs w:val="20"/>
        </w:rPr>
        <w:lastRenderedPageBreak/>
        <w:t>Typový plán</w:t>
      </w:r>
      <w:r w:rsidRPr="00FA5407">
        <w:rPr>
          <w:rFonts w:cs="Arial"/>
          <w:sz w:val="20"/>
          <w:szCs w:val="20"/>
        </w:rPr>
        <w:t xml:space="preserve"> je přílohovou částí krizového plánu nezbytnou ke zvládnutí krizové situace, kterou ústřední správní úřad podle své působnosti stanoví pro jednotlivé druhy krizových situací doporučené typové postupy, zásady a opatření pro jejich řešení. (Nařízení vlády č. 462/2000 Sb. k provedení § 27 odst. 8 a § 28 odst. 5 zákona č. 240/2000 Sb., o krizovém řízení a o změně některých zákonů (krizový zákon), ve znění nařízení vlády č. 36/2003 Sb.)</w:t>
      </w:r>
    </w:p>
    <w:p w14:paraId="132FDB4A" w14:textId="44F849BA" w:rsidR="00FA5407" w:rsidRPr="00FA5407" w:rsidRDefault="00FA5407" w:rsidP="00FA5407">
      <w:pPr>
        <w:rPr>
          <w:rFonts w:cs="Arial"/>
          <w:sz w:val="20"/>
          <w:szCs w:val="20"/>
        </w:rPr>
      </w:pPr>
      <w:r w:rsidRPr="00FA5407">
        <w:rPr>
          <w:rFonts w:cs="Arial"/>
          <w:sz w:val="20"/>
          <w:szCs w:val="20"/>
        </w:rPr>
        <w:t>Typový plán spadá pod krizový plán, který ze své podstaty řeší strategickou úroveň rozhodování. Jedná se tedy o přehled všech možných situací, které by mohly nastat bez jejich podrobnějšího rozpracování</w:t>
      </w:r>
      <w:r w:rsidR="00440222">
        <w:rPr>
          <w:rFonts w:cs="Arial"/>
          <w:sz w:val="20"/>
          <w:szCs w:val="20"/>
        </w:rPr>
        <w:t>,</w:t>
      </w:r>
      <w:r w:rsidRPr="00FA5407">
        <w:rPr>
          <w:rFonts w:cs="Arial"/>
          <w:sz w:val="20"/>
          <w:szCs w:val="20"/>
        </w:rPr>
        <w:t xml:space="preserve"> a je využíván jen při zpracování podrobnější dokumentace. </w:t>
      </w:r>
    </w:p>
    <w:p w14:paraId="465E8030" w14:textId="7E3D076F" w:rsidR="00FA5407" w:rsidRPr="00FA5407" w:rsidRDefault="00FA5407" w:rsidP="00FA5407">
      <w:pPr>
        <w:rPr>
          <w:rFonts w:cs="Arial"/>
          <w:sz w:val="20"/>
          <w:szCs w:val="20"/>
        </w:rPr>
      </w:pPr>
      <w:r w:rsidRPr="00FA5407">
        <w:rPr>
          <w:rFonts w:cs="Arial"/>
          <w:sz w:val="20"/>
          <w:szCs w:val="20"/>
        </w:rPr>
        <w:t xml:space="preserve">Naproti tomu jsou vytvářeny </w:t>
      </w:r>
      <w:r w:rsidRPr="00233A34">
        <w:rPr>
          <w:rFonts w:cs="Arial"/>
          <w:sz w:val="20"/>
          <w:szCs w:val="20"/>
        </w:rPr>
        <w:t>Havarijní plány kraje.</w:t>
      </w:r>
      <w:r w:rsidRPr="00FA5407">
        <w:rPr>
          <w:rFonts w:cs="Arial"/>
          <w:sz w:val="20"/>
          <w:szCs w:val="20"/>
        </w:rPr>
        <w:t xml:space="preserve"> Soubor plánovaných opatření k provádění záchranných a likvidačních prací a dalších opatření na území k</w:t>
      </w:r>
      <w:r w:rsidR="00196DFB">
        <w:rPr>
          <w:rFonts w:cs="Arial"/>
          <w:sz w:val="20"/>
          <w:szCs w:val="20"/>
        </w:rPr>
        <w:t>raje. (Zákon č. 239/2000 Sb., o </w:t>
      </w:r>
      <w:r w:rsidRPr="00FA5407">
        <w:rPr>
          <w:rFonts w:cs="Arial"/>
          <w:sz w:val="20"/>
          <w:szCs w:val="20"/>
        </w:rPr>
        <w:t>integrovaném záchranném systému a o změně některých záko</w:t>
      </w:r>
      <w:r w:rsidR="00196DFB">
        <w:rPr>
          <w:rFonts w:cs="Arial"/>
          <w:sz w:val="20"/>
          <w:szCs w:val="20"/>
        </w:rPr>
        <w:t>nů, příloha č. 1 vyhlášky MV č. </w:t>
      </w:r>
      <w:r w:rsidRPr="00FA5407">
        <w:rPr>
          <w:rFonts w:cs="Arial"/>
          <w:sz w:val="20"/>
          <w:szCs w:val="20"/>
        </w:rPr>
        <w:t xml:space="preserve">328/2001 Sb., o některých podrobnostech zabezpečení IZS) Tento druh havarijních plánů obsahuje již podrobnější plány. Obsahují větší detaily a v těchto plánech se již s OZP pracuje. </w:t>
      </w:r>
    </w:p>
    <w:p w14:paraId="6E696356" w14:textId="17D4FC36" w:rsidR="00FA5407" w:rsidRPr="00FA5407" w:rsidRDefault="00FA5407" w:rsidP="00FA5407">
      <w:pPr>
        <w:rPr>
          <w:rFonts w:cs="Arial"/>
          <w:sz w:val="20"/>
          <w:szCs w:val="20"/>
        </w:rPr>
      </w:pPr>
      <w:r w:rsidRPr="00FA5407">
        <w:rPr>
          <w:rFonts w:cs="Arial"/>
          <w:sz w:val="20"/>
          <w:szCs w:val="20"/>
        </w:rPr>
        <w:t xml:space="preserve">Velké typové plány jsou souborem všech situací bez podrobnějšího řešení situace. Z těchto typových plánů si ústřední správní orgány, kraje a obce s rozšířenou působností vyberou ty situace, u nichž hrozí, že v jejich oblasti nastanou. Tyto vybrané situace následně rozpracují do havarijních plánů. </w:t>
      </w:r>
    </w:p>
    <w:p w14:paraId="173583D0" w14:textId="0867F956" w:rsidR="00FA5407" w:rsidRPr="00FA5407" w:rsidRDefault="00FA5407" w:rsidP="00FA5407">
      <w:pPr>
        <w:rPr>
          <w:rFonts w:cs="Arial"/>
          <w:sz w:val="20"/>
          <w:szCs w:val="20"/>
        </w:rPr>
      </w:pPr>
      <w:r w:rsidRPr="00FA5407">
        <w:rPr>
          <w:rFonts w:cs="Arial"/>
          <w:sz w:val="20"/>
          <w:szCs w:val="20"/>
        </w:rPr>
        <w:t xml:space="preserve">Dále si dovolíme připojit odkaz na internetovou stránku Ministerstva vnitra, kde jsou jednotlivé plány popsány: </w:t>
      </w:r>
      <w:hyperlink r:id="rId82" w:history="1">
        <w:r w:rsidRPr="00FA5407">
          <w:rPr>
            <w:rStyle w:val="Hypertextovodkaz"/>
            <w:rFonts w:cs="Arial"/>
            <w:sz w:val="20"/>
            <w:szCs w:val="20"/>
          </w:rPr>
          <w:t>Plán - Ministerstvo vnitra České republiky (mvcr.cz)</w:t>
        </w:r>
      </w:hyperlink>
      <w:r w:rsidRPr="00FA5407">
        <w:rPr>
          <w:rFonts w:cs="Arial"/>
          <w:sz w:val="20"/>
          <w:szCs w:val="20"/>
        </w:rPr>
        <w:t>.</w:t>
      </w:r>
    </w:p>
    <w:p w14:paraId="08DD2F35" w14:textId="0E47E2B3" w:rsidR="00C15139" w:rsidRPr="00FA5407" w:rsidRDefault="00C15139" w:rsidP="00FA5407">
      <w:pPr>
        <w:keepNext/>
        <w:tabs>
          <w:tab w:val="left" w:pos="720"/>
        </w:tabs>
        <w:rPr>
          <w:rFonts w:cs="Arial"/>
          <w:b/>
          <w:bCs/>
          <w:sz w:val="20"/>
          <w:szCs w:val="20"/>
          <w:lang w:eastAsia="cs-CZ"/>
        </w:rPr>
      </w:pPr>
      <w:r w:rsidRPr="00FA5407">
        <w:rPr>
          <w:rFonts w:cs="Arial"/>
          <w:b/>
          <w:bCs/>
          <w:sz w:val="20"/>
          <w:szCs w:val="20"/>
          <w:lang w:eastAsia="cs-CZ"/>
        </w:rPr>
        <w:t>STANOVISKO K </w:t>
      </w:r>
      <w:r w:rsidRPr="00B60617">
        <w:rPr>
          <w:rFonts w:cs="Arial"/>
          <w:b/>
          <w:bCs/>
          <w:sz w:val="20"/>
          <w:szCs w:val="20"/>
          <w:lang w:eastAsia="cs-CZ"/>
        </w:rPr>
        <w:t xml:space="preserve">PLNĚNÍ: </w:t>
      </w:r>
      <w:r w:rsidR="009D195F" w:rsidRPr="00B60617">
        <w:rPr>
          <w:rFonts w:cs="Arial"/>
          <w:b/>
          <w:bCs/>
          <w:sz w:val="20"/>
          <w:szCs w:val="20"/>
          <w:lang w:eastAsia="cs-CZ"/>
        </w:rPr>
        <w:t>Spl</w:t>
      </w:r>
      <w:r w:rsidRPr="00B60617">
        <w:rPr>
          <w:rFonts w:cs="Arial"/>
          <w:b/>
          <w:bCs/>
          <w:sz w:val="20"/>
          <w:szCs w:val="20"/>
          <w:lang w:eastAsia="cs-CZ"/>
        </w:rPr>
        <w:t>něno.</w:t>
      </w:r>
      <w:r w:rsidR="009D195F">
        <w:rPr>
          <w:rFonts w:cs="Arial"/>
          <w:b/>
          <w:bCs/>
          <w:sz w:val="20"/>
          <w:szCs w:val="20"/>
          <w:lang w:eastAsia="cs-CZ"/>
        </w:rPr>
        <w:t xml:space="preserve"> </w:t>
      </w:r>
    </w:p>
    <w:p w14:paraId="4DDA220E" w14:textId="255F21E5" w:rsidR="00C15139" w:rsidRPr="008F22CB" w:rsidRDefault="00C15139" w:rsidP="00C15139">
      <w:pPr>
        <w:rPr>
          <w:rFonts w:eastAsia="Calibri" w:cs="Arial"/>
          <w:b/>
          <w:bCs/>
          <w:szCs w:val="20"/>
        </w:rPr>
      </w:pPr>
    </w:p>
    <w:p w14:paraId="72E8FECD" w14:textId="3488064A" w:rsidR="00F17E74" w:rsidRPr="0057756D" w:rsidRDefault="00F17E74" w:rsidP="00AE6DA6">
      <w:pPr>
        <w:rPr>
          <w:rFonts w:eastAsia="Calibri" w:cs="Arial"/>
          <w:szCs w:val="20"/>
        </w:rPr>
      </w:pPr>
      <w:r w:rsidRPr="0035060D">
        <w:rPr>
          <w:rFonts w:cs="Arial"/>
          <w:bCs/>
          <w:szCs w:val="20"/>
        </w:rPr>
        <w:t xml:space="preserve">Opatření </w:t>
      </w:r>
      <w:r>
        <w:rPr>
          <w:rFonts w:cs="Arial"/>
          <w:bCs/>
          <w:szCs w:val="20"/>
        </w:rPr>
        <w:t>4</w:t>
      </w:r>
      <w:r>
        <w:rPr>
          <w:rFonts w:cs="Arial"/>
          <w:szCs w:val="20"/>
        </w:rPr>
        <w:t xml:space="preserve">.1.2 </w:t>
      </w:r>
      <w:r w:rsidRPr="0057756D">
        <w:rPr>
          <w:rFonts w:eastAsia="Calibri" w:cs="Arial"/>
          <w:szCs w:val="20"/>
        </w:rPr>
        <w:t xml:space="preserve">Pravidelně realizovat školení všech složek integrovaného záchranného systému týkající se specifických potřeb při komunikaci a pomoci </w:t>
      </w:r>
      <w:r>
        <w:rPr>
          <w:rFonts w:eastAsia="Calibri" w:cs="Arial"/>
          <w:szCs w:val="20"/>
        </w:rPr>
        <w:t>osobám</w:t>
      </w:r>
      <w:r w:rsidRPr="0057756D">
        <w:rPr>
          <w:rFonts w:eastAsia="Calibri" w:cs="Arial"/>
          <w:szCs w:val="20"/>
        </w:rPr>
        <w:t xml:space="preserve"> se zdravotním postižením. </w:t>
      </w:r>
    </w:p>
    <w:p w14:paraId="6F840531" w14:textId="77777777" w:rsidR="00F17E74" w:rsidRPr="0057756D" w:rsidRDefault="00F17E74" w:rsidP="00AE6DA6">
      <w:pPr>
        <w:rPr>
          <w:rFonts w:cs="Arial"/>
          <w:szCs w:val="20"/>
        </w:rPr>
      </w:pPr>
      <w:r w:rsidRPr="0057756D">
        <w:rPr>
          <w:rFonts w:cs="Arial"/>
          <w:szCs w:val="20"/>
        </w:rPr>
        <w:t>Termín: průběžně</w:t>
      </w:r>
    </w:p>
    <w:p w14:paraId="36C8196B" w14:textId="77777777" w:rsidR="00F17E74" w:rsidRPr="0057756D" w:rsidRDefault="00F17E74" w:rsidP="00AE6DA6">
      <w:pPr>
        <w:rPr>
          <w:rFonts w:cs="Arial"/>
          <w:szCs w:val="20"/>
        </w:rPr>
      </w:pPr>
      <w:r w:rsidRPr="0057756D">
        <w:rPr>
          <w:rFonts w:cs="Arial"/>
          <w:szCs w:val="20"/>
        </w:rPr>
        <w:t xml:space="preserve">Gestor: </w:t>
      </w:r>
      <w:r>
        <w:rPr>
          <w:rFonts w:cs="Arial"/>
          <w:szCs w:val="20"/>
        </w:rPr>
        <w:t xml:space="preserve">MV </w:t>
      </w:r>
    </w:p>
    <w:p w14:paraId="3583F803" w14:textId="707EB86C" w:rsidR="00F17E74" w:rsidRDefault="00F17E74" w:rsidP="00AE6DA6">
      <w:pPr>
        <w:rPr>
          <w:rFonts w:cs="Arial"/>
          <w:szCs w:val="20"/>
        </w:rPr>
      </w:pPr>
      <w:r w:rsidRPr="00046552">
        <w:rPr>
          <w:rFonts w:eastAsia="Calibri" w:cs="Arial"/>
          <w:szCs w:val="20"/>
        </w:rPr>
        <w:t>Indikátor</w:t>
      </w:r>
      <w:r>
        <w:rPr>
          <w:rFonts w:cs="Arial"/>
          <w:szCs w:val="20"/>
        </w:rPr>
        <w:t>: J</w:t>
      </w:r>
      <w:r w:rsidRPr="00D87068">
        <w:rPr>
          <w:rFonts w:cs="Arial"/>
          <w:szCs w:val="20"/>
        </w:rPr>
        <w:t xml:space="preserve">sou </w:t>
      </w:r>
      <w:r>
        <w:rPr>
          <w:rFonts w:cs="Arial"/>
          <w:szCs w:val="20"/>
        </w:rPr>
        <w:t xml:space="preserve">pravidelně </w:t>
      </w:r>
      <w:r w:rsidRPr="00D87068">
        <w:rPr>
          <w:rFonts w:cs="Arial"/>
          <w:szCs w:val="20"/>
        </w:rPr>
        <w:t>realizována škole</w:t>
      </w:r>
      <w:r>
        <w:rPr>
          <w:rFonts w:cs="Arial"/>
          <w:szCs w:val="20"/>
        </w:rPr>
        <w:t xml:space="preserve">ní na uvedené téma.  </w:t>
      </w:r>
    </w:p>
    <w:p w14:paraId="4875F0F5" w14:textId="77777777" w:rsidR="00AE6DA6" w:rsidRPr="00494727" w:rsidRDefault="00AE6DA6" w:rsidP="00AE6DA6">
      <w:pPr>
        <w:rPr>
          <w:rFonts w:cs="Arial"/>
          <w:sz w:val="20"/>
          <w:szCs w:val="20"/>
        </w:rPr>
      </w:pPr>
    </w:p>
    <w:p w14:paraId="26F01213" w14:textId="339E2C3A" w:rsidR="005D2198" w:rsidRPr="00F427FC" w:rsidRDefault="005D2198" w:rsidP="00F427FC">
      <w:pPr>
        <w:tabs>
          <w:tab w:val="left" w:pos="720"/>
        </w:tabs>
        <w:rPr>
          <w:rFonts w:cs="Arial"/>
          <w:b/>
          <w:bCs/>
          <w:sz w:val="20"/>
          <w:szCs w:val="20"/>
          <w:lang w:eastAsia="cs-CZ"/>
        </w:rPr>
      </w:pPr>
      <w:r w:rsidRPr="00F427FC">
        <w:rPr>
          <w:rFonts w:cs="Arial"/>
          <w:b/>
          <w:bCs/>
          <w:sz w:val="20"/>
          <w:szCs w:val="20"/>
          <w:lang w:eastAsia="cs-CZ"/>
        </w:rPr>
        <w:t>PLNĚNÍ MV:</w:t>
      </w:r>
    </w:p>
    <w:p w14:paraId="6428C954" w14:textId="77777777" w:rsidR="00A427A6" w:rsidRPr="00F427FC" w:rsidRDefault="00A427A6" w:rsidP="00F427FC">
      <w:pPr>
        <w:rPr>
          <w:rFonts w:cs="Arial"/>
          <w:sz w:val="20"/>
          <w:szCs w:val="20"/>
        </w:rPr>
      </w:pPr>
      <w:r w:rsidRPr="00F427FC">
        <w:rPr>
          <w:rFonts w:cs="Arial"/>
          <w:sz w:val="20"/>
          <w:szCs w:val="20"/>
        </w:rPr>
        <w:t xml:space="preserve">Psychologická služba HZS ČR průběžně realizuje odborné přípravy „První psychická pomoc II“, která je určená pro příslušníky a zaměstnance HZS ČR. Náplní odborné přípravy je mj. příprava na komunikaci s osobou se zdravotním postižením při mimořádné události. V roce 2023 bylo realizováno 5 odborných příprav, proškoleno 57 osob. </w:t>
      </w:r>
    </w:p>
    <w:p w14:paraId="0BC08BE9" w14:textId="37A657F8" w:rsidR="00A427A6" w:rsidRPr="00F427FC" w:rsidRDefault="00A427A6" w:rsidP="00F427FC">
      <w:pPr>
        <w:rPr>
          <w:rFonts w:cs="Arial"/>
          <w:sz w:val="20"/>
          <w:szCs w:val="20"/>
        </w:rPr>
      </w:pPr>
      <w:r w:rsidRPr="00F427FC">
        <w:rPr>
          <w:rFonts w:cs="Arial"/>
          <w:sz w:val="20"/>
          <w:szCs w:val="20"/>
        </w:rPr>
        <w:t>Komunikace s osobami se zdravotním postižením při mimořádné události (výukové DVD) bylo v roce 2023 zařazeno do základního zaměření pravidelné odborné příp</w:t>
      </w:r>
      <w:r w:rsidR="00A85D2D">
        <w:rPr>
          <w:rFonts w:cs="Arial"/>
          <w:sz w:val="20"/>
          <w:szCs w:val="20"/>
        </w:rPr>
        <w:t>ravy jednotek požární ochrany a </w:t>
      </w:r>
      <w:r w:rsidRPr="00F427FC">
        <w:rPr>
          <w:rFonts w:cs="Arial"/>
          <w:sz w:val="20"/>
          <w:szCs w:val="20"/>
        </w:rPr>
        <w:t xml:space="preserve">příslušníků v jednotkách Hasičského záchranného sboru ČR. </w:t>
      </w:r>
    </w:p>
    <w:p w14:paraId="2544616A" w14:textId="4F8377D5" w:rsidR="00A427A6" w:rsidRPr="00B11EF6" w:rsidRDefault="00A427A6" w:rsidP="00F427FC">
      <w:pPr>
        <w:rPr>
          <w:rFonts w:cs="Arial"/>
          <w:sz w:val="20"/>
          <w:szCs w:val="20"/>
        </w:rPr>
      </w:pPr>
      <w:r w:rsidRPr="00F427FC">
        <w:rPr>
          <w:rFonts w:cs="Arial"/>
          <w:sz w:val="20"/>
          <w:szCs w:val="20"/>
        </w:rPr>
        <w:t xml:space="preserve">V témže roce byla aktualizována mobilní aplikace První psychická pomoc, která obsahuje též část týkající </w:t>
      </w:r>
      <w:r w:rsidR="00196DFB">
        <w:rPr>
          <w:rFonts w:cs="Arial"/>
          <w:sz w:val="20"/>
          <w:szCs w:val="20"/>
        </w:rPr>
        <w:t xml:space="preserve">se </w:t>
      </w:r>
      <w:r w:rsidRPr="00F427FC">
        <w:rPr>
          <w:rFonts w:cs="Arial"/>
          <w:sz w:val="20"/>
          <w:szCs w:val="20"/>
        </w:rPr>
        <w:t>zásad pro krizovou komunikaci a asistenci osobám se zdravotním znevýhodněním.</w:t>
      </w:r>
    </w:p>
    <w:p w14:paraId="7B5BF003" w14:textId="35ECFC6E" w:rsidR="00A427A6" w:rsidRPr="00F427FC" w:rsidRDefault="00A427A6" w:rsidP="00F427FC">
      <w:pPr>
        <w:tabs>
          <w:tab w:val="left" w:pos="720"/>
        </w:tabs>
        <w:rPr>
          <w:rFonts w:cs="Arial"/>
          <w:b/>
          <w:bCs/>
          <w:sz w:val="20"/>
          <w:szCs w:val="20"/>
          <w:lang w:eastAsia="cs-CZ"/>
        </w:rPr>
      </w:pPr>
      <w:r w:rsidRPr="00F427FC">
        <w:rPr>
          <w:rFonts w:cs="Arial"/>
          <w:sz w:val="20"/>
          <w:szCs w:val="20"/>
        </w:rPr>
        <w:t xml:space="preserve">Policie ČR ve specializačních kurzech vždy proškoluje další a další policisty, čímž pak zvyšuje počet policistů proškolených nejen v této oblasti, ale i dalších jako jsou dětské oběti atd. Specializační kurzy, resp. jejich tvorba je reakcí na potřeby vzdělávání policistů dle </w:t>
      </w:r>
      <w:r w:rsidRPr="0087516C">
        <w:rPr>
          <w:rFonts w:cs="Arial"/>
          <w:sz w:val="20"/>
          <w:szCs w:val="20"/>
        </w:rPr>
        <w:t>pot</w:t>
      </w:r>
      <w:r w:rsidR="00A85D2D">
        <w:rPr>
          <w:rFonts w:cs="Arial"/>
          <w:sz w:val="20"/>
          <w:szCs w:val="20"/>
        </w:rPr>
        <w:t>řeb Policie ČR (viz bod 1.6.2 a </w:t>
      </w:r>
      <w:r w:rsidRPr="0087516C">
        <w:rPr>
          <w:rFonts w:cs="Arial"/>
          <w:sz w:val="20"/>
          <w:szCs w:val="20"/>
        </w:rPr>
        <w:t>3.4.2).</w:t>
      </w:r>
    </w:p>
    <w:p w14:paraId="7F5F35BB" w14:textId="60C4B6ED" w:rsidR="005D2198" w:rsidRPr="00F427FC" w:rsidRDefault="005D2198" w:rsidP="00F427FC">
      <w:pPr>
        <w:rPr>
          <w:rFonts w:cs="Arial"/>
          <w:b/>
          <w:sz w:val="20"/>
          <w:szCs w:val="20"/>
        </w:rPr>
      </w:pPr>
      <w:r w:rsidRPr="00F427FC">
        <w:rPr>
          <w:rFonts w:cs="Arial"/>
          <w:b/>
          <w:bCs/>
          <w:sz w:val="20"/>
          <w:szCs w:val="20"/>
          <w:lang w:eastAsia="cs-CZ"/>
        </w:rPr>
        <w:t>STANOVISKO K PLNĚNÍ:</w:t>
      </w:r>
      <w:r w:rsidR="00681206" w:rsidRPr="00F427FC">
        <w:rPr>
          <w:rFonts w:cs="Arial"/>
          <w:b/>
          <w:sz w:val="20"/>
          <w:szCs w:val="20"/>
        </w:rPr>
        <w:t xml:space="preserve"> Plněno.</w:t>
      </w:r>
    </w:p>
    <w:p w14:paraId="1F9DAD6B" w14:textId="77777777" w:rsidR="005D2198" w:rsidRPr="00494727" w:rsidRDefault="005D2198" w:rsidP="0096248D">
      <w:pPr>
        <w:rPr>
          <w:rFonts w:cs="Arial"/>
          <w:b/>
          <w:sz w:val="20"/>
          <w:szCs w:val="20"/>
        </w:rPr>
      </w:pPr>
    </w:p>
    <w:p w14:paraId="22CE5246" w14:textId="77777777" w:rsidR="00F17E74" w:rsidRPr="0057756D" w:rsidRDefault="00F17E74" w:rsidP="0096248D">
      <w:pPr>
        <w:rPr>
          <w:rFonts w:cs="Arial"/>
          <w:szCs w:val="20"/>
        </w:rPr>
      </w:pPr>
      <w:r w:rsidRPr="0035060D">
        <w:rPr>
          <w:rFonts w:cs="Arial"/>
          <w:bCs/>
          <w:szCs w:val="20"/>
        </w:rPr>
        <w:t xml:space="preserve">Opatření </w:t>
      </w:r>
      <w:r>
        <w:rPr>
          <w:rFonts w:cs="Arial"/>
          <w:bCs/>
          <w:szCs w:val="20"/>
        </w:rPr>
        <w:t>4</w:t>
      </w:r>
      <w:r>
        <w:rPr>
          <w:rFonts w:cs="Arial"/>
          <w:szCs w:val="20"/>
        </w:rPr>
        <w:t xml:space="preserve">.1.3 </w:t>
      </w:r>
      <w:r w:rsidRPr="0057756D">
        <w:rPr>
          <w:rFonts w:cs="Arial"/>
          <w:szCs w:val="20"/>
        </w:rPr>
        <w:t>Pořádat semináře a osvětové akce pro</w:t>
      </w:r>
      <w:r>
        <w:rPr>
          <w:rFonts w:cs="Arial"/>
          <w:szCs w:val="20"/>
        </w:rPr>
        <w:t xml:space="preserve"> osoby se zdravotním postižením zaměřené na oblast bezpečnosti</w:t>
      </w:r>
      <w:r w:rsidRPr="0057756D">
        <w:rPr>
          <w:rFonts w:cs="Arial"/>
          <w:szCs w:val="20"/>
        </w:rPr>
        <w:t xml:space="preserve"> přizpůsobené druhu postižení.</w:t>
      </w:r>
    </w:p>
    <w:p w14:paraId="60371055" w14:textId="77777777" w:rsidR="00F17E74" w:rsidRPr="0057756D" w:rsidRDefault="00F17E74" w:rsidP="0096248D">
      <w:pPr>
        <w:rPr>
          <w:rFonts w:cs="Arial"/>
          <w:szCs w:val="20"/>
        </w:rPr>
      </w:pPr>
      <w:r w:rsidRPr="0057756D">
        <w:rPr>
          <w:rFonts w:cs="Arial"/>
          <w:szCs w:val="20"/>
        </w:rPr>
        <w:t>Termín: průběžně</w:t>
      </w:r>
    </w:p>
    <w:p w14:paraId="3B7A82F7" w14:textId="77777777" w:rsidR="00F17E74" w:rsidRPr="0057756D" w:rsidRDefault="00F17E74" w:rsidP="0096248D">
      <w:pPr>
        <w:rPr>
          <w:rFonts w:cs="Arial"/>
          <w:szCs w:val="20"/>
        </w:rPr>
      </w:pPr>
      <w:r w:rsidRPr="0057756D">
        <w:rPr>
          <w:rFonts w:cs="Arial"/>
          <w:szCs w:val="20"/>
        </w:rPr>
        <w:t xml:space="preserve">Gestor: </w:t>
      </w:r>
      <w:r>
        <w:rPr>
          <w:rFonts w:cs="Arial"/>
          <w:szCs w:val="20"/>
        </w:rPr>
        <w:t>MV</w:t>
      </w:r>
    </w:p>
    <w:p w14:paraId="65FF21C2" w14:textId="3C11767E" w:rsidR="00F17E74" w:rsidRDefault="00F17E74" w:rsidP="0096248D">
      <w:pPr>
        <w:rPr>
          <w:rFonts w:cs="Arial"/>
          <w:szCs w:val="20"/>
        </w:rPr>
      </w:pPr>
      <w:r w:rsidRPr="00D87068">
        <w:rPr>
          <w:rFonts w:cs="Arial"/>
          <w:szCs w:val="20"/>
        </w:rPr>
        <w:lastRenderedPageBreak/>
        <w:t>Indikátor:</w:t>
      </w:r>
      <w:r>
        <w:rPr>
          <w:rFonts w:cs="Arial"/>
          <w:szCs w:val="20"/>
        </w:rPr>
        <w:t xml:space="preserve"> </w:t>
      </w:r>
      <w:r w:rsidRPr="00046552">
        <w:rPr>
          <w:rFonts w:eastAsia="Calibri" w:cs="Arial"/>
          <w:szCs w:val="20"/>
        </w:rPr>
        <w:t>Jsou</w:t>
      </w:r>
      <w:r>
        <w:rPr>
          <w:rFonts w:cs="Arial"/>
          <w:szCs w:val="20"/>
        </w:rPr>
        <w:t xml:space="preserve"> pořádány uvedené semináře a osvětové akce.</w:t>
      </w:r>
    </w:p>
    <w:p w14:paraId="04FB9F76" w14:textId="77777777" w:rsidR="0096248D" w:rsidRPr="00222D26" w:rsidRDefault="0096248D" w:rsidP="0096248D">
      <w:pPr>
        <w:rPr>
          <w:rFonts w:cs="Arial"/>
          <w:sz w:val="20"/>
          <w:szCs w:val="20"/>
        </w:rPr>
      </w:pPr>
    </w:p>
    <w:p w14:paraId="6E344DFC" w14:textId="703BFBE1" w:rsidR="00F919D9" w:rsidRPr="00C3219A" w:rsidRDefault="00F919D9" w:rsidP="00C3219A">
      <w:pPr>
        <w:tabs>
          <w:tab w:val="left" w:pos="720"/>
        </w:tabs>
        <w:rPr>
          <w:rFonts w:cs="Arial"/>
          <w:b/>
          <w:bCs/>
          <w:sz w:val="20"/>
          <w:szCs w:val="20"/>
          <w:lang w:eastAsia="cs-CZ"/>
        </w:rPr>
      </w:pPr>
      <w:r w:rsidRPr="00C3219A">
        <w:rPr>
          <w:rFonts w:cs="Arial"/>
          <w:b/>
          <w:bCs/>
          <w:sz w:val="20"/>
          <w:szCs w:val="20"/>
          <w:lang w:eastAsia="cs-CZ"/>
        </w:rPr>
        <w:t>PLNĚNÍ MV:</w:t>
      </w:r>
    </w:p>
    <w:p w14:paraId="267C594A" w14:textId="77777777" w:rsidR="009A615F" w:rsidRPr="00C3219A" w:rsidRDefault="009A615F" w:rsidP="00C3219A">
      <w:pPr>
        <w:rPr>
          <w:rFonts w:cs="Arial"/>
          <w:sz w:val="20"/>
          <w:szCs w:val="20"/>
        </w:rPr>
      </w:pPr>
      <w:r w:rsidRPr="00C3219A">
        <w:rPr>
          <w:rFonts w:cs="Arial"/>
          <w:sz w:val="20"/>
          <w:szCs w:val="20"/>
        </w:rPr>
        <w:t>HZS ČR se dlouhodobě věnuje plnění opatření Národního plánu podpory rovných příležitostí pro osoby se zdravotním postižením, a to prováděním preventivně výchovné činnosti u této skupiny obyvatelstva, tj. zvyšováním jejich informovanosti o možných mimořádných událostech a správných postupech v případě ohrožení. Všeobecně známé zkušenosti dokazují, že pouze dobře informovaný občan je nejen lépe připraven předcházet vzniku mimořádné události, ale v případě již vzniklé mimořádné události je také schopen se účinněji chránit a pomoci ostatním.</w:t>
      </w:r>
    </w:p>
    <w:p w14:paraId="0B7A2A3A" w14:textId="51A716FE" w:rsidR="009A615F" w:rsidRPr="00C3219A" w:rsidRDefault="009A615F" w:rsidP="00C3219A">
      <w:pPr>
        <w:rPr>
          <w:rFonts w:cs="Arial"/>
          <w:sz w:val="20"/>
          <w:szCs w:val="20"/>
        </w:rPr>
      </w:pPr>
      <w:r w:rsidRPr="00C3219A">
        <w:rPr>
          <w:rFonts w:cs="Arial"/>
          <w:sz w:val="20"/>
          <w:szCs w:val="20"/>
        </w:rPr>
        <w:t>Příprava obyvatelstva na běžná rizika a zvládání mimořádn</w:t>
      </w:r>
      <w:r w:rsidR="00A85D2D">
        <w:rPr>
          <w:rFonts w:cs="Arial"/>
          <w:sz w:val="20"/>
          <w:szCs w:val="20"/>
        </w:rPr>
        <w:t xml:space="preserve">ých událostí byla v roce 2023 </w:t>
      </w:r>
      <w:r w:rsidRPr="00C3219A">
        <w:rPr>
          <w:rFonts w:cs="Arial"/>
          <w:sz w:val="20"/>
          <w:szCs w:val="20"/>
        </w:rPr>
        <w:t>zaměřena zejména na problematiku evakuace jako jednoho z hlavních nástrojů sebeochrany a na přípravu obyvatelstva ve vztahu k dlouhodobým mimořádným událostem vyžadujícím soběstačnost obyvatelstva (příprava dostatečné zásoby potravin, vody, otopu, léků, osvětlení apod.).</w:t>
      </w:r>
    </w:p>
    <w:p w14:paraId="55C7AEA0" w14:textId="5835F7D1" w:rsidR="009A615F" w:rsidRPr="00C3219A" w:rsidRDefault="009A615F" w:rsidP="00C3219A">
      <w:pPr>
        <w:rPr>
          <w:rFonts w:cs="Arial"/>
          <w:sz w:val="20"/>
          <w:szCs w:val="20"/>
        </w:rPr>
      </w:pPr>
      <w:r w:rsidRPr="00C3219A">
        <w:rPr>
          <w:rFonts w:cs="Arial"/>
          <w:sz w:val="20"/>
          <w:szCs w:val="20"/>
        </w:rPr>
        <w:t>V roce 2023 se uskutečnilo 40 akcí s celkovou účastí 1.102 h</w:t>
      </w:r>
      <w:r w:rsidR="00A85D2D">
        <w:rPr>
          <w:rFonts w:cs="Arial"/>
          <w:sz w:val="20"/>
          <w:szCs w:val="20"/>
        </w:rPr>
        <w:t>endikepovaných osob. Vzhledem k </w:t>
      </w:r>
      <w:r w:rsidRPr="00C3219A">
        <w:rPr>
          <w:rFonts w:cs="Arial"/>
          <w:sz w:val="20"/>
          <w:szCs w:val="20"/>
        </w:rPr>
        <w:t xml:space="preserve">mnoha různým formám postižení jsou tyto akce vždy specifické a zvolená vzdělávací forma je uzpůsobena druhu postižení. Jedná se především o osoby slabozraké a nevidomé, či s poruchami sluchu. V průběhu roku 2023 se HZS ČR začal výrazněji věnovat také přípravě osob širokého věkového spektra s mentálním a kombinovaným postižením. </w:t>
      </w:r>
    </w:p>
    <w:p w14:paraId="688315CD" w14:textId="77777777" w:rsidR="009A615F" w:rsidRPr="00C3219A" w:rsidRDefault="009A615F" w:rsidP="00C3219A">
      <w:pPr>
        <w:rPr>
          <w:rFonts w:cs="Arial"/>
          <w:sz w:val="20"/>
          <w:szCs w:val="20"/>
        </w:rPr>
      </w:pPr>
      <w:r w:rsidRPr="00C3219A">
        <w:rPr>
          <w:rFonts w:cs="Arial"/>
          <w:sz w:val="20"/>
          <w:szCs w:val="20"/>
        </w:rPr>
        <w:t>Příklady prováděných aktivit:</w:t>
      </w:r>
    </w:p>
    <w:p w14:paraId="07E845F9" w14:textId="4FC42EDF" w:rsidR="009A615F" w:rsidRPr="00C3219A" w:rsidRDefault="009A615F" w:rsidP="00C3219A">
      <w:pPr>
        <w:rPr>
          <w:rFonts w:cs="Arial"/>
          <w:sz w:val="20"/>
          <w:szCs w:val="20"/>
        </w:rPr>
      </w:pPr>
      <w:r w:rsidRPr="00C3219A">
        <w:rPr>
          <w:rFonts w:cs="Arial"/>
          <w:sz w:val="20"/>
          <w:szCs w:val="20"/>
        </w:rPr>
        <w:t>HZS Zlínského kraje se podílel na organizaci Valašské olympiády pro nevidomé a slabozraké, kterou pořádala Sjednocená organizace nevidomých a slabozrakých Vsetí</w:t>
      </w:r>
      <w:r w:rsidR="00A85D2D">
        <w:rPr>
          <w:rFonts w:cs="Arial"/>
          <w:sz w:val="20"/>
          <w:szCs w:val="20"/>
        </w:rPr>
        <w:t>n s účastí cca 50 soutěžících a </w:t>
      </w:r>
      <w:r w:rsidRPr="00C3219A">
        <w:rPr>
          <w:rFonts w:cs="Arial"/>
          <w:sz w:val="20"/>
          <w:szCs w:val="20"/>
        </w:rPr>
        <w:t>jejich doprovodu. U stánku PVČ účastníci plnili různé vědomostní úkoly a diskutovali o požární prevenci a zabezpečení domácnosti, u hasičské techniky si mohli v klidu osahat výstroj a výzbroj hasiče.</w:t>
      </w:r>
    </w:p>
    <w:p w14:paraId="6D3B7FA1" w14:textId="74D11588" w:rsidR="009A615F" w:rsidRPr="00C3219A" w:rsidRDefault="009A615F" w:rsidP="00C3219A">
      <w:pPr>
        <w:tabs>
          <w:tab w:val="left" w:pos="720"/>
        </w:tabs>
        <w:rPr>
          <w:rFonts w:cs="Arial"/>
          <w:b/>
          <w:bCs/>
          <w:sz w:val="20"/>
          <w:szCs w:val="20"/>
          <w:lang w:eastAsia="cs-CZ"/>
        </w:rPr>
      </w:pPr>
      <w:r w:rsidRPr="00C3219A">
        <w:rPr>
          <w:rFonts w:cs="Arial"/>
          <w:sz w:val="20"/>
          <w:szCs w:val="20"/>
        </w:rPr>
        <w:t xml:space="preserve">MV–GŘ HZS ČR navázalo v průběhu roku 2023 spolupráci se sdružením středních škol EUROINSITUT, které se zaměřuje na vzdělávání osob s mentálním či kombinovaným hendikepem širokého </w:t>
      </w:r>
      <w:proofErr w:type="gramStart"/>
      <w:r w:rsidRPr="00C3219A">
        <w:rPr>
          <w:rFonts w:cs="Arial"/>
          <w:sz w:val="20"/>
          <w:szCs w:val="20"/>
        </w:rPr>
        <w:t>věkové</w:t>
      </w:r>
      <w:proofErr w:type="gramEnd"/>
      <w:r w:rsidRPr="00C3219A">
        <w:rPr>
          <w:rFonts w:cs="Arial"/>
          <w:sz w:val="20"/>
          <w:szCs w:val="20"/>
        </w:rPr>
        <w:t xml:space="preserve"> spektra. V rámci počáteční fáze spolupráce, v druhé polovině roku 2023, byla realizována přednáška pro speciální pedagogy zmiňované instituce, zaměřená na výběr základních témat Ochrany člověka za běžných rizik a mimořádných událostí (účast 60 pedagogů). Dále bylo realizováno pilotní ověření projektové výuky téže problematiky pro studenty zmiňovaných středních škol. Vzdělávací obsah byl zaměřen na bezpečnostní rizika, plynoucí z aktuálních životních podmínek studentů zmiňovaných středních škol (domovy pro osoby se zdravotním postižením, či se zvláštním režimem).</w:t>
      </w:r>
    </w:p>
    <w:p w14:paraId="0B92CB54" w14:textId="3991420E" w:rsidR="00F919D9" w:rsidRPr="00C3219A" w:rsidRDefault="00F919D9" w:rsidP="00C3219A">
      <w:pPr>
        <w:rPr>
          <w:rFonts w:cs="Arial"/>
          <w:sz w:val="20"/>
          <w:szCs w:val="20"/>
        </w:rPr>
      </w:pPr>
      <w:r w:rsidRPr="00C3219A">
        <w:rPr>
          <w:rFonts w:cs="Arial"/>
          <w:b/>
          <w:bCs/>
          <w:sz w:val="20"/>
          <w:szCs w:val="20"/>
          <w:lang w:eastAsia="cs-CZ"/>
        </w:rPr>
        <w:t>STANOVISKO K PLNĚNÍ:</w:t>
      </w:r>
      <w:r w:rsidR="009D0A89" w:rsidRPr="00C3219A">
        <w:rPr>
          <w:rFonts w:cs="Arial"/>
          <w:b/>
          <w:bCs/>
          <w:sz w:val="20"/>
          <w:szCs w:val="20"/>
          <w:lang w:eastAsia="cs-CZ"/>
        </w:rPr>
        <w:t xml:space="preserve"> </w:t>
      </w:r>
      <w:r w:rsidR="00D356FC" w:rsidRPr="00C3219A">
        <w:rPr>
          <w:rFonts w:cs="Arial"/>
          <w:b/>
          <w:bCs/>
          <w:sz w:val="20"/>
          <w:szCs w:val="20"/>
          <w:lang w:eastAsia="cs-CZ"/>
        </w:rPr>
        <w:t>P</w:t>
      </w:r>
      <w:r w:rsidR="00946AAB" w:rsidRPr="00C3219A">
        <w:rPr>
          <w:rFonts w:cs="Arial"/>
          <w:b/>
          <w:sz w:val="20"/>
          <w:szCs w:val="20"/>
        </w:rPr>
        <w:t>lněno.</w:t>
      </w:r>
    </w:p>
    <w:p w14:paraId="311F8745" w14:textId="4073CF2D" w:rsidR="00A31DE7" w:rsidRPr="00C3219A" w:rsidRDefault="00A31DE7" w:rsidP="00C3219A">
      <w:pPr>
        <w:rPr>
          <w:rFonts w:cs="Arial"/>
          <w:sz w:val="20"/>
          <w:szCs w:val="20"/>
        </w:rPr>
      </w:pPr>
    </w:p>
    <w:p w14:paraId="661BE608" w14:textId="77777777" w:rsidR="00F17E74" w:rsidRPr="00544214" w:rsidRDefault="00544214" w:rsidP="0096248D">
      <w:pPr>
        <w:pStyle w:val="Nadpis2"/>
        <w:numPr>
          <w:ilvl w:val="0"/>
          <w:numId w:val="0"/>
        </w:numPr>
        <w:spacing w:before="0" w:after="120"/>
        <w:ind w:left="576" w:hanging="576"/>
      </w:pPr>
      <w:bookmarkStart w:id="22" w:name="_Toc38548790"/>
      <w:bookmarkStart w:id="23" w:name="_Toc38828887"/>
      <w:bookmarkStart w:id="24" w:name="_Toc101957893"/>
      <w:r>
        <w:t>Oblast č. 5</w:t>
      </w:r>
      <w:r w:rsidR="00B345A2">
        <w:t>:</w:t>
      </w:r>
      <w:r>
        <w:t xml:space="preserve"> </w:t>
      </w:r>
      <w:r w:rsidR="00F17E74" w:rsidRPr="00544214">
        <w:t>Nezávislý život</w:t>
      </w:r>
      <w:bookmarkEnd w:id="22"/>
      <w:bookmarkEnd w:id="23"/>
      <w:bookmarkEnd w:id="24"/>
    </w:p>
    <w:p w14:paraId="27FFF4C5" w14:textId="7E53F8E8" w:rsidR="00F17E74" w:rsidRPr="00DF5C8E" w:rsidRDefault="00F17E74" w:rsidP="00F17E74">
      <w:pPr>
        <w:rPr>
          <w:rFonts w:cs="Arial"/>
          <w:sz w:val="20"/>
          <w:szCs w:val="20"/>
        </w:rPr>
      </w:pPr>
      <w:r w:rsidRPr="00DF5C8E">
        <w:rPr>
          <w:rFonts w:cs="Arial"/>
          <w:sz w:val="20"/>
          <w:szCs w:val="20"/>
        </w:rPr>
        <w:t>Pro nezávislý a samostatný život osob se zdravotním p</w:t>
      </w:r>
      <w:r w:rsidR="00A2789D" w:rsidRPr="00DF5C8E">
        <w:rPr>
          <w:rFonts w:cs="Arial"/>
          <w:sz w:val="20"/>
          <w:szCs w:val="20"/>
        </w:rPr>
        <w:t>ostižením v domácím prostředí a </w:t>
      </w:r>
      <w:r w:rsidRPr="00DF5C8E">
        <w:rPr>
          <w:rFonts w:cs="Arial"/>
          <w:sz w:val="20"/>
          <w:szCs w:val="20"/>
        </w:rPr>
        <w:t xml:space="preserve">jejich plnohodnotnou účast na veřejném, společenském, kulturním a sportovním životě je nezbytným předpokladem zejména zajištění přiměřeného bydlení, vhodných asistenčních služeb a kompenzačních pomůcek. </w:t>
      </w:r>
    </w:p>
    <w:p w14:paraId="7680CBD9" w14:textId="3257B514" w:rsidR="00213752" w:rsidRPr="00704305" w:rsidRDefault="00213752" w:rsidP="00F17E74">
      <w:pPr>
        <w:rPr>
          <w:rFonts w:cs="Arial"/>
          <w:sz w:val="20"/>
          <w:szCs w:val="20"/>
        </w:rPr>
      </w:pPr>
      <w:r w:rsidRPr="00DF5C8E">
        <w:rPr>
          <w:rFonts w:cs="Arial"/>
          <w:sz w:val="20"/>
          <w:szCs w:val="20"/>
        </w:rPr>
        <w:t>Osobám se zdravotním postižením má být umožněn přístup ke kvalitním kompenzačním pomůckám, zařízením, podpůrným technologiím a k různým formám asistence i tím, že budou učiněny finančně dostupnými.</w:t>
      </w:r>
    </w:p>
    <w:p w14:paraId="215DFDDD" w14:textId="2A408627" w:rsidR="00F17E74" w:rsidRPr="00704305" w:rsidRDefault="00213752" w:rsidP="00F17E74">
      <w:pPr>
        <w:rPr>
          <w:rFonts w:cs="Arial"/>
          <w:sz w:val="20"/>
          <w:szCs w:val="20"/>
        </w:rPr>
      </w:pPr>
      <w:r>
        <w:rPr>
          <w:rFonts w:cs="Arial"/>
          <w:sz w:val="20"/>
          <w:szCs w:val="20"/>
        </w:rPr>
        <w:t>J</w:t>
      </w:r>
      <w:r w:rsidR="00F17E74" w:rsidRPr="00704305">
        <w:rPr>
          <w:rFonts w:cs="Arial"/>
          <w:sz w:val="20"/>
          <w:szCs w:val="20"/>
        </w:rPr>
        <w:t>e nezbytné podporovat samostatné bydlení osob se zdravotním postižením a umožnit výstavbu upravitelných bytů umožňujících bezbariérové užívání</w:t>
      </w:r>
      <w:r w:rsidR="00F17E74" w:rsidRPr="00704305">
        <w:rPr>
          <w:rFonts w:cs="Arial"/>
          <w:i/>
          <w:iCs/>
          <w:sz w:val="20"/>
          <w:szCs w:val="20"/>
        </w:rPr>
        <w:t>.</w:t>
      </w:r>
    </w:p>
    <w:p w14:paraId="2DE0C806" w14:textId="7FC6838C" w:rsidR="00F17E74" w:rsidRPr="00704305" w:rsidRDefault="00DF5C8E" w:rsidP="00F17E74">
      <w:pPr>
        <w:rPr>
          <w:rFonts w:cs="Arial"/>
          <w:sz w:val="20"/>
          <w:szCs w:val="20"/>
        </w:rPr>
      </w:pPr>
      <w:r>
        <w:rPr>
          <w:rFonts w:cs="Arial"/>
          <w:sz w:val="20"/>
          <w:szCs w:val="20"/>
        </w:rPr>
        <w:t>Důležité je</w:t>
      </w:r>
      <w:r w:rsidR="00F17E74" w:rsidRPr="00704305">
        <w:rPr>
          <w:rFonts w:cs="Arial"/>
          <w:sz w:val="20"/>
          <w:szCs w:val="20"/>
        </w:rPr>
        <w:t xml:space="preserve"> i nadále pokračovat a systematicky napomáhat transformaci pobytových zařízení sociálních služeb a podporovat zejména poskytování terénních a</w:t>
      </w:r>
      <w:r w:rsidR="00251C70" w:rsidRPr="00704305">
        <w:rPr>
          <w:rFonts w:cs="Arial"/>
          <w:sz w:val="20"/>
          <w:szCs w:val="20"/>
        </w:rPr>
        <w:t> </w:t>
      </w:r>
      <w:r w:rsidR="00F17E74" w:rsidRPr="00704305">
        <w:rPr>
          <w:rFonts w:cs="Arial"/>
          <w:sz w:val="20"/>
          <w:szCs w:val="20"/>
        </w:rPr>
        <w:t>ambulantních sociálních služeb</w:t>
      </w:r>
      <w:r w:rsidR="00F17E74" w:rsidRPr="00704305">
        <w:rPr>
          <w:rFonts w:cs="Arial"/>
          <w:sz w:val="20"/>
          <w:szCs w:val="20"/>
          <w:lang w:bidi="cs-CZ"/>
        </w:rPr>
        <w:t xml:space="preserve"> </w:t>
      </w:r>
      <w:r w:rsidR="00F17E74" w:rsidRPr="00704305">
        <w:rPr>
          <w:rFonts w:cs="Arial"/>
          <w:sz w:val="20"/>
          <w:szCs w:val="20"/>
        </w:rPr>
        <w:t xml:space="preserve">v přirozeném prostředí uživatele. Neméně důležité je </w:t>
      </w:r>
      <w:r w:rsidR="00F17E74" w:rsidRPr="00704305">
        <w:rPr>
          <w:sz w:val="20"/>
          <w:szCs w:val="20"/>
        </w:rPr>
        <w:t>i</w:t>
      </w:r>
      <w:r w:rsidR="00251C70" w:rsidRPr="00704305">
        <w:rPr>
          <w:sz w:val="20"/>
          <w:szCs w:val="20"/>
        </w:rPr>
        <w:t> </w:t>
      </w:r>
      <w:r w:rsidR="00F17E74" w:rsidRPr="00704305">
        <w:rPr>
          <w:sz w:val="20"/>
          <w:szCs w:val="20"/>
        </w:rPr>
        <w:t>nastavení</w:t>
      </w:r>
      <w:r w:rsidR="00F17E74" w:rsidRPr="00704305">
        <w:rPr>
          <w:rFonts w:cs="Arial"/>
          <w:sz w:val="20"/>
          <w:szCs w:val="20"/>
        </w:rPr>
        <w:t xml:space="preserve"> způsobu financování sociálních služeb prostřednictvím transparentního, efektivního a spravedlivého systému.</w:t>
      </w:r>
    </w:p>
    <w:p w14:paraId="2A555DA1" w14:textId="77777777" w:rsidR="00F17E74" w:rsidRPr="00704305" w:rsidRDefault="00F17E74" w:rsidP="00DF5C8E">
      <w:pPr>
        <w:rPr>
          <w:rFonts w:cs="Arial"/>
          <w:sz w:val="20"/>
          <w:szCs w:val="20"/>
        </w:rPr>
      </w:pPr>
      <w:r w:rsidRPr="00704305">
        <w:rPr>
          <w:rFonts w:cs="Arial"/>
          <w:sz w:val="20"/>
          <w:szCs w:val="20"/>
        </w:rPr>
        <w:lastRenderedPageBreak/>
        <w:t>Pro osoby se sluchovým postižením bývá překážkou k plnému zapojení se do všech oblastí života společnosti zejména nedostatečný počet tlumočníků českého znakového jazyka, je proto nutné systematicky podporovat vzdělávací programy tak, aby se jejich počet neustále navyšoval.</w:t>
      </w:r>
    </w:p>
    <w:p w14:paraId="31D8E8DE" w14:textId="77777777" w:rsidR="00C31B7D" w:rsidRDefault="00C31B7D" w:rsidP="00DF5C8E">
      <w:pPr>
        <w:jc w:val="left"/>
        <w:rPr>
          <w:rFonts w:cs="Arial"/>
          <w:b/>
          <w:szCs w:val="20"/>
        </w:rPr>
      </w:pPr>
    </w:p>
    <w:p w14:paraId="48FAA347" w14:textId="63C90530" w:rsidR="00F17E74" w:rsidRDefault="00F17E74" w:rsidP="00743CE3">
      <w:pPr>
        <w:jc w:val="left"/>
        <w:rPr>
          <w:rFonts w:cs="Arial"/>
          <w:b/>
          <w:szCs w:val="20"/>
        </w:rPr>
      </w:pPr>
      <w:r>
        <w:rPr>
          <w:rFonts w:cs="Arial"/>
          <w:b/>
          <w:szCs w:val="20"/>
        </w:rPr>
        <w:t xml:space="preserve">5.1 </w:t>
      </w:r>
      <w:r w:rsidRPr="000D3EDE">
        <w:rPr>
          <w:rFonts w:cs="Arial"/>
          <w:b/>
          <w:szCs w:val="20"/>
        </w:rPr>
        <w:t xml:space="preserve">Cíl: </w:t>
      </w:r>
      <w:r w:rsidRPr="00E54831">
        <w:rPr>
          <w:rFonts w:eastAsia="Calibri" w:cs="Arial"/>
          <w:b/>
          <w:szCs w:val="20"/>
        </w:rPr>
        <w:t>Podpora</w:t>
      </w:r>
      <w:r w:rsidRPr="00690FAE">
        <w:rPr>
          <w:rFonts w:cs="Arial"/>
          <w:b/>
          <w:szCs w:val="20"/>
        </w:rPr>
        <w:t xml:space="preserve"> </w:t>
      </w:r>
      <w:r w:rsidR="006A36E2">
        <w:rPr>
          <w:rFonts w:cs="Arial"/>
          <w:b/>
          <w:szCs w:val="20"/>
        </w:rPr>
        <w:t>samostatného života</w:t>
      </w:r>
      <w:r w:rsidRPr="00690FAE">
        <w:rPr>
          <w:rFonts w:cs="Arial"/>
          <w:b/>
          <w:szCs w:val="20"/>
        </w:rPr>
        <w:t xml:space="preserve"> osob se zdravotním postižením v přirozeném </w:t>
      </w:r>
      <w:r w:rsidR="00961122" w:rsidRPr="00961122">
        <w:rPr>
          <w:rFonts w:cs="Arial"/>
          <w:b/>
          <w:szCs w:val="20"/>
        </w:rPr>
        <w:t>sociálním</w:t>
      </w:r>
      <w:r w:rsidR="00961122">
        <w:rPr>
          <w:rFonts w:cs="Arial"/>
          <w:bCs/>
          <w:szCs w:val="20"/>
        </w:rPr>
        <w:t xml:space="preserve"> </w:t>
      </w:r>
      <w:r w:rsidR="00961122" w:rsidRPr="00961122">
        <w:rPr>
          <w:rFonts w:cs="Arial"/>
          <w:b/>
          <w:szCs w:val="20"/>
        </w:rPr>
        <w:t xml:space="preserve">prostředí, </w:t>
      </w:r>
      <w:r w:rsidR="00961122" w:rsidRPr="00961122">
        <w:rPr>
          <w:b/>
        </w:rPr>
        <w:t xml:space="preserve">zejména </w:t>
      </w:r>
      <w:r w:rsidR="00EC56EA">
        <w:rPr>
          <w:b/>
        </w:rPr>
        <w:t xml:space="preserve">setrvání </w:t>
      </w:r>
      <w:r w:rsidR="00961122" w:rsidRPr="00961122">
        <w:rPr>
          <w:b/>
        </w:rPr>
        <w:t>v prostředí domácím.</w:t>
      </w:r>
    </w:p>
    <w:p w14:paraId="13BBD161" w14:textId="77777777" w:rsidR="00F004DA" w:rsidRPr="000D3EDE" w:rsidRDefault="00F004DA" w:rsidP="00F004DA">
      <w:pPr>
        <w:rPr>
          <w:rFonts w:cs="Arial"/>
          <w:szCs w:val="20"/>
        </w:rPr>
      </w:pPr>
      <w:r w:rsidRPr="0035060D">
        <w:rPr>
          <w:rFonts w:cs="Arial"/>
          <w:bCs/>
          <w:szCs w:val="20"/>
        </w:rPr>
        <w:t xml:space="preserve">Opatření </w:t>
      </w:r>
      <w:r>
        <w:rPr>
          <w:rFonts w:cs="Arial"/>
          <w:bCs/>
          <w:szCs w:val="20"/>
        </w:rPr>
        <w:t>5</w:t>
      </w:r>
      <w:r>
        <w:rPr>
          <w:rFonts w:cs="Arial"/>
          <w:szCs w:val="20"/>
        </w:rPr>
        <w:t xml:space="preserve">.1.1 </w:t>
      </w:r>
      <w:r w:rsidRPr="00C774EB">
        <w:rPr>
          <w:rFonts w:cs="Arial"/>
          <w:szCs w:val="20"/>
        </w:rPr>
        <w:t xml:space="preserve">Provádět osvětu týkající </w:t>
      </w:r>
      <w:r>
        <w:rPr>
          <w:rFonts w:cs="Arial"/>
          <w:szCs w:val="20"/>
        </w:rPr>
        <w:t xml:space="preserve">se </w:t>
      </w:r>
      <w:r w:rsidRPr="00C774EB">
        <w:rPr>
          <w:rFonts w:cs="Arial"/>
          <w:szCs w:val="20"/>
        </w:rPr>
        <w:t>poskytování péče typu home sharing (sdílená péče v rámci rodin) za pomoci prezentace příkladů dobré praxe.</w:t>
      </w:r>
    </w:p>
    <w:p w14:paraId="275C2BBB" w14:textId="77777777" w:rsidR="00F004DA" w:rsidRPr="000D3EDE" w:rsidRDefault="00F004DA" w:rsidP="00F004DA">
      <w:pPr>
        <w:rPr>
          <w:rFonts w:cs="Arial"/>
          <w:szCs w:val="20"/>
        </w:rPr>
      </w:pPr>
      <w:r>
        <w:rPr>
          <w:rFonts w:cs="Arial"/>
          <w:szCs w:val="20"/>
        </w:rPr>
        <w:t xml:space="preserve">Termín: </w:t>
      </w:r>
      <w:proofErr w:type="gramStart"/>
      <w:r>
        <w:rPr>
          <w:rFonts w:cs="Arial"/>
          <w:szCs w:val="20"/>
        </w:rPr>
        <w:t>31.12.</w:t>
      </w:r>
      <w:r w:rsidRPr="000D3EDE">
        <w:rPr>
          <w:rFonts w:cs="Arial"/>
          <w:szCs w:val="20"/>
        </w:rPr>
        <w:t>2023</w:t>
      </w:r>
      <w:proofErr w:type="gramEnd"/>
    </w:p>
    <w:p w14:paraId="160663B0" w14:textId="77777777" w:rsidR="00F004DA" w:rsidRPr="000D3EDE" w:rsidRDefault="00F004DA" w:rsidP="005A510F">
      <w:pPr>
        <w:rPr>
          <w:rFonts w:cs="Arial"/>
          <w:szCs w:val="20"/>
        </w:rPr>
      </w:pPr>
      <w:r w:rsidRPr="000D3EDE">
        <w:rPr>
          <w:rFonts w:cs="Arial"/>
          <w:szCs w:val="20"/>
        </w:rPr>
        <w:t>Gestor: MPSV</w:t>
      </w:r>
    </w:p>
    <w:p w14:paraId="0E2B225B" w14:textId="77777777" w:rsidR="00F004DA" w:rsidRPr="00C42E04" w:rsidRDefault="00F004DA" w:rsidP="005A510F">
      <w:pPr>
        <w:rPr>
          <w:rFonts w:cs="Arial"/>
          <w:bCs/>
          <w:szCs w:val="20"/>
        </w:rPr>
      </w:pPr>
      <w:r w:rsidRPr="004573C8">
        <w:rPr>
          <w:rFonts w:cs="Arial"/>
          <w:bCs/>
          <w:szCs w:val="20"/>
        </w:rPr>
        <w:t xml:space="preserve">Indikátor: </w:t>
      </w:r>
      <w:r>
        <w:rPr>
          <w:rFonts w:cs="Arial"/>
          <w:bCs/>
          <w:szCs w:val="20"/>
        </w:rPr>
        <w:t>Byly zpracovány příklady dobré praxe týkající se poskytování péče.</w:t>
      </w:r>
    </w:p>
    <w:p w14:paraId="66F75DE9" w14:textId="77777777" w:rsidR="005A510F" w:rsidRDefault="005A510F" w:rsidP="005A510F">
      <w:pPr>
        <w:tabs>
          <w:tab w:val="left" w:pos="720"/>
        </w:tabs>
        <w:rPr>
          <w:rFonts w:cs="Arial"/>
          <w:b/>
          <w:bCs/>
          <w:sz w:val="20"/>
          <w:szCs w:val="20"/>
          <w:lang w:eastAsia="cs-CZ"/>
        </w:rPr>
      </w:pPr>
    </w:p>
    <w:p w14:paraId="7414A883" w14:textId="3FA79705" w:rsidR="00F004DA" w:rsidRPr="009E0C1A" w:rsidRDefault="00F004DA" w:rsidP="005A510F">
      <w:pPr>
        <w:tabs>
          <w:tab w:val="left" w:pos="720"/>
        </w:tabs>
        <w:rPr>
          <w:rFonts w:cs="Arial"/>
          <w:b/>
          <w:bCs/>
          <w:sz w:val="20"/>
          <w:szCs w:val="20"/>
          <w:lang w:eastAsia="cs-CZ"/>
        </w:rPr>
      </w:pPr>
      <w:r w:rsidRPr="009E0C1A">
        <w:rPr>
          <w:rFonts w:cs="Arial"/>
          <w:b/>
          <w:bCs/>
          <w:sz w:val="20"/>
          <w:szCs w:val="20"/>
          <w:lang w:eastAsia="cs-CZ"/>
        </w:rPr>
        <w:t>PLNĚNÍ MPSV:</w:t>
      </w:r>
    </w:p>
    <w:p w14:paraId="1B5975C8" w14:textId="1935C33A" w:rsidR="00DC5B05" w:rsidRPr="009E0C1A" w:rsidRDefault="00DC5B05" w:rsidP="005A510F">
      <w:pPr>
        <w:tabs>
          <w:tab w:val="left" w:pos="720"/>
        </w:tabs>
        <w:rPr>
          <w:rFonts w:cs="Arial"/>
          <w:bCs/>
          <w:sz w:val="20"/>
          <w:szCs w:val="20"/>
          <w:lang w:eastAsia="cs-CZ"/>
        </w:rPr>
      </w:pPr>
      <w:r w:rsidRPr="009E0C1A">
        <w:rPr>
          <w:rFonts w:cs="Arial"/>
          <w:bCs/>
          <w:sz w:val="20"/>
          <w:szCs w:val="20"/>
          <w:lang w:eastAsia="cs-CZ"/>
        </w:rPr>
        <w:t>Text plnění k tomuto opatření nebyl zaslán.</w:t>
      </w:r>
    </w:p>
    <w:p w14:paraId="7194C02F" w14:textId="32B30BB5" w:rsidR="00F004DA" w:rsidRPr="005A510F" w:rsidRDefault="00F004DA" w:rsidP="005A510F">
      <w:pPr>
        <w:rPr>
          <w:rFonts w:cs="Arial"/>
          <w:sz w:val="20"/>
          <w:szCs w:val="20"/>
        </w:rPr>
      </w:pPr>
      <w:r w:rsidRPr="009E0C1A">
        <w:rPr>
          <w:rFonts w:cs="Arial"/>
          <w:b/>
          <w:bCs/>
          <w:sz w:val="20"/>
          <w:szCs w:val="20"/>
          <w:lang w:eastAsia="cs-CZ"/>
        </w:rPr>
        <w:t xml:space="preserve">STANOVISKO K PLNĚNÍ: </w:t>
      </w:r>
      <w:r w:rsidR="00DC50E8" w:rsidRPr="009E0C1A">
        <w:rPr>
          <w:rFonts w:cs="Arial"/>
          <w:b/>
          <w:bCs/>
          <w:sz w:val="20"/>
          <w:szCs w:val="20"/>
          <w:lang w:eastAsia="cs-CZ"/>
        </w:rPr>
        <w:t>Nesp</w:t>
      </w:r>
      <w:r w:rsidRPr="009E0C1A">
        <w:rPr>
          <w:rFonts w:cs="Arial"/>
          <w:b/>
          <w:sz w:val="20"/>
          <w:szCs w:val="20"/>
        </w:rPr>
        <w:t>lněno.</w:t>
      </w:r>
      <w:r w:rsidR="00DC5B05" w:rsidRPr="009E0C1A">
        <w:rPr>
          <w:rFonts w:cs="Arial"/>
          <w:b/>
          <w:sz w:val="20"/>
          <w:szCs w:val="20"/>
        </w:rPr>
        <w:t xml:space="preserve"> Navržen posun termínu do </w:t>
      </w:r>
      <w:proofErr w:type="gramStart"/>
      <w:r w:rsidR="00DC5B05" w:rsidRPr="009E0C1A">
        <w:rPr>
          <w:rFonts w:cs="Arial"/>
          <w:b/>
          <w:sz w:val="20"/>
          <w:szCs w:val="20"/>
        </w:rPr>
        <w:t>31.12.2024</w:t>
      </w:r>
      <w:proofErr w:type="gramEnd"/>
      <w:r w:rsidR="00DC5B05" w:rsidRPr="009E0C1A">
        <w:rPr>
          <w:rFonts w:cs="Arial"/>
          <w:b/>
          <w:sz w:val="20"/>
          <w:szCs w:val="20"/>
        </w:rPr>
        <w:t>.</w:t>
      </w:r>
      <w:r w:rsidR="00DC5B05">
        <w:rPr>
          <w:rFonts w:cs="Arial"/>
          <w:b/>
          <w:sz w:val="20"/>
          <w:szCs w:val="20"/>
        </w:rPr>
        <w:t xml:space="preserve"> </w:t>
      </w:r>
    </w:p>
    <w:p w14:paraId="78FB11DB" w14:textId="77777777" w:rsidR="00F004DA" w:rsidRDefault="00F004DA" w:rsidP="005A510F">
      <w:pPr>
        <w:rPr>
          <w:rFonts w:cs="Arial"/>
          <w:bCs/>
          <w:szCs w:val="20"/>
        </w:rPr>
      </w:pPr>
    </w:p>
    <w:p w14:paraId="493D2737" w14:textId="1D84569A" w:rsidR="00F17E74" w:rsidRDefault="00F17E74" w:rsidP="00743CE3">
      <w:pPr>
        <w:rPr>
          <w:rFonts w:cs="Arial"/>
          <w:bCs/>
          <w:szCs w:val="20"/>
        </w:rPr>
      </w:pPr>
      <w:r w:rsidRPr="0035060D">
        <w:rPr>
          <w:rFonts w:cs="Arial"/>
          <w:bCs/>
          <w:szCs w:val="20"/>
        </w:rPr>
        <w:t xml:space="preserve">Opatření </w:t>
      </w:r>
      <w:r>
        <w:rPr>
          <w:rFonts w:cs="Arial"/>
          <w:bCs/>
          <w:szCs w:val="20"/>
        </w:rPr>
        <w:t>5</w:t>
      </w:r>
      <w:r>
        <w:rPr>
          <w:rFonts w:cs="Arial"/>
          <w:szCs w:val="20"/>
        </w:rPr>
        <w:t xml:space="preserve">.1.2 </w:t>
      </w:r>
      <w:r>
        <w:rPr>
          <w:rFonts w:cs="Arial"/>
          <w:bCs/>
          <w:szCs w:val="20"/>
        </w:rPr>
        <w:t xml:space="preserve">V rámci sociální práce </w:t>
      </w:r>
      <w:r w:rsidRPr="00EE0896">
        <w:rPr>
          <w:rFonts w:cs="Arial"/>
          <w:bCs/>
          <w:szCs w:val="20"/>
        </w:rPr>
        <w:t xml:space="preserve">na obcích s rozšířenou působností </w:t>
      </w:r>
      <w:r>
        <w:rPr>
          <w:rFonts w:cs="Arial"/>
          <w:bCs/>
          <w:szCs w:val="20"/>
        </w:rPr>
        <w:t xml:space="preserve">koordinovat podporu osob se zdravotním postižením. </w:t>
      </w:r>
    </w:p>
    <w:p w14:paraId="4A163E79" w14:textId="77777777" w:rsidR="00F17E74" w:rsidRPr="000D3EDE" w:rsidRDefault="00F17E74" w:rsidP="00743CE3">
      <w:pPr>
        <w:rPr>
          <w:rFonts w:cs="Arial"/>
          <w:bCs/>
          <w:szCs w:val="20"/>
        </w:rPr>
      </w:pPr>
      <w:r>
        <w:rPr>
          <w:rFonts w:cs="Arial"/>
          <w:bCs/>
          <w:szCs w:val="20"/>
        </w:rPr>
        <w:t>Termín: průběžně</w:t>
      </w:r>
    </w:p>
    <w:p w14:paraId="52678B76" w14:textId="77777777" w:rsidR="00F17E74" w:rsidRDefault="00F17E74" w:rsidP="00743CE3">
      <w:pPr>
        <w:rPr>
          <w:rFonts w:cs="Arial"/>
          <w:bCs/>
          <w:szCs w:val="20"/>
        </w:rPr>
      </w:pPr>
      <w:r w:rsidRPr="000D3EDE">
        <w:rPr>
          <w:rFonts w:cs="Arial"/>
          <w:bCs/>
          <w:szCs w:val="20"/>
        </w:rPr>
        <w:t>Gestor: MPSV</w:t>
      </w:r>
    </w:p>
    <w:p w14:paraId="695E1019" w14:textId="3111A34C" w:rsidR="00F17E74" w:rsidRDefault="00F17E74" w:rsidP="00743CE3">
      <w:pPr>
        <w:rPr>
          <w:rFonts w:cs="Arial"/>
          <w:bCs/>
          <w:szCs w:val="20"/>
        </w:rPr>
      </w:pPr>
      <w:r w:rsidRPr="004573C8">
        <w:rPr>
          <w:rFonts w:cs="Arial"/>
          <w:bCs/>
          <w:szCs w:val="20"/>
        </w:rPr>
        <w:t>Indikátor:</w:t>
      </w:r>
      <w:r>
        <w:rPr>
          <w:rFonts w:cs="Arial"/>
          <w:bCs/>
          <w:szCs w:val="20"/>
        </w:rPr>
        <w:t xml:space="preserve"> Na obcích s rozšířenou působností je v rámci sociální práce zajišťována koordinace podpory osob se zdravotním postižením. </w:t>
      </w:r>
    </w:p>
    <w:p w14:paraId="0CB26863" w14:textId="77777777" w:rsidR="00743CE3" w:rsidRPr="00825680" w:rsidRDefault="00743CE3" w:rsidP="00825680">
      <w:pPr>
        <w:rPr>
          <w:rFonts w:cs="Arial"/>
          <w:bCs/>
          <w:sz w:val="20"/>
          <w:szCs w:val="20"/>
        </w:rPr>
      </w:pPr>
    </w:p>
    <w:p w14:paraId="4D079551" w14:textId="5DE5316D" w:rsidR="00FE7126" w:rsidRPr="00F8155E" w:rsidRDefault="00FE7126" w:rsidP="00825680">
      <w:pPr>
        <w:keepNext/>
        <w:tabs>
          <w:tab w:val="left" w:pos="720"/>
        </w:tabs>
        <w:rPr>
          <w:rFonts w:cs="Arial"/>
          <w:b/>
          <w:bCs/>
          <w:sz w:val="20"/>
          <w:szCs w:val="20"/>
          <w:lang w:eastAsia="cs-CZ"/>
        </w:rPr>
      </w:pPr>
      <w:r w:rsidRPr="00F8155E">
        <w:rPr>
          <w:rFonts w:cs="Arial"/>
          <w:b/>
          <w:bCs/>
          <w:sz w:val="20"/>
          <w:szCs w:val="20"/>
          <w:lang w:eastAsia="cs-CZ"/>
        </w:rPr>
        <w:t>PLNĚNÍ MPSV:</w:t>
      </w:r>
    </w:p>
    <w:p w14:paraId="1ACB44E2" w14:textId="602CFFFC" w:rsidR="00F8155E" w:rsidRPr="00F8155E" w:rsidRDefault="00F8155E" w:rsidP="00F8155E">
      <w:pPr>
        <w:rPr>
          <w:rFonts w:cs="Arial"/>
          <w:bCs/>
          <w:sz w:val="20"/>
          <w:szCs w:val="20"/>
        </w:rPr>
      </w:pPr>
      <w:r w:rsidRPr="00F8155E">
        <w:rPr>
          <w:rFonts w:cs="Arial"/>
          <w:bCs/>
          <w:sz w:val="20"/>
          <w:szCs w:val="20"/>
        </w:rPr>
        <w:t xml:space="preserve">Projekt Podpora implementace koordinovaného přístupu v systému poskytování </w:t>
      </w:r>
      <w:r w:rsidR="00EC3743">
        <w:rPr>
          <w:rFonts w:cs="Arial"/>
          <w:bCs/>
          <w:sz w:val="20"/>
          <w:szCs w:val="20"/>
        </w:rPr>
        <w:t>sociální ochrany v </w:t>
      </w:r>
      <w:r w:rsidRPr="00F8155E">
        <w:rPr>
          <w:rFonts w:cs="Arial"/>
          <w:bCs/>
          <w:sz w:val="20"/>
          <w:szCs w:val="20"/>
        </w:rPr>
        <w:t>ČR, který MPSV realizuje</w:t>
      </w:r>
      <w:r w:rsidR="00B00674">
        <w:rPr>
          <w:rFonts w:cs="Arial"/>
          <w:bCs/>
          <w:sz w:val="20"/>
          <w:szCs w:val="20"/>
        </w:rPr>
        <w:t xml:space="preserve"> od dubna 2023, </w:t>
      </w:r>
      <w:proofErr w:type="gramStart"/>
      <w:r w:rsidRPr="00F8155E">
        <w:rPr>
          <w:rFonts w:cs="Arial"/>
          <w:bCs/>
          <w:sz w:val="20"/>
          <w:szCs w:val="20"/>
        </w:rPr>
        <w:t>usiluje</w:t>
      </w:r>
      <w:proofErr w:type="gramEnd"/>
      <w:r w:rsidRPr="00F8155E">
        <w:rPr>
          <w:rFonts w:cs="Arial"/>
          <w:bCs/>
          <w:sz w:val="20"/>
          <w:szCs w:val="20"/>
        </w:rPr>
        <w:t xml:space="preserve"> o vytvoření podmínek pro aplikaci </w:t>
      </w:r>
      <w:proofErr w:type="gramStart"/>
      <w:r w:rsidRPr="00F8155E">
        <w:rPr>
          <w:rFonts w:cs="Arial"/>
          <w:bCs/>
          <w:sz w:val="20"/>
          <w:szCs w:val="20"/>
        </w:rPr>
        <w:t>case</w:t>
      </w:r>
      <w:proofErr w:type="gramEnd"/>
      <w:r w:rsidRPr="00F8155E">
        <w:rPr>
          <w:rFonts w:cs="Arial"/>
          <w:bCs/>
          <w:sz w:val="20"/>
          <w:szCs w:val="20"/>
        </w:rPr>
        <w:t xml:space="preserve"> managementu do systému sociální ochrany ČR na všech jeho úrovních, a to prostřednictvím přípravy a pilotního odzkoušení unifikovaného modelu koordinovaného přístupu, vč. poskytování související metodické podpory vybraným obcím s rozšířenou působností a posílením kompetencí relevantních aktérů, u nichž se koordinovaný přístup očekává a vyžaduje. Podpora implementace koordinovaného přístupu v systému poskytování sociální ochrany v ČR (mpsv.cz)</w:t>
      </w:r>
      <w:r w:rsidR="004D0945">
        <w:rPr>
          <w:rFonts w:cs="Arial"/>
          <w:bCs/>
          <w:sz w:val="20"/>
          <w:szCs w:val="20"/>
        </w:rPr>
        <w:t>.</w:t>
      </w:r>
      <w:r w:rsidRPr="00F8155E">
        <w:rPr>
          <w:rFonts w:cs="Arial"/>
          <w:bCs/>
          <w:sz w:val="20"/>
          <w:szCs w:val="20"/>
        </w:rPr>
        <w:t xml:space="preserve"> V praxi má projekt podporovat podmínky pro systémové zavádění case managementu v případové sociální práci, což se jeví jako potřebné zejména u těch klientů, kteří potřebují zajistit náročnější modely péče.</w:t>
      </w:r>
    </w:p>
    <w:p w14:paraId="031E4774" w14:textId="77777777" w:rsidR="00F8155E" w:rsidRPr="00F8155E" w:rsidRDefault="00F8155E" w:rsidP="00F8155E">
      <w:pPr>
        <w:rPr>
          <w:rFonts w:cs="Arial"/>
          <w:bCs/>
          <w:sz w:val="20"/>
          <w:szCs w:val="20"/>
        </w:rPr>
      </w:pPr>
      <w:r w:rsidRPr="00F8155E">
        <w:rPr>
          <w:rFonts w:cs="Arial"/>
          <w:bCs/>
          <w:sz w:val="20"/>
          <w:szCs w:val="20"/>
        </w:rPr>
        <w:t>MPSV také zadalo výzkum VÚPSV s názvem Kvalita výkonu sociální práce v ČR – vytvoření metodiky hodnocení a provedení prvotní evaluace. Cílem tohoto výzkumu je: standardizace (tj. jednotné nastavení) východisek a procesů hodnocení kvality výkonu sociální práce jako nástroje neustálého zlepšování a rozvoje kvality výkonu sociální práce v ČR.</w:t>
      </w:r>
    </w:p>
    <w:p w14:paraId="3CA61550" w14:textId="3E6C86D0" w:rsidR="00F8155E" w:rsidRPr="00F8155E" w:rsidRDefault="00F8155E" w:rsidP="00F8155E">
      <w:pPr>
        <w:rPr>
          <w:rFonts w:cs="Arial"/>
          <w:bCs/>
          <w:sz w:val="20"/>
          <w:szCs w:val="20"/>
        </w:rPr>
      </w:pPr>
      <w:r w:rsidRPr="00F8155E">
        <w:rPr>
          <w:rFonts w:cs="Arial"/>
          <w:bCs/>
          <w:sz w:val="20"/>
          <w:szCs w:val="20"/>
        </w:rPr>
        <w:t>Dalším výzkumem zadaným MPSV, který realizuje RILSA od r. 2022 do 2025 je Výzkum zaměřený na vyhodnocení činnosti sociálních pracovníků obecních úřadů ve vztahu ke struktuře a potřebám jejich klientů. V r. 2023 vydal řešitel monografii Sociální práce na obecníc</w:t>
      </w:r>
      <w:r w:rsidR="006D00B9">
        <w:rPr>
          <w:rFonts w:cs="Arial"/>
          <w:bCs/>
          <w:sz w:val="20"/>
          <w:szCs w:val="20"/>
        </w:rPr>
        <w:t>h úřadech</w:t>
      </w:r>
      <w:r w:rsidRPr="00F8155E">
        <w:rPr>
          <w:rFonts w:cs="Arial"/>
          <w:bCs/>
          <w:sz w:val="20"/>
          <w:szCs w:val="20"/>
        </w:rPr>
        <w:t>, kde je provedena analýza výkonu sociální práce ve veřejné správě z dostupných dat od r. 2016.</w:t>
      </w:r>
    </w:p>
    <w:p w14:paraId="67718B17" w14:textId="5A26AFDE" w:rsidR="00FE7126" w:rsidRPr="00F8155E" w:rsidRDefault="00FE7126" w:rsidP="00825680">
      <w:pPr>
        <w:rPr>
          <w:rFonts w:cs="Arial"/>
          <w:bCs/>
          <w:sz w:val="20"/>
          <w:szCs w:val="20"/>
        </w:rPr>
      </w:pPr>
      <w:r w:rsidRPr="00F8155E">
        <w:rPr>
          <w:rFonts w:cs="Arial"/>
          <w:b/>
          <w:bCs/>
          <w:sz w:val="20"/>
          <w:szCs w:val="20"/>
          <w:lang w:eastAsia="cs-CZ"/>
        </w:rPr>
        <w:t>STANOVISKO K PLNĚNÍ:</w:t>
      </w:r>
      <w:r w:rsidR="00D50F19" w:rsidRPr="00F8155E">
        <w:rPr>
          <w:rFonts w:cs="Arial"/>
          <w:b/>
          <w:bCs/>
          <w:sz w:val="20"/>
          <w:szCs w:val="20"/>
          <w:lang w:eastAsia="cs-CZ"/>
        </w:rPr>
        <w:t xml:space="preserve"> </w:t>
      </w:r>
      <w:r w:rsidR="00AF2965" w:rsidRPr="00F8155E">
        <w:rPr>
          <w:rFonts w:cs="Arial"/>
          <w:b/>
          <w:bCs/>
          <w:sz w:val="20"/>
          <w:szCs w:val="20"/>
          <w:lang w:eastAsia="cs-CZ"/>
        </w:rPr>
        <w:t xml:space="preserve">Plněno. </w:t>
      </w:r>
    </w:p>
    <w:p w14:paraId="0107E1B8" w14:textId="77777777" w:rsidR="00FE7126" w:rsidRPr="00825680" w:rsidRDefault="00FE7126" w:rsidP="00825680">
      <w:pPr>
        <w:rPr>
          <w:rFonts w:cs="Arial"/>
          <w:bCs/>
          <w:sz w:val="20"/>
          <w:szCs w:val="20"/>
        </w:rPr>
      </w:pPr>
    </w:p>
    <w:p w14:paraId="589C6DF1" w14:textId="735C1485" w:rsidR="00F17E74" w:rsidRPr="000D3EDE" w:rsidRDefault="00F17E74" w:rsidP="00622BC0">
      <w:pPr>
        <w:rPr>
          <w:rFonts w:cs="Arial"/>
          <w:szCs w:val="20"/>
        </w:rPr>
      </w:pPr>
      <w:r w:rsidRPr="0035060D">
        <w:rPr>
          <w:rFonts w:cs="Arial"/>
          <w:bCs/>
          <w:szCs w:val="20"/>
        </w:rPr>
        <w:t xml:space="preserve">Opatření </w:t>
      </w:r>
      <w:r>
        <w:rPr>
          <w:rFonts w:cs="Arial"/>
          <w:bCs/>
          <w:szCs w:val="20"/>
        </w:rPr>
        <w:t>5</w:t>
      </w:r>
      <w:r>
        <w:rPr>
          <w:rFonts w:cs="Arial"/>
          <w:szCs w:val="20"/>
        </w:rPr>
        <w:t xml:space="preserve">.1.3 </w:t>
      </w:r>
      <w:r w:rsidRPr="00ED3C10">
        <w:rPr>
          <w:rFonts w:cs="Arial"/>
          <w:szCs w:val="20"/>
        </w:rPr>
        <w:t>Podporovat</w:t>
      </w:r>
      <w:r w:rsidRPr="000D3EDE">
        <w:rPr>
          <w:rFonts w:cs="Arial"/>
          <w:szCs w:val="20"/>
        </w:rPr>
        <w:t xml:space="preserve"> zázemí pro výkon sociální práce na obcích se zřetelem na</w:t>
      </w:r>
      <w:r w:rsidR="00401F7F">
        <w:rPr>
          <w:rFonts w:cs="Arial"/>
          <w:szCs w:val="20"/>
        </w:rPr>
        <w:t> </w:t>
      </w:r>
      <w:r w:rsidRPr="000D3EDE">
        <w:rPr>
          <w:rFonts w:cs="Arial"/>
          <w:szCs w:val="20"/>
        </w:rPr>
        <w:t>potřeby osob se</w:t>
      </w:r>
      <w:r>
        <w:rPr>
          <w:rFonts w:cs="Arial"/>
          <w:szCs w:val="20"/>
        </w:rPr>
        <w:t> </w:t>
      </w:r>
      <w:r w:rsidR="00C63CC7">
        <w:rPr>
          <w:rFonts w:cs="Arial"/>
          <w:szCs w:val="20"/>
        </w:rPr>
        <w:t>zdravotním postižením.</w:t>
      </w:r>
    </w:p>
    <w:p w14:paraId="04328EBF" w14:textId="77777777" w:rsidR="00F17E74" w:rsidRPr="000D3EDE" w:rsidRDefault="00F17E74" w:rsidP="00622BC0">
      <w:pPr>
        <w:rPr>
          <w:rFonts w:cs="Arial"/>
          <w:szCs w:val="20"/>
        </w:rPr>
      </w:pPr>
      <w:r w:rsidRPr="000D3EDE">
        <w:rPr>
          <w:rFonts w:cs="Arial"/>
          <w:szCs w:val="20"/>
        </w:rPr>
        <w:lastRenderedPageBreak/>
        <w:t>Termín: průběžně</w:t>
      </w:r>
    </w:p>
    <w:p w14:paraId="7753FFFB" w14:textId="0A6893F3" w:rsidR="00F71125" w:rsidRPr="000D3EDE" w:rsidRDefault="00F17E74" w:rsidP="00622BC0">
      <w:pPr>
        <w:rPr>
          <w:rFonts w:cs="Arial"/>
          <w:szCs w:val="20"/>
        </w:rPr>
      </w:pPr>
      <w:r w:rsidRPr="000D3EDE">
        <w:rPr>
          <w:rFonts w:cs="Arial"/>
          <w:szCs w:val="20"/>
        </w:rPr>
        <w:t>Gestor: MPSV</w:t>
      </w:r>
    </w:p>
    <w:p w14:paraId="2AB0A5CC" w14:textId="64EE66C3" w:rsidR="00F17E74" w:rsidRDefault="00F17E74" w:rsidP="00622BC0">
      <w:pPr>
        <w:rPr>
          <w:rFonts w:cs="Arial"/>
          <w:szCs w:val="20"/>
        </w:rPr>
      </w:pPr>
      <w:r w:rsidRPr="00046552">
        <w:rPr>
          <w:rFonts w:cs="Arial"/>
          <w:bCs/>
          <w:szCs w:val="20"/>
        </w:rPr>
        <w:t>Indikátor</w:t>
      </w:r>
      <w:r w:rsidRPr="00D87068">
        <w:rPr>
          <w:rFonts w:cs="Arial"/>
          <w:szCs w:val="20"/>
        </w:rPr>
        <w:t>:</w:t>
      </w:r>
      <w:r>
        <w:rPr>
          <w:rFonts w:cs="Arial"/>
          <w:szCs w:val="20"/>
        </w:rPr>
        <w:t xml:space="preserve"> Je zajišťována finanční a metodická podpora sociální práce na obcích.</w:t>
      </w:r>
    </w:p>
    <w:p w14:paraId="28E93A75" w14:textId="77777777" w:rsidR="00F71125" w:rsidRPr="007A78F1" w:rsidRDefault="00F71125" w:rsidP="007A78F1">
      <w:pPr>
        <w:rPr>
          <w:rFonts w:cs="Arial"/>
          <w:sz w:val="20"/>
          <w:szCs w:val="20"/>
        </w:rPr>
      </w:pPr>
    </w:p>
    <w:p w14:paraId="2991CB17" w14:textId="17F1702F" w:rsidR="00F07879" w:rsidRPr="00A03B90" w:rsidRDefault="00F07879" w:rsidP="007A78F1">
      <w:pPr>
        <w:keepNext/>
        <w:tabs>
          <w:tab w:val="left" w:pos="720"/>
        </w:tabs>
        <w:rPr>
          <w:rFonts w:cs="Arial"/>
          <w:b/>
          <w:bCs/>
          <w:sz w:val="20"/>
          <w:szCs w:val="20"/>
          <w:lang w:eastAsia="cs-CZ"/>
        </w:rPr>
      </w:pPr>
      <w:r w:rsidRPr="00A03B90">
        <w:rPr>
          <w:rFonts w:cs="Arial"/>
          <w:b/>
          <w:bCs/>
          <w:sz w:val="20"/>
          <w:szCs w:val="20"/>
          <w:lang w:eastAsia="cs-CZ"/>
        </w:rPr>
        <w:t>PLNĚNÍ MPSV:</w:t>
      </w:r>
    </w:p>
    <w:p w14:paraId="20851D77" w14:textId="2A7C30D0" w:rsidR="00A03B90" w:rsidRPr="00A03B90" w:rsidRDefault="00A03B90" w:rsidP="00A03B90">
      <w:pPr>
        <w:rPr>
          <w:rFonts w:cs="Arial"/>
          <w:sz w:val="20"/>
          <w:szCs w:val="20"/>
        </w:rPr>
      </w:pPr>
      <w:r w:rsidRPr="00A03B90">
        <w:rPr>
          <w:rFonts w:cs="Arial"/>
          <w:sz w:val="20"/>
          <w:szCs w:val="20"/>
        </w:rPr>
        <w:t>MPSV jako gestor sociální práce metodicky vede krajské úřady, respektive krajské metodiky sociální práce a prevence. Čtyřikrát ročně pro ně ministerstvo pořádá konzultační dny, průběžně jim zasílá aktuální informace, stanoviska a rovněž v průběhu celého roku probíhá individuální komunika</w:t>
      </w:r>
      <w:r w:rsidR="00EC3743">
        <w:rPr>
          <w:rFonts w:cs="Arial"/>
          <w:sz w:val="20"/>
          <w:szCs w:val="20"/>
        </w:rPr>
        <w:t>ce a </w:t>
      </w:r>
      <w:r w:rsidRPr="00A03B90">
        <w:rPr>
          <w:rFonts w:cs="Arial"/>
          <w:sz w:val="20"/>
          <w:szCs w:val="20"/>
        </w:rPr>
        <w:t>spolupráce při řešení konkrétních dotazů z praxe.</w:t>
      </w:r>
    </w:p>
    <w:p w14:paraId="2DC81275" w14:textId="5D341A70" w:rsidR="00A03B90" w:rsidRPr="00A03B90" w:rsidRDefault="00A03B90" w:rsidP="00A03B90">
      <w:pPr>
        <w:rPr>
          <w:rFonts w:cs="Arial"/>
          <w:sz w:val="20"/>
          <w:szCs w:val="20"/>
        </w:rPr>
      </w:pPr>
      <w:r w:rsidRPr="00A03B90">
        <w:rPr>
          <w:rFonts w:cs="Arial"/>
          <w:sz w:val="20"/>
          <w:szCs w:val="20"/>
        </w:rPr>
        <w:t>MPSV poskytuje ze svého rozpočtu každoročně nenárokovou d</w:t>
      </w:r>
      <w:r w:rsidR="00EC3743">
        <w:rPr>
          <w:rFonts w:cs="Arial"/>
          <w:sz w:val="20"/>
          <w:szCs w:val="20"/>
        </w:rPr>
        <w:t>otaci na výkon sociální práce v </w:t>
      </w:r>
      <w:r w:rsidRPr="00A03B90">
        <w:rPr>
          <w:rFonts w:cs="Arial"/>
          <w:sz w:val="20"/>
          <w:szCs w:val="20"/>
        </w:rPr>
        <w:t>přenesené působnosti, která je určená obecním a krajským úřadům, Dotace na sociální práci (mpsv.cz). Dotace se poskytuje krajům, hl. m. Praze, obcím s rozšířenou působností (dále jen „ORP“) a obcím s pověřeným obecním úřadem (dále jen „POU“) podl</w:t>
      </w:r>
      <w:r w:rsidR="00EC3743">
        <w:rPr>
          <w:rFonts w:cs="Arial"/>
          <w:sz w:val="20"/>
          <w:szCs w:val="20"/>
        </w:rPr>
        <w:t>e § 7 odst. 1 písm. c) zákona o </w:t>
      </w:r>
      <w:r w:rsidRPr="00A03B90">
        <w:rPr>
          <w:rFonts w:cs="Arial"/>
          <w:sz w:val="20"/>
          <w:szCs w:val="20"/>
        </w:rPr>
        <w:t>rozpočtových pravidlech, § 102 zákona o sociálních službách, který stanoví, že na zajištění povinnosti uvedené v § 93 písm. a) a na zajištění činností sociální</w:t>
      </w:r>
      <w:r w:rsidR="00EC3743">
        <w:rPr>
          <w:rFonts w:cs="Arial"/>
          <w:sz w:val="20"/>
          <w:szCs w:val="20"/>
        </w:rPr>
        <w:t xml:space="preserve"> práce, které jsou vykonávány v </w:t>
      </w:r>
      <w:r w:rsidRPr="00A03B90">
        <w:rPr>
          <w:rFonts w:cs="Arial"/>
          <w:sz w:val="20"/>
          <w:szCs w:val="20"/>
        </w:rPr>
        <w:t xml:space="preserve">souvislosti s povinnostmi uvedenými v § 93 písm. b) a c), se krajům poskytuje příspěvek formou účelové dotace, § 103 zákona o sociálních službách, který stanoví, že na zajištění povinnosti uvedené v § 92 písm. a) a na zajištění činností sociální práce, které </w:t>
      </w:r>
      <w:r w:rsidR="00EC3743">
        <w:rPr>
          <w:rFonts w:cs="Arial"/>
          <w:sz w:val="20"/>
          <w:szCs w:val="20"/>
        </w:rPr>
        <w:t>jsou vykonávány v souvislosti s </w:t>
      </w:r>
      <w:r w:rsidRPr="00A03B90">
        <w:rPr>
          <w:rFonts w:cs="Arial"/>
          <w:sz w:val="20"/>
          <w:szCs w:val="20"/>
        </w:rPr>
        <w:t>povinnostmi uvedenými v § 92 písm. b) až d), se obcím s rozšířenou působností poskytuje příspěvek formou účelové dotace, a § 65a zákona o pomoci v hmotné nouzi, který stanoví, že na zajištění činností sociální práce, které jsou vykonávány v souvislosti s povinnostmi uvedenými v § 63 a 64, se pověřeným obcím a obcím s rozšířenou působností poskytuje příspěvek formou účelové dotace. Dotace je určena nejen k posílení dostupnosti a tedy celkové kapacity sociálních pracovníků v území, ale i ke zvyšování kvality sociální práce, ze které benefitují pak i její příjemci.</w:t>
      </w:r>
    </w:p>
    <w:p w14:paraId="24698841" w14:textId="65EC7ADF" w:rsidR="00A03B90" w:rsidRPr="00A03B90" w:rsidRDefault="00A03B90" w:rsidP="00A03B90">
      <w:pPr>
        <w:rPr>
          <w:rFonts w:cs="Arial"/>
          <w:sz w:val="20"/>
          <w:szCs w:val="20"/>
        </w:rPr>
      </w:pPr>
      <w:r w:rsidRPr="00A03B90">
        <w:rPr>
          <w:rFonts w:cs="Arial"/>
          <w:sz w:val="20"/>
          <w:szCs w:val="20"/>
        </w:rPr>
        <w:t xml:space="preserve">V rámci systému dalšího vzdělávání sociálních pracovníků i pracovníků v sociálních službách podle zákona o sociálních službách MPSV rozhoduje na základě doporučení akreditační komise o udělení akreditace vzdělávacím programům v oblasti sociálních služeb a sociální práce. V Katalogu vzdělávacích programů v AKRIS na adrese </w:t>
      </w:r>
      <w:hyperlink r:id="rId83" w:history="1">
        <w:r w:rsidRPr="00B178DD">
          <w:rPr>
            <w:rStyle w:val="Hypertextovodkaz"/>
            <w:rFonts w:cs="Arial"/>
            <w:sz w:val="20"/>
            <w:szCs w:val="20"/>
          </w:rPr>
          <w:t>https://akris.mpsv.cz/AkreditaceVzdelavacihoProgramu</w:t>
        </w:r>
      </w:hyperlink>
      <w:r w:rsidRPr="00A03B90">
        <w:rPr>
          <w:rFonts w:cs="Arial"/>
          <w:sz w:val="20"/>
          <w:szCs w:val="20"/>
        </w:rPr>
        <w:t xml:space="preserve"> lze najít vzdělávací programy zaměřené i na přístupy v sociální prác</w:t>
      </w:r>
      <w:r w:rsidR="00EC3743">
        <w:rPr>
          <w:rFonts w:cs="Arial"/>
          <w:sz w:val="20"/>
          <w:szCs w:val="20"/>
        </w:rPr>
        <w:t>i zaměřené na práci s osobami s </w:t>
      </w:r>
      <w:r w:rsidRPr="00A03B90">
        <w:rPr>
          <w:rFonts w:cs="Arial"/>
          <w:sz w:val="20"/>
          <w:szCs w:val="20"/>
        </w:rPr>
        <w:t>konkrétními disabilitami.</w:t>
      </w:r>
    </w:p>
    <w:p w14:paraId="14D083A9" w14:textId="3FA0B393" w:rsidR="00F07879" w:rsidRPr="00A03B90" w:rsidRDefault="00F07879" w:rsidP="007A78F1">
      <w:pPr>
        <w:keepNext/>
        <w:tabs>
          <w:tab w:val="left" w:pos="720"/>
        </w:tabs>
        <w:rPr>
          <w:rFonts w:cs="Arial"/>
          <w:b/>
          <w:bCs/>
          <w:sz w:val="20"/>
          <w:szCs w:val="20"/>
          <w:lang w:eastAsia="cs-CZ"/>
        </w:rPr>
      </w:pPr>
      <w:r w:rsidRPr="00A03B90">
        <w:rPr>
          <w:rFonts w:cs="Arial"/>
          <w:b/>
          <w:bCs/>
          <w:sz w:val="20"/>
          <w:szCs w:val="20"/>
          <w:lang w:eastAsia="cs-CZ"/>
        </w:rPr>
        <w:t>STANOVISKO K PLNĚNÍ:</w:t>
      </w:r>
      <w:r w:rsidR="009C175F" w:rsidRPr="00A03B90">
        <w:rPr>
          <w:rFonts w:cs="Arial"/>
          <w:b/>
          <w:bCs/>
          <w:sz w:val="20"/>
          <w:szCs w:val="20"/>
          <w:lang w:eastAsia="cs-CZ"/>
        </w:rPr>
        <w:t xml:space="preserve"> Plněno.</w:t>
      </w:r>
    </w:p>
    <w:p w14:paraId="7DE434E5" w14:textId="77777777" w:rsidR="00F07879" w:rsidRPr="007A78F1" w:rsidRDefault="00F07879" w:rsidP="007A78F1">
      <w:pPr>
        <w:rPr>
          <w:rFonts w:cs="Arial"/>
          <w:sz w:val="20"/>
          <w:szCs w:val="20"/>
        </w:rPr>
      </w:pPr>
    </w:p>
    <w:p w14:paraId="55D54917" w14:textId="77777777" w:rsidR="00F17E74" w:rsidRPr="00295A57" w:rsidRDefault="00F17E74" w:rsidP="00295A57">
      <w:pPr>
        <w:rPr>
          <w:rFonts w:cs="Arial"/>
        </w:rPr>
      </w:pPr>
      <w:r w:rsidRPr="00295A57">
        <w:rPr>
          <w:rFonts w:cs="Arial"/>
          <w:bCs/>
        </w:rPr>
        <w:t>Opatření 5</w:t>
      </w:r>
      <w:r w:rsidRPr="00295A57">
        <w:rPr>
          <w:rFonts w:cs="Arial"/>
        </w:rPr>
        <w:t>.1.4 Do rámce investiční podpory bydlení zahrnout upravitelné byty umožňující bezbariérové užívání</w:t>
      </w:r>
      <w:r w:rsidRPr="00295A57">
        <w:rPr>
          <w:rFonts w:cs="Arial"/>
          <w:i/>
          <w:iCs/>
        </w:rPr>
        <w:t>.</w:t>
      </w:r>
    </w:p>
    <w:p w14:paraId="7261EA38" w14:textId="77777777" w:rsidR="00F17E74" w:rsidRPr="00295A57" w:rsidRDefault="00F17E74" w:rsidP="00295A57">
      <w:pPr>
        <w:rPr>
          <w:rFonts w:cs="Arial"/>
        </w:rPr>
      </w:pPr>
      <w:r w:rsidRPr="00295A57">
        <w:rPr>
          <w:rFonts w:cs="Arial"/>
        </w:rPr>
        <w:t>Termín: průběžně</w:t>
      </w:r>
    </w:p>
    <w:p w14:paraId="316351A4" w14:textId="77777777" w:rsidR="00F17E74" w:rsidRPr="00295A57" w:rsidRDefault="00F17E74" w:rsidP="00295A57">
      <w:pPr>
        <w:rPr>
          <w:rFonts w:cs="Arial"/>
        </w:rPr>
      </w:pPr>
      <w:r w:rsidRPr="00295A57">
        <w:rPr>
          <w:rFonts w:cs="Arial"/>
        </w:rPr>
        <w:t>Gestor: MMR</w:t>
      </w:r>
    </w:p>
    <w:p w14:paraId="4A3FDE9D" w14:textId="5B27CA99" w:rsidR="00F17E74" w:rsidRDefault="00F17E74" w:rsidP="00295A57">
      <w:pPr>
        <w:rPr>
          <w:rFonts w:cs="Arial"/>
        </w:rPr>
      </w:pPr>
      <w:r w:rsidRPr="00295A57">
        <w:rPr>
          <w:rFonts w:cs="Arial"/>
          <w:bCs/>
        </w:rPr>
        <w:t>Indikátor</w:t>
      </w:r>
      <w:r w:rsidRPr="00295A57">
        <w:rPr>
          <w:rFonts w:cs="Arial"/>
        </w:rPr>
        <w:t xml:space="preserve">: Je pravidelně vyhlašován dotační </w:t>
      </w:r>
      <w:r w:rsidR="008B2CAE" w:rsidRPr="00295A57">
        <w:rPr>
          <w:rFonts w:cs="Arial"/>
        </w:rPr>
        <w:t>program</w:t>
      </w:r>
      <w:r w:rsidRPr="00295A57">
        <w:rPr>
          <w:rFonts w:cs="Arial"/>
        </w:rPr>
        <w:t xml:space="preserve"> s uvedenou</w:t>
      </w:r>
      <w:r w:rsidR="00E72C73" w:rsidRPr="00295A57">
        <w:rPr>
          <w:rFonts w:cs="Arial"/>
        </w:rPr>
        <w:t xml:space="preserve"> podporou. </w:t>
      </w:r>
    </w:p>
    <w:p w14:paraId="20943869" w14:textId="77777777" w:rsidR="00295A57" w:rsidRPr="00AE1CB0" w:rsidRDefault="00295A57" w:rsidP="00AE1CB0">
      <w:pPr>
        <w:rPr>
          <w:rFonts w:cs="Arial"/>
          <w:sz w:val="20"/>
          <w:szCs w:val="20"/>
        </w:rPr>
      </w:pPr>
    </w:p>
    <w:p w14:paraId="3F81B54B" w14:textId="7BA960DF" w:rsidR="00E72C73" w:rsidRPr="00AE1CB0" w:rsidRDefault="00E72C73" w:rsidP="00AE1CB0">
      <w:pPr>
        <w:tabs>
          <w:tab w:val="left" w:pos="720"/>
        </w:tabs>
        <w:rPr>
          <w:rFonts w:cs="Arial"/>
          <w:b/>
          <w:bCs/>
          <w:sz w:val="20"/>
          <w:szCs w:val="20"/>
          <w:lang w:eastAsia="cs-CZ"/>
        </w:rPr>
      </w:pPr>
      <w:r w:rsidRPr="00AE1CB0">
        <w:rPr>
          <w:rFonts w:cs="Arial"/>
          <w:b/>
          <w:bCs/>
          <w:sz w:val="20"/>
          <w:szCs w:val="20"/>
          <w:lang w:eastAsia="cs-CZ"/>
        </w:rPr>
        <w:t>PLNĚNÍ MMR:</w:t>
      </w:r>
    </w:p>
    <w:p w14:paraId="2BF647EB" w14:textId="0B60131D" w:rsidR="00AE1CB0" w:rsidRPr="00B74637" w:rsidRDefault="00AE1CB0" w:rsidP="00AE1CB0">
      <w:pPr>
        <w:rPr>
          <w:rFonts w:cs="Arial"/>
          <w:sz w:val="20"/>
          <w:szCs w:val="20"/>
        </w:rPr>
      </w:pPr>
      <w:r w:rsidRPr="00B74637">
        <w:rPr>
          <w:rFonts w:cs="Arial"/>
          <w:iCs/>
          <w:sz w:val="20"/>
          <w:szCs w:val="20"/>
        </w:rPr>
        <w:t xml:space="preserve">MMR pravidelně </w:t>
      </w:r>
      <w:proofErr w:type="gramStart"/>
      <w:r w:rsidRPr="00B74637">
        <w:rPr>
          <w:rFonts w:cs="Arial"/>
          <w:iCs/>
          <w:sz w:val="20"/>
          <w:szCs w:val="20"/>
        </w:rPr>
        <w:t>vyhlašovalo</w:t>
      </w:r>
      <w:proofErr w:type="gramEnd"/>
      <w:r w:rsidRPr="00B74637">
        <w:rPr>
          <w:rFonts w:cs="Arial"/>
          <w:iCs/>
          <w:sz w:val="20"/>
          <w:szCs w:val="20"/>
        </w:rPr>
        <w:t xml:space="preserve"> výzvy programu Podpora bydlení, který zahrnuje mj. podprogramy Bytové domy bez bariér (poslední výzva vyhlášena pro rok 2023) a Podporované byty (poslední výzva vyhlášena pro rok 2021). Podprogram Bytové domy bez bariér byl zaměřen na podporu odstraňování bariér při vstupu do bytového domu a do výtahu a výstavbu osobních výtahů v bytových domech se čtyřmi a více nadzemními podlažími, které jím nejsou vybaveny a n</w:t>
      </w:r>
      <w:r w:rsidR="00B84BE7">
        <w:rPr>
          <w:rFonts w:cs="Arial"/>
          <w:iCs/>
          <w:sz w:val="20"/>
          <w:szCs w:val="20"/>
        </w:rPr>
        <w:t>ikdy nebyly, a u kterých jsou k </w:t>
      </w:r>
      <w:r w:rsidRPr="00B74637">
        <w:rPr>
          <w:rFonts w:cs="Arial"/>
          <w:iCs/>
          <w:sz w:val="20"/>
          <w:szCs w:val="20"/>
        </w:rPr>
        <w:t>tomu stavebně technické předpoklady. V případě podprogramu Podporované byty byl podporován vznik Pečovatelských bytů nebo bytů v</w:t>
      </w:r>
      <w:r w:rsidRPr="00B74637">
        <w:rPr>
          <w:rFonts w:ascii="Calibri" w:hAnsi="Calibri" w:cs="Calibri"/>
          <w:iCs/>
          <w:sz w:val="20"/>
          <w:szCs w:val="20"/>
        </w:rPr>
        <w:t> </w:t>
      </w:r>
      <w:r w:rsidRPr="00B74637">
        <w:rPr>
          <w:rFonts w:cs="Arial"/>
          <w:iCs/>
          <w:sz w:val="20"/>
          <w:szCs w:val="20"/>
        </w:rPr>
        <w:t xml:space="preserve">Komunitním domě seniorů, tj. </w:t>
      </w:r>
      <w:r w:rsidR="00B84BE7">
        <w:rPr>
          <w:rFonts w:cs="Arial"/>
          <w:iCs/>
          <w:sz w:val="20"/>
          <w:szCs w:val="20"/>
        </w:rPr>
        <w:t>podporovaných bytů sloužících k </w:t>
      </w:r>
      <w:r w:rsidRPr="00B74637">
        <w:rPr>
          <w:rFonts w:cs="Arial"/>
          <w:iCs/>
          <w:sz w:val="20"/>
          <w:szCs w:val="20"/>
        </w:rPr>
        <w:t>poskytování sociálního bydlení pro osoby v ekonomicky neaktivním věku (seniory) a pro osoby, které mají ztížený přístup k bydlení v důsledku zvláštních potřeb vyplývajících z jejich nepříznivé sociální situace (věk, zdravotní stav nebo sociální okolnosti jejich života).</w:t>
      </w:r>
      <w:r w:rsidRPr="00B74637">
        <w:rPr>
          <w:iCs/>
          <w:sz w:val="20"/>
          <w:szCs w:val="20"/>
        </w:rPr>
        <w:t xml:space="preserve"> </w:t>
      </w:r>
      <w:r w:rsidRPr="00B74637">
        <w:rPr>
          <w:rFonts w:cs="Arial"/>
          <w:iCs/>
          <w:sz w:val="20"/>
          <w:szCs w:val="20"/>
        </w:rPr>
        <w:t xml:space="preserve">Stavebně technické uspořádání všech Pečovatelských bytů i všech bytů v Komunitním domě seniorů musí splňovat </w:t>
      </w:r>
      <w:r w:rsidRPr="00B74637">
        <w:rPr>
          <w:rFonts w:cs="Arial"/>
          <w:iCs/>
          <w:sz w:val="20"/>
          <w:szCs w:val="20"/>
        </w:rPr>
        <w:lastRenderedPageBreak/>
        <w:t>technické požadavky upravitelného bytu, podle vyhlášky č. 398/2009 Sb., o obecných technických požadavcích zabezpečujících bezbariérové užívání staveb.</w:t>
      </w:r>
      <w:r w:rsidRPr="00B74637">
        <w:rPr>
          <w:iCs/>
          <w:sz w:val="20"/>
          <w:szCs w:val="20"/>
        </w:rPr>
        <w:t xml:space="preserve"> </w:t>
      </w:r>
      <w:r w:rsidRPr="00B74637">
        <w:rPr>
          <w:rFonts w:cs="Arial"/>
          <w:iCs/>
          <w:sz w:val="20"/>
          <w:szCs w:val="20"/>
        </w:rPr>
        <w:t>Ke všem bytům v Komunitním domě seniorů a do všech prostor užívaných nájemci bytů v Komunitním domě seniorů musí být zajištěn bezbariérový přístup pro osoby s omezenou schopností pohybu nebo orientace. V současnosti je v přípravě navazující program Podpory bydlení.</w:t>
      </w:r>
    </w:p>
    <w:p w14:paraId="32509A0C" w14:textId="41DE91AB" w:rsidR="00E72C73" w:rsidRPr="00AE1CB0" w:rsidRDefault="00E72C73" w:rsidP="00AE1CB0">
      <w:pPr>
        <w:rPr>
          <w:rFonts w:cs="Arial"/>
          <w:sz w:val="20"/>
          <w:szCs w:val="20"/>
        </w:rPr>
      </w:pPr>
      <w:r w:rsidRPr="00B74637">
        <w:rPr>
          <w:rFonts w:cs="Arial"/>
          <w:b/>
          <w:bCs/>
          <w:sz w:val="20"/>
          <w:szCs w:val="20"/>
          <w:lang w:eastAsia="cs-CZ"/>
        </w:rPr>
        <w:t>STANOVISKO K </w:t>
      </w:r>
      <w:r w:rsidRPr="00522AE7">
        <w:rPr>
          <w:rFonts w:cs="Arial"/>
          <w:b/>
          <w:bCs/>
          <w:sz w:val="20"/>
          <w:szCs w:val="20"/>
          <w:lang w:eastAsia="cs-CZ"/>
        </w:rPr>
        <w:t>PLNĚNÍ:</w:t>
      </w:r>
      <w:r w:rsidR="00D16E49" w:rsidRPr="00522AE7">
        <w:rPr>
          <w:rFonts w:cs="Arial"/>
          <w:b/>
          <w:bCs/>
          <w:sz w:val="20"/>
          <w:szCs w:val="20"/>
          <w:lang w:eastAsia="cs-CZ"/>
        </w:rPr>
        <w:t xml:space="preserve"> Plněno.</w:t>
      </w:r>
    </w:p>
    <w:p w14:paraId="4E876EAC" w14:textId="77777777" w:rsidR="00E72C73" w:rsidRPr="000D3EDE" w:rsidRDefault="00E72C73" w:rsidP="00D16E49">
      <w:pPr>
        <w:rPr>
          <w:rFonts w:cs="Arial"/>
          <w:szCs w:val="20"/>
        </w:rPr>
      </w:pPr>
    </w:p>
    <w:p w14:paraId="0F4C054E" w14:textId="77777777" w:rsidR="00F17E74" w:rsidRPr="000D3EDE" w:rsidRDefault="00F17E74" w:rsidP="00F0394D">
      <w:pPr>
        <w:rPr>
          <w:rFonts w:cs="Arial"/>
          <w:szCs w:val="20"/>
        </w:rPr>
      </w:pPr>
      <w:r w:rsidRPr="0035060D">
        <w:rPr>
          <w:rFonts w:cs="Arial"/>
          <w:bCs/>
          <w:szCs w:val="20"/>
        </w:rPr>
        <w:t xml:space="preserve">Opatření </w:t>
      </w:r>
      <w:r>
        <w:rPr>
          <w:rFonts w:cs="Arial"/>
          <w:bCs/>
          <w:szCs w:val="20"/>
        </w:rPr>
        <w:t>5</w:t>
      </w:r>
      <w:r>
        <w:rPr>
          <w:rFonts w:cs="Arial"/>
          <w:szCs w:val="20"/>
        </w:rPr>
        <w:t xml:space="preserve">.1.5 </w:t>
      </w:r>
      <w:r w:rsidRPr="000D3EDE">
        <w:rPr>
          <w:rFonts w:cs="Arial"/>
          <w:szCs w:val="20"/>
        </w:rPr>
        <w:t>Ve venkovských oblastech vytvářet podmínky pro vznik a rozvoj sociálních farem, které jsou partnerem komunitní práce a jedním z míst podpůrné služby na venkově, kde osoby se</w:t>
      </w:r>
      <w:r>
        <w:rPr>
          <w:rFonts w:cs="Arial"/>
          <w:szCs w:val="20"/>
        </w:rPr>
        <w:t> </w:t>
      </w:r>
      <w:r w:rsidRPr="000D3EDE">
        <w:rPr>
          <w:rFonts w:cs="Arial"/>
          <w:szCs w:val="20"/>
        </w:rPr>
        <w:t>zdravotním postižením žijí ve svém známém a přirozeném prostředí, a které se stává i bezpečným bodem pro jejich sociální fungování.</w:t>
      </w:r>
    </w:p>
    <w:p w14:paraId="0FCD159B" w14:textId="4A1D0D79" w:rsidR="002C5582" w:rsidRDefault="002C5582" w:rsidP="00F0394D">
      <w:pPr>
        <w:rPr>
          <w:rFonts w:cs="Arial"/>
          <w:szCs w:val="20"/>
        </w:rPr>
      </w:pPr>
      <w:r w:rsidRPr="000D3EDE">
        <w:rPr>
          <w:rFonts w:cs="Arial"/>
          <w:szCs w:val="20"/>
        </w:rPr>
        <w:t>Termín: průběžně</w:t>
      </w:r>
    </w:p>
    <w:p w14:paraId="727433C3" w14:textId="77777777" w:rsidR="00F17E74" w:rsidRPr="000D3EDE" w:rsidRDefault="00F17E74" w:rsidP="00F0394D">
      <w:pPr>
        <w:rPr>
          <w:rFonts w:cs="Arial"/>
          <w:szCs w:val="20"/>
        </w:rPr>
      </w:pPr>
      <w:r w:rsidRPr="000D3EDE">
        <w:rPr>
          <w:rFonts w:cs="Arial"/>
          <w:szCs w:val="20"/>
        </w:rPr>
        <w:t>Gestor: MZe</w:t>
      </w:r>
    </w:p>
    <w:p w14:paraId="6D65C9B7" w14:textId="23F64AD5" w:rsidR="00F17E74" w:rsidRDefault="00F17E74" w:rsidP="00F0394D">
      <w:pPr>
        <w:rPr>
          <w:rFonts w:cs="Arial"/>
          <w:szCs w:val="20"/>
        </w:rPr>
      </w:pPr>
      <w:r w:rsidRPr="00046552">
        <w:rPr>
          <w:rFonts w:cs="Arial"/>
          <w:bCs/>
          <w:szCs w:val="20"/>
        </w:rPr>
        <w:t>Indikátor</w:t>
      </w:r>
      <w:r w:rsidRPr="00D87068">
        <w:rPr>
          <w:rFonts w:cs="Arial"/>
          <w:szCs w:val="20"/>
        </w:rPr>
        <w:t>:</w:t>
      </w:r>
      <w:r>
        <w:rPr>
          <w:rFonts w:cs="Arial"/>
          <w:szCs w:val="20"/>
        </w:rPr>
        <w:t xml:space="preserve"> </w:t>
      </w:r>
      <w:r w:rsidRPr="00D87068">
        <w:rPr>
          <w:rFonts w:cs="Arial"/>
          <w:szCs w:val="20"/>
        </w:rPr>
        <w:t xml:space="preserve">Je </w:t>
      </w:r>
      <w:r w:rsidRPr="00046552">
        <w:rPr>
          <w:rFonts w:cs="Arial"/>
          <w:bCs/>
          <w:szCs w:val="20"/>
        </w:rPr>
        <w:t>pravidelně</w:t>
      </w:r>
      <w:r>
        <w:rPr>
          <w:rFonts w:cs="Arial"/>
          <w:szCs w:val="20"/>
        </w:rPr>
        <w:t xml:space="preserve"> </w:t>
      </w:r>
      <w:r w:rsidRPr="00D87068">
        <w:rPr>
          <w:rFonts w:cs="Arial"/>
          <w:szCs w:val="20"/>
        </w:rPr>
        <w:t>v</w:t>
      </w:r>
      <w:r>
        <w:rPr>
          <w:rFonts w:cs="Arial"/>
          <w:szCs w:val="20"/>
        </w:rPr>
        <w:t>ypisován</w:t>
      </w:r>
      <w:r w:rsidRPr="00D87068">
        <w:rPr>
          <w:rFonts w:cs="Arial"/>
          <w:szCs w:val="20"/>
        </w:rPr>
        <w:t xml:space="preserve"> dotační </w:t>
      </w:r>
      <w:r w:rsidR="00094B6C">
        <w:rPr>
          <w:rFonts w:cs="Arial"/>
          <w:szCs w:val="20"/>
        </w:rPr>
        <w:t>program</w:t>
      </w:r>
      <w:r w:rsidRPr="00D87068">
        <w:rPr>
          <w:rFonts w:cs="Arial"/>
          <w:szCs w:val="20"/>
        </w:rPr>
        <w:t xml:space="preserve"> s </w:t>
      </w:r>
      <w:r w:rsidR="00094B6C">
        <w:rPr>
          <w:rFonts w:cs="Arial"/>
          <w:szCs w:val="20"/>
        </w:rPr>
        <w:t>uvedenou</w:t>
      </w:r>
      <w:r w:rsidR="00F0394D">
        <w:rPr>
          <w:rFonts w:cs="Arial"/>
          <w:szCs w:val="20"/>
        </w:rPr>
        <w:t xml:space="preserve"> podporou.</w:t>
      </w:r>
    </w:p>
    <w:p w14:paraId="3AA19623" w14:textId="77777777" w:rsidR="00F0394D" w:rsidRPr="00900F50" w:rsidRDefault="00F0394D" w:rsidP="00900F50">
      <w:pPr>
        <w:rPr>
          <w:rFonts w:cs="Arial"/>
          <w:sz w:val="20"/>
          <w:szCs w:val="20"/>
        </w:rPr>
      </w:pPr>
    </w:p>
    <w:p w14:paraId="6F2567FB" w14:textId="1AF6707E" w:rsidR="00A464E1" w:rsidRPr="00462C3C" w:rsidRDefault="00A464E1" w:rsidP="00462C3C">
      <w:pPr>
        <w:tabs>
          <w:tab w:val="left" w:pos="720"/>
        </w:tabs>
        <w:rPr>
          <w:rFonts w:cs="Arial"/>
          <w:b/>
          <w:bCs/>
          <w:sz w:val="20"/>
          <w:szCs w:val="20"/>
          <w:lang w:eastAsia="cs-CZ"/>
        </w:rPr>
      </w:pPr>
      <w:r w:rsidRPr="00462C3C">
        <w:rPr>
          <w:rFonts w:cs="Arial"/>
          <w:b/>
          <w:bCs/>
          <w:sz w:val="20"/>
          <w:szCs w:val="20"/>
          <w:lang w:eastAsia="cs-CZ"/>
        </w:rPr>
        <w:t xml:space="preserve">PLNĚNÍ </w:t>
      </w:r>
      <w:r w:rsidR="00B20839" w:rsidRPr="00462C3C">
        <w:rPr>
          <w:rFonts w:cs="Arial"/>
          <w:b/>
          <w:bCs/>
          <w:sz w:val="20"/>
          <w:szCs w:val="20"/>
          <w:lang w:eastAsia="cs-CZ"/>
        </w:rPr>
        <w:t>MZe</w:t>
      </w:r>
      <w:r w:rsidRPr="00462C3C">
        <w:rPr>
          <w:rFonts w:cs="Arial"/>
          <w:b/>
          <w:bCs/>
          <w:sz w:val="20"/>
          <w:szCs w:val="20"/>
          <w:lang w:eastAsia="cs-CZ"/>
        </w:rPr>
        <w:t>:</w:t>
      </w:r>
    </w:p>
    <w:p w14:paraId="02F3A4D6" w14:textId="77777777" w:rsidR="00462C3C" w:rsidRPr="00462C3C" w:rsidRDefault="00462C3C" w:rsidP="00462C3C">
      <w:pPr>
        <w:rPr>
          <w:sz w:val="20"/>
          <w:szCs w:val="20"/>
        </w:rPr>
      </w:pPr>
      <w:r w:rsidRPr="00462C3C">
        <w:rPr>
          <w:sz w:val="20"/>
          <w:szCs w:val="20"/>
        </w:rPr>
        <w:t xml:space="preserve">Úkolem a posláním sociálních farem je, kromě zemědělské produkce a služeb, zaměstnávat, vzdělávat a uskutečňovat různé druhy terapií pro široké spektrum znevýhodněných osob, a to za využití dostupných zemědělských zdrojů v daném místě. Sociální farma se tak stává místem, kde jsou za účasti hlavních aktérů (zemědělci a místní komunity) podporovány nebo vytvářeny sociální služby, které přispívají k sociálnímu začleňování ve venkovských oblastech. </w:t>
      </w:r>
    </w:p>
    <w:p w14:paraId="6D8E30D1" w14:textId="7B7DDA8B" w:rsidR="00462C3C" w:rsidRPr="00462C3C" w:rsidRDefault="00462C3C" w:rsidP="00462C3C">
      <w:pPr>
        <w:rPr>
          <w:sz w:val="20"/>
          <w:szCs w:val="20"/>
        </w:rPr>
      </w:pPr>
      <w:r w:rsidRPr="00462C3C">
        <w:rPr>
          <w:sz w:val="20"/>
          <w:szCs w:val="20"/>
        </w:rPr>
        <w:t>Ministerstvo zemědělství podporuje v rámci měkkých nástrojů pracovní komisi, která vytváří materiály, realizuje školení a tematické semináře v oblasti sociálního zemědělství. V oblasti tvrdých nástrojů jsou stanovovány podmínky pro podporu rozvoje venkova a dále připravuje zákon o sociálním podnikání.</w:t>
      </w:r>
    </w:p>
    <w:p w14:paraId="36363DC1" w14:textId="1CB21210" w:rsidR="00A464E1" w:rsidRPr="00462C3C" w:rsidRDefault="00A464E1" w:rsidP="00462C3C">
      <w:pPr>
        <w:keepNext/>
        <w:tabs>
          <w:tab w:val="left" w:pos="720"/>
        </w:tabs>
        <w:rPr>
          <w:rFonts w:cs="Arial"/>
          <w:b/>
          <w:bCs/>
          <w:sz w:val="20"/>
          <w:szCs w:val="20"/>
          <w:lang w:eastAsia="cs-CZ"/>
        </w:rPr>
      </w:pPr>
      <w:r w:rsidRPr="00462C3C">
        <w:rPr>
          <w:rFonts w:cs="Arial"/>
          <w:b/>
          <w:bCs/>
          <w:sz w:val="20"/>
          <w:szCs w:val="20"/>
          <w:lang w:eastAsia="cs-CZ"/>
        </w:rPr>
        <w:t>STANOVISKO K PLNĚNÍ:</w:t>
      </w:r>
      <w:r w:rsidR="00997D91" w:rsidRPr="00462C3C">
        <w:rPr>
          <w:rFonts w:cs="Arial"/>
          <w:b/>
          <w:bCs/>
          <w:sz w:val="20"/>
          <w:szCs w:val="20"/>
          <w:lang w:eastAsia="cs-CZ"/>
        </w:rPr>
        <w:t xml:space="preserve"> Plněno.</w:t>
      </w:r>
    </w:p>
    <w:p w14:paraId="32B70E13" w14:textId="77777777" w:rsidR="00A464E1" w:rsidRPr="00900F50" w:rsidRDefault="00A464E1" w:rsidP="00900F50">
      <w:pPr>
        <w:rPr>
          <w:rFonts w:cs="Arial"/>
          <w:sz w:val="20"/>
          <w:szCs w:val="20"/>
        </w:rPr>
      </w:pPr>
    </w:p>
    <w:p w14:paraId="74F860E5" w14:textId="30E18654" w:rsidR="00F17E74" w:rsidRDefault="00F17E74" w:rsidP="00F0394D">
      <w:pPr>
        <w:rPr>
          <w:rFonts w:eastAsia="Calibri" w:cs="Arial"/>
          <w:b/>
          <w:bCs/>
          <w:szCs w:val="20"/>
        </w:rPr>
      </w:pPr>
      <w:r w:rsidRPr="005F0C91">
        <w:rPr>
          <w:rFonts w:eastAsia="Calibri" w:cs="Arial"/>
          <w:b/>
          <w:bCs/>
          <w:szCs w:val="20"/>
        </w:rPr>
        <w:t xml:space="preserve">5.2 Cíl: </w:t>
      </w:r>
      <w:r w:rsidRPr="005F0C91">
        <w:rPr>
          <w:rFonts w:eastAsia="Calibri" w:cs="Arial"/>
          <w:b/>
          <w:szCs w:val="20"/>
        </w:rPr>
        <w:t>Dostupné</w:t>
      </w:r>
      <w:r w:rsidRPr="005F0C91">
        <w:rPr>
          <w:rFonts w:eastAsia="Calibri" w:cs="Arial"/>
          <w:b/>
          <w:bCs/>
          <w:szCs w:val="20"/>
        </w:rPr>
        <w:t xml:space="preserve"> sociální služby v rámci celého území České republiky.</w:t>
      </w:r>
      <w:r w:rsidRPr="000D3EDE">
        <w:rPr>
          <w:rFonts w:eastAsia="Calibri" w:cs="Arial"/>
          <w:b/>
          <w:bCs/>
          <w:szCs w:val="20"/>
        </w:rPr>
        <w:t xml:space="preserve"> </w:t>
      </w:r>
    </w:p>
    <w:p w14:paraId="1DDBCCEB" w14:textId="77777777" w:rsidR="002F11A8" w:rsidRPr="000D3EDE" w:rsidRDefault="002F11A8" w:rsidP="002F11A8">
      <w:pPr>
        <w:rPr>
          <w:rFonts w:cs="Arial"/>
          <w:bCs/>
          <w:szCs w:val="20"/>
        </w:rPr>
      </w:pPr>
      <w:r w:rsidRPr="00B93478">
        <w:rPr>
          <w:rFonts w:cs="Arial"/>
          <w:bCs/>
          <w:szCs w:val="20"/>
        </w:rPr>
        <w:t>Opatření 5</w:t>
      </w:r>
      <w:r w:rsidRPr="00B93478">
        <w:rPr>
          <w:rFonts w:cs="Arial"/>
          <w:szCs w:val="20"/>
        </w:rPr>
        <w:t xml:space="preserve">.2.1 </w:t>
      </w:r>
      <w:r w:rsidRPr="00B93478">
        <w:rPr>
          <w:rFonts w:cs="Arial"/>
          <w:bCs/>
          <w:szCs w:val="20"/>
        </w:rPr>
        <w:t>Legislativně upravit vymezení sociálních služeb tak</w:t>
      </w:r>
      <w:r w:rsidRPr="000D3EDE">
        <w:rPr>
          <w:rFonts w:cs="Arial"/>
          <w:bCs/>
          <w:szCs w:val="20"/>
        </w:rPr>
        <w:t>, aby měly jasně definovanou náplň a aby se nepřek</w:t>
      </w:r>
      <w:r>
        <w:rPr>
          <w:rFonts w:cs="Arial"/>
          <w:bCs/>
          <w:szCs w:val="20"/>
        </w:rPr>
        <w:t>rývaly.</w:t>
      </w:r>
    </w:p>
    <w:p w14:paraId="14510E31" w14:textId="77777777" w:rsidR="002F11A8" w:rsidRPr="000D3EDE" w:rsidRDefault="002F11A8" w:rsidP="002F11A8">
      <w:pPr>
        <w:rPr>
          <w:rFonts w:cs="Arial"/>
          <w:szCs w:val="20"/>
        </w:rPr>
      </w:pPr>
      <w:r>
        <w:rPr>
          <w:rFonts w:cs="Arial"/>
          <w:szCs w:val="20"/>
        </w:rPr>
        <w:t xml:space="preserve">Termín: </w:t>
      </w:r>
      <w:proofErr w:type="gramStart"/>
      <w:r>
        <w:rPr>
          <w:rFonts w:cs="Arial"/>
          <w:szCs w:val="20"/>
        </w:rPr>
        <w:t>31.12.2023</w:t>
      </w:r>
      <w:proofErr w:type="gramEnd"/>
    </w:p>
    <w:p w14:paraId="049A37D5" w14:textId="77777777" w:rsidR="002F11A8" w:rsidRDefault="002F11A8" w:rsidP="002F11A8">
      <w:pPr>
        <w:rPr>
          <w:rFonts w:cs="Arial"/>
          <w:szCs w:val="20"/>
        </w:rPr>
      </w:pPr>
      <w:r w:rsidRPr="000D3EDE">
        <w:rPr>
          <w:rFonts w:cs="Arial"/>
          <w:szCs w:val="20"/>
        </w:rPr>
        <w:t>Gestor: MPSV</w:t>
      </w:r>
    </w:p>
    <w:p w14:paraId="2B5CAB8A" w14:textId="4D35CF2F" w:rsidR="002F11A8" w:rsidRDefault="002F11A8" w:rsidP="002F11A8">
      <w:pPr>
        <w:rPr>
          <w:rFonts w:cs="Arial"/>
          <w:szCs w:val="20"/>
        </w:rPr>
      </w:pPr>
      <w:r w:rsidRPr="00046552">
        <w:rPr>
          <w:rFonts w:cs="Arial"/>
          <w:bCs/>
          <w:szCs w:val="20"/>
        </w:rPr>
        <w:t>Indikátor</w:t>
      </w:r>
      <w:r w:rsidRPr="00D87068">
        <w:rPr>
          <w:rFonts w:cs="Arial"/>
          <w:szCs w:val="20"/>
        </w:rPr>
        <w:t>:</w:t>
      </w:r>
      <w:r>
        <w:rPr>
          <w:rFonts w:cs="Arial"/>
          <w:szCs w:val="20"/>
        </w:rPr>
        <w:t xml:space="preserve"> Byla legislativně upravena náplň jednotlivých sociálních služeb.</w:t>
      </w:r>
    </w:p>
    <w:p w14:paraId="45C80FDA" w14:textId="77777777" w:rsidR="00DD5BC4" w:rsidRDefault="00DD5BC4" w:rsidP="00DD5BC4">
      <w:pPr>
        <w:keepNext/>
        <w:tabs>
          <w:tab w:val="left" w:pos="720"/>
        </w:tabs>
        <w:rPr>
          <w:rFonts w:cs="Arial"/>
          <w:b/>
          <w:bCs/>
          <w:sz w:val="20"/>
          <w:szCs w:val="20"/>
          <w:lang w:eastAsia="cs-CZ"/>
        </w:rPr>
      </w:pPr>
    </w:p>
    <w:p w14:paraId="71B7080C" w14:textId="64C46BB6" w:rsidR="00DD5BC4" w:rsidRPr="00A3204F" w:rsidRDefault="00DD5BC4" w:rsidP="00DD5BC4">
      <w:pPr>
        <w:keepNext/>
        <w:tabs>
          <w:tab w:val="left" w:pos="720"/>
        </w:tabs>
        <w:rPr>
          <w:rFonts w:cs="Arial"/>
          <w:b/>
          <w:bCs/>
          <w:sz w:val="20"/>
          <w:szCs w:val="20"/>
          <w:lang w:eastAsia="cs-CZ"/>
        </w:rPr>
      </w:pPr>
      <w:r w:rsidRPr="00A3204F">
        <w:rPr>
          <w:rFonts w:cs="Arial"/>
          <w:b/>
          <w:bCs/>
          <w:sz w:val="20"/>
          <w:szCs w:val="20"/>
          <w:lang w:eastAsia="cs-CZ"/>
        </w:rPr>
        <w:t>PLNĚNÍ MPSV:</w:t>
      </w:r>
    </w:p>
    <w:p w14:paraId="5E6524DF" w14:textId="11EDCB60" w:rsidR="00A3204F" w:rsidRPr="00522AE7" w:rsidRDefault="00A3204F" w:rsidP="00A3204F">
      <w:pPr>
        <w:rPr>
          <w:rFonts w:cs="Arial"/>
          <w:sz w:val="20"/>
          <w:szCs w:val="20"/>
        </w:rPr>
      </w:pPr>
      <w:r w:rsidRPr="00A3204F">
        <w:rPr>
          <w:rFonts w:cs="Arial"/>
          <w:sz w:val="20"/>
          <w:szCs w:val="20"/>
        </w:rPr>
        <w:t xml:space="preserve">Uvedené opatření se ve stanoveném termínu nepodařilo naplnit. V prosinci 2022 rozeslalo MPSV do meziresortního připomínkového řízení návrh novely zákona o sociálních službách. Novela obsahovala i návrh změn ve vymezení některých druhů sociálních služeb. S ohledem na nemožnost vypořádání některých zásadních připomínek se však v červenci 2023 rozhodlo MPSV uvedený návrh novely z legislativního procesu zcela stáhnout a některé v něm zamýšlené změny promítnout do následných návrhů novelizace zákona o </w:t>
      </w:r>
      <w:r w:rsidRPr="00522AE7">
        <w:rPr>
          <w:rFonts w:cs="Arial"/>
          <w:sz w:val="20"/>
          <w:szCs w:val="20"/>
        </w:rPr>
        <w:t>sociálních službách.</w:t>
      </w:r>
    </w:p>
    <w:p w14:paraId="15BCA6B4" w14:textId="449EB80B" w:rsidR="00DD5BC4" w:rsidRPr="00A3204F" w:rsidRDefault="00DD5BC4" w:rsidP="00DD5BC4">
      <w:pPr>
        <w:keepNext/>
        <w:tabs>
          <w:tab w:val="left" w:pos="720"/>
        </w:tabs>
        <w:rPr>
          <w:rFonts w:cs="Arial"/>
          <w:b/>
          <w:bCs/>
          <w:sz w:val="20"/>
          <w:szCs w:val="20"/>
          <w:lang w:eastAsia="cs-CZ"/>
        </w:rPr>
      </w:pPr>
      <w:r w:rsidRPr="00522AE7">
        <w:rPr>
          <w:rFonts w:cs="Arial"/>
          <w:b/>
          <w:bCs/>
          <w:sz w:val="20"/>
          <w:szCs w:val="20"/>
          <w:lang w:eastAsia="cs-CZ"/>
        </w:rPr>
        <w:t xml:space="preserve">STANOVISKO K PLNĚNÍ: </w:t>
      </w:r>
      <w:r w:rsidR="00374CE6" w:rsidRPr="00522AE7">
        <w:rPr>
          <w:rFonts w:cs="Arial"/>
          <w:b/>
          <w:bCs/>
          <w:sz w:val="20"/>
          <w:szCs w:val="20"/>
          <w:lang w:eastAsia="cs-CZ"/>
        </w:rPr>
        <w:t>Nesp</w:t>
      </w:r>
      <w:r w:rsidRPr="00522AE7">
        <w:rPr>
          <w:rFonts w:cs="Arial"/>
          <w:b/>
          <w:bCs/>
          <w:sz w:val="20"/>
          <w:szCs w:val="20"/>
          <w:lang w:eastAsia="cs-CZ"/>
        </w:rPr>
        <w:t>lněno.</w:t>
      </w:r>
      <w:r w:rsidR="00E21492" w:rsidRPr="00522AE7">
        <w:rPr>
          <w:rFonts w:cs="Arial"/>
          <w:b/>
          <w:bCs/>
          <w:sz w:val="20"/>
          <w:szCs w:val="20"/>
          <w:lang w:eastAsia="cs-CZ"/>
        </w:rPr>
        <w:t xml:space="preserve"> Navržen posun termínu do </w:t>
      </w:r>
      <w:proofErr w:type="gramStart"/>
      <w:r w:rsidR="00E21492" w:rsidRPr="00522AE7">
        <w:rPr>
          <w:rFonts w:cs="Arial"/>
          <w:b/>
          <w:bCs/>
          <w:sz w:val="20"/>
          <w:szCs w:val="20"/>
          <w:lang w:eastAsia="cs-CZ"/>
        </w:rPr>
        <w:t>31.12.2025</w:t>
      </w:r>
      <w:proofErr w:type="gramEnd"/>
      <w:r w:rsidR="00E21492" w:rsidRPr="00522AE7">
        <w:rPr>
          <w:rFonts w:cs="Arial"/>
          <w:b/>
          <w:bCs/>
          <w:sz w:val="20"/>
          <w:szCs w:val="20"/>
          <w:lang w:eastAsia="cs-CZ"/>
        </w:rPr>
        <w:t>.</w:t>
      </w:r>
    </w:p>
    <w:p w14:paraId="49CE497A" w14:textId="3D4C10AF" w:rsidR="002F11A8" w:rsidRDefault="002F11A8" w:rsidP="002F11A8">
      <w:pPr>
        <w:rPr>
          <w:rFonts w:cs="Arial"/>
          <w:szCs w:val="20"/>
        </w:rPr>
      </w:pPr>
    </w:p>
    <w:p w14:paraId="1D2D99B6" w14:textId="77777777" w:rsidR="002F11A8" w:rsidRPr="000D3EDE" w:rsidRDefault="002F11A8" w:rsidP="002F11A8">
      <w:pPr>
        <w:rPr>
          <w:rFonts w:cs="Arial"/>
          <w:i/>
          <w:szCs w:val="20"/>
        </w:rPr>
      </w:pPr>
      <w:r w:rsidRPr="0035060D">
        <w:rPr>
          <w:rFonts w:cs="Arial"/>
          <w:bCs/>
          <w:szCs w:val="20"/>
        </w:rPr>
        <w:t xml:space="preserve">Opatření </w:t>
      </w:r>
      <w:r>
        <w:rPr>
          <w:rFonts w:cs="Arial"/>
          <w:bCs/>
          <w:szCs w:val="20"/>
        </w:rPr>
        <w:t>5</w:t>
      </w:r>
      <w:r>
        <w:rPr>
          <w:rFonts w:cs="Arial"/>
          <w:szCs w:val="20"/>
        </w:rPr>
        <w:t xml:space="preserve">.2.2 </w:t>
      </w:r>
      <w:r w:rsidRPr="00073431">
        <w:rPr>
          <w:rFonts w:cs="Arial"/>
          <w:szCs w:val="20"/>
        </w:rPr>
        <w:t xml:space="preserve">Vytvořit </w:t>
      </w:r>
      <w:r>
        <w:rPr>
          <w:rFonts w:cs="Arial"/>
          <w:szCs w:val="20"/>
        </w:rPr>
        <w:t xml:space="preserve">a právně ukotvit </w:t>
      </w:r>
      <w:r w:rsidRPr="00073431">
        <w:rPr>
          <w:rFonts w:cs="Arial"/>
          <w:szCs w:val="20"/>
        </w:rPr>
        <w:t xml:space="preserve">personální a materiálně technický standard sociálních služeb, který nastaví </w:t>
      </w:r>
      <w:r>
        <w:rPr>
          <w:rFonts w:cs="Arial"/>
          <w:szCs w:val="20"/>
        </w:rPr>
        <w:t>minimální hranici</w:t>
      </w:r>
      <w:r w:rsidRPr="00073431">
        <w:rPr>
          <w:rFonts w:cs="Arial"/>
          <w:szCs w:val="20"/>
        </w:rPr>
        <w:t xml:space="preserve"> pro poskytování sociálních služeb a bude podmínkou </w:t>
      </w:r>
      <w:r>
        <w:rPr>
          <w:rFonts w:cs="Arial"/>
          <w:szCs w:val="20"/>
        </w:rPr>
        <w:t xml:space="preserve">jejich </w:t>
      </w:r>
      <w:r w:rsidRPr="00073431">
        <w:rPr>
          <w:rFonts w:cs="Arial"/>
          <w:szCs w:val="20"/>
        </w:rPr>
        <w:t>registrace.</w:t>
      </w:r>
    </w:p>
    <w:p w14:paraId="796EA704" w14:textId="77777777" w:rsidR="002F11A8" w:rsidRPr="000D3EDE" w:rsidRDefault="002F11A8" w:rsidP="002F11A8">
      <w:pPr>
        <w:rPr>
          <w:rFonts w:cs="Arial"/>
          <w:szCs w:val="20"/>
        </w:rPr>
      </w:pPr>
      <w:r>
        <w:rPr>
          <w:rFonts w:cs="Arial"/>
          <w:szCs w:val="20"/>
        </w:rPr>
        <w:lastRenderedPageBreak/>
        <w:t xml:space="preserve">Termín: </w:t>
      </w:r>
      <w:proofErr w:type="gramStart"/>
      <w:r>
        <w:rPr>
          <w:rFonts w:cs="Arial"/>
          <w:szCs w:val="20"/>
        </w:rPr>
        <w:t>31.12.2023</w:t>
      </w:r>
      <w:proofErr w:type="gramEnd"/>
    </w:p>
    <w:p w14:paraId="250A44BB" w14:textId="77777777" w:rsidR="002F11A8" w:rsidRDefault="002F11A8" w:rsidP="002F11A8">
      <w:pPr>
        <w:rPr>
          <w:rFonts w:cs="Arial"/>
          <w:szCs w:val="20"/>
        </w:rPr>
      </w:pPr>
      <w:r w:rsidRPr="000D3EDE">
        <w:rPr>
          <w:rFonts w:cs="Arial"/>
          <w:szCs w:val="20"/>
        </w:rPr>
        <w:t>Gestor: MPSV</w:t>
      </w:r>
    </w:p>
    <w:p w14:paraId="15FB9294" w14:textId="3FB7B9E3" w:rsidR="002F11A8" w:rsidRDefault="002F11A8" w:rsidP="002F11A8">
      <w:pPr>
        <w:rPr>
          <w:rFonts w:cs="Arial"/>
          <w:szCs w:val="20"/>
        </w:rPr>
      </w:pPr>
      <w:r w:rsidRPr="00D87068">
        <w:rPr>
          <w:rFonts w:cs="Arial"/>
          <w:szCs w:val="20"/>
        </w:rPr>
        <w:t>Indikátor:</w:t>
      </w:r>
      <w:r>
        <w:rPr>
          <w:rFonts w:cs="Arial"/>
          <w:szCs w:val="20"/>
        </w:rPr>
        <w:t xml:space="preserve"> Byl vytvořen a právně ukotven </w:t>
      </w:r>
      <w:r w:rsidRPr="00073431">
        <w:rPr>
          <w:rFonts w:cs="Arial"/>
          <w:szCs w:val="20"/>
        </w:rPr>
        <w:t>personální a materiálně technický standard sociálních služeb</w:t>
      </w:r>
      <w:r>
        <w:rPr>
          <w:rFonts w:cs="Arial"/>
          <w:szCs w:val="20"/>
        </w:rPr>
        <w:t>.</w:t>
      </w:r>
    </w:p>
    <w:p w14:paraId="2CA45701" w14:textId="77777777" w:rsidR="004D5CD1" w:rsidRDefault="004D5CD1" w:rsidP="004D5CD1">
      <w:pPr>
        <w:keepNext/>
        <w:tabs>
          <w:tab w:val="left" w:pos="720"/>
        </w:tabs>
        <w:rPr>
          <w:rFonts w:cs="Arial"/>
          <w:b/>
          <w:bCs/>
          <w:sz w:val="20"/>
          <w:szCs w:val="20"/>
          <w:lang w:eastAsia="cs-CZ"/>
        </w:rPr>
      </w:pPr>
    </w:p>
    <w:p w14:paraId="23D5FF16" w14:textId="32A5D568" w:rsidR="004D5CD1" w:rsidRPr="00F44BEB" w:rsidRDefault="004D5CD1" w:rsidP="00F44BEB">
      <w:pPr>
        <w:keepNext/>
        <w:tabs>
          <w:tab w:val="left" w:pos="720"/>
        </w:tabs>
        <w:rPr>
          <w:rFonts w:cs="Arial"/>
          <w:b/>
          <w:bCs/>
          <w:sz w:val="20"/>
          <w:szCs w:val="20"/>
          <w:lang w:eastAsia="cs-CZ"/>
        </w:rPr>
      </w:pPr>
      <w:r w:rsidRPr="00F44BEB">
        <w:rPr>
          <w:rFonts w:cs="Arial"/>
          <w:b/>
          <w:bCs/>
          <w:sz w:val="20"/>
          <w:szCs w:val="20"/>
          <w:lang w:eastAsia="cs-CZ"/>
        </w:rPr>
        <w:t>PLNĚNÍ MPSV:</w:t>
      </w:r>
    </w:p>
    <w:p w14:paraId="7D111B41" w14:textId="773FE74C" w:rsidR="00F44BEB" w:rsidRPr="00F44BEB" w:rsidRDefault="00F44BEB" w:rsidP="00F44BEB">
      <w:pPr>
        <w:rPr>
          <w:rFonts w:cs="Arial"/>
          <w:sz w:val="20"/>
          <w:szCs w:val="20"/>
        </w:rPr>
      </w:pPr>
      <w:r w:rsidRPr="00F44BEB">
        <w:rPr>
          <w:rFonts w:cs="Arial"/>
          <w:sz w:val="20"/>
          <w:szCs w:val="20"/>
        </w:rPr>
        <w:t>Uvedené opatření se ve stanoveném termínu nepodařilo naplnit. V prosinci 2022 rozeslalo MPSV do meziresortního připomínkového řízení návrh novely zákona o sociáln</w:t>
      </w:r>
      <w:r w:rsidR="00B84BE7">
        <w:rPr>
          <w:rFonts w:cs="Arial"/>
          <w:sz w:val="20"/>
          <w:szCs w:val="20"/>
        </w:rPr>
        <w:t>ích službách, který obsahoval i </w:t>
      </w:r>
      <w:r w:rsidRPr="00F44BEB">
        <w:rPr>
          <w:rFonts w:cs="Arial"/>
          <w:sz w:val="20"/>
          <w:szCs w:val="20"/>
        </w:rPr>
        <w:t xml:space="preserve">návrh sjednocení a právní ukotvení materiálně-technických a personálních podmínek odpovídajících druhu poskytované sociální služby (zejména při rozhodování o její registraci). S ohledem na nemožnost vypořádání některých zásadních připomínek se však v červenci 2023 rozhodlo MPSV uvedený návrh novely z legislativního procesu zcela stáhnout a některé v něm zamýšlené změny promítnout do následných návrhů novelizace zákona o sociálních službách. Je zřejmé, že legislativní úprava dané problematiky je nezbytná, a to především k zajištění minimální, nepodkročitelné úrovně materiálně - technického a personálního zabezpečení, také v souvislosti se zajištěním bezpečnosti uživatelů, kvality bydlení a poskytování sociální služby. </w:t>
      </w:r>
    </w:p>
    <w:p w14:paraId="1EF8C4A2" w14:textId="6021E5A2" w:rsidR="00F44BEB" w:rsidRPr="00735F26" w:rsidRDefault="00F44BEB" w:rsidP="00F44BEB">
      <w:pPr>
        <w:rPr>
          <w:rFonts w:cs="Arial"/>
          <w:sz w:val="20"/>
          <w:szCs w:val="20"/>
        </w:rPr>
      </w:pPr>
      <w:r w:rsidRPr="00F44BEB">
        <w:rPr>
          <w:rFonts w:cs="Arial"/>
          <w:sz w:val="20"/>
          <w:szCs w:val="20"/>
        </w:rPr>
        <w:t>Dodržování materiálně – technických podmínek pro registraci v závislosti na druhu a formě poskytované sociální služby, bude také nezbytnou podmínkou pro účast v projektových investičních výzvách. Dosud platné Doporučené postupy MTS pro služby sociální péče poskytované pobytovou formou, slouží jako podklad pro řešení spojená s kvalitou bydlení uživatelů služeb a zároveň jako východiska pro splnění stávajících registračních</w:t>
      </w:r>
      <w:r w:rsidR="00431927">
        <w:rPr>
          <w:rFonts w:cs="Arial"/>
          <w:sz w:val="20"/>
          <w:szCs w:val="20"/>
        </w:rPr>
        <w:t xml:space="preserve"> podmínek. K dané problematice v</w:t>
      </w:r>
      <w:r w:rsidRPr="00F44BEB">
        <w:rPr>
          <w:rFonts w:cs="Arial"/>
          <w:sz w:val="20"/>
          <w:szCs w:val="20"/>
        </w:rPr>
        <w:t xml:space="preserve">iz blíže: </w:t>
      </w:r>
      <w:hyperlink r:id="rId84" w:history="1">
        <w:r w:rsidRPr="00735F26">
          <w:rPr>
            <w:rStyle w:val="Hypertextovodkaz"/>
            <w:rFonts w:cs="Arial"/>
            <w:sz w:val="20"/>
            <w:szCs w:val="20"/>
          </w:rPr>
          <w:t>https://www.mpsv.cz/web/cz/stanoviska-a-doporucene-postupy</w:t>
        </w:r>
      </w:hyperlink>
      <w:r w:rsidRPr="00735F26">
        <w:rPr>
          <w:rFonts w:cs="Arial"/>
          <w:sz w:val="20"/>
          <w:szCs w:val="20"/>
        </w:rPr>
        <w:t>.</w:t>
      </w:r>
    </w:p>
    <w:p w14:paraId="63A7A430" w14:textId="2247418A" w:rsidR="004D5CD1" w:rsidRPr="00F44BEB" w:rsidRDefault="004D5CD1" w:rsidP="00F44BEB">
      <w:pPr>
        <w:keepNext/>
        <w:tabs>
          <w:tab w:val="left" w:pos="720"/>
        </w:tabs>
        <w:rPr>
          <w:rFonts w:cs="Arial"/>
          <w:b/>
          <w:bCs/>
          <w:sz w:val="20"/>
          <w:szCs w:val="20"/>
          <w:lang w:eastAsia="cs-CZ"/>
        </w:rPr>
      </w:pPr>
      <w:r w:rsidRPr="00735F26">
        <w:rPr>
          <w:rFonts w:cs="Arial"/>
          <w:b/>
          <w:bCs/>
          <w:sz w:val="20"/>
          <w:szCs w:val="20"/>
          <w:lang w:eastAsia="cs-CZ"/>
        </w:rPr>
        <w:t>STANOVISKO K PLNĚNÍ: Nesplněno.</w:t>
      </w:r>
      <w:r w:rsidR="00C337FF" w:rsidRPr="00735F26">
        <w:rPr>
          <w:rFonts w:cs="Arial"/>
          <w:b/>
          <w:bCs/>
          <w:sz w:val="20"/>
          <w:szCs w:val="20"/>
          <w:lang w:eastAsia="cs-CZ"/>
        </w:rPr>
        <w:t xml:space="preserve"> Navržen posun termínu do </w:t>
      </w:r>
      <w:proofErr w:type="gramStart"/>
      <w:r w:rsidR="00C337FF" w:rsidRPr="00735F26">
        <w:rPr>
          <w:rFonts w:cs="Arial"/>
          <w:b/>
          <w:bCs/>
          <w:sz w:val="20"/>
          <w:szCs w:val="20"/>
          <w:lang w:eastAsia="cs-CZ"/>
        </w:rPr>
        <w:t>31.12.2025</w:t>
      </w:r>
      <w:proofErr w:type="gramEnd"/>
      <w:r w:rsidR="00C337FF" w:rsidRPr="00735F26">
        <w:rPr>
          <w:rFonts w:cs="Arial"/>
          <w:b/>
          <w:bCs/>
          <w:sz w:val="20"/>
          <w:szCs w:val="20"/>
          <w:lang w:eastAsia="cs-CZ"/>
        </w:rPr>
        <w:t>.</w:t>
      </w:r>
    </w:p>
    <w:p w14:paraId="4D477EE3" w14:textId="77777777" w:rsidR="00E123AA" w:rsidRPr="00342FA1" w:rsidRDefault="00E123AA" w:rsidP="00342FA1">
      <w:pPr>
        <w:rPr>
          <w:rFonts w:cs="Arial"/>
          <w:b/>
          <w:sz w:val="20"/>
          <w:szCs w:val="20"/>
        </w:rPr>
      </w:pPr>
    </w:p>
    <w:p w14:paraId="2EBDB17A" w14:textId="77777777" w:rsidR="00F17E74" w:rsidRPr="000D3EDE" w:rsidRDefault="00F17E74" w:rsidP="00D70D21">
      <w:pPr>
        <w:rPr>
          <w:rFonts w:cs="Arial"/>
          <w:b/>
          <w:szCs w:val="20"/>
        </w:rPr>
      </w:pPr>
      <w:r>
        <w:rPr>
          <w:rFonts w:cs="Arial"/>
          <w:b/>
          <w:szCs w:val="20"/>
        </w:rPr>
        <w:t xml:space="preserve">5.4 </w:t>
      </w:r>
      <w:r w:rsidRPr="000D3EDE">
        <w:rPr>
          <w:rFonts w:cs="Arial"/>
          <w:b/>
          <w:szCs w:val="20"/>
        </w:rPr>
        <w:t xml:space="preserve">Cíl: Dostupné informace pro </w:t>
      </w:r>
      <w:r>
        <w:rPr>
          <w:rFonts w:cs="Arial"/>
          <w:b/>
          <w:szCs w:val="20"/>
        </w:rPr>
        <w:t>osoby</w:t>
      </w:r>
      <w:r w:rsidRPr="000D3EDE">
        <w:rPr>
          <w:rFonts w:cs="Arial"/>
          <w:b/>
          <w:szCs w:val="20"/>
        </w:rPr>
        <w:t xml:space="preserve"> se zdravotním postižením a jejich rodiny o</w:t>
      </w:r>
      <w:r w:rsidR="00251C70">
        <w:rPr>
          <w:rFonts w:cs="Arial"/>
          <w:b/>
          <w:szCs w:val="20"/>
        </w:rPr>
        <w:t> </w:t>
      </w:r>
      <w:r w:rsidRPr="000D3EDE">
        <w:rPr>
          <w:rFonts w:cs="Arial"/>
          <w:b/>
          <w:szCs w:val="20"/>
        </w:rPr>
        <w:t xml:space="preserve">možnostech péče a podpory. </w:t>
      </w:r>
    </w:p>
    <w:p w14:paraId="5F004C9D" w14:textId="0EF74824" w:rsidR="00F17E74" w:rsidRDefault="00F17E74" w:rsidP="00F17E74">
      <w:pPr>
        <w:rPr>
          <w:rFonts w:cs="Arial"/>
          <w:szCs w:val="20"/>
        </w:rPr>
      </w:pPr>
      <w:r w:rsidRPr="0035060D">
        <w:rPr>
          <w:rFonts w:cs="Arial"/>
          <w:bCs/>
          <w:szCs w:val="20"/>
        </w:rPr>
        <w:t xml:space="preserve">Opatření </w:t>
      </w:r>
      <w:r>
        <w:rPr>
          <w:rFonts w:cs="Arial"/>
          <w:bCs/>
          <w:szCs w:val="20"/>
        </w:rPr>
        <w:t>5</w:t>
      </w:r>
      <w:r>
        <w:rPr>
          <w:rFonts w:cs="Arial"/>
          <w:szCs w:val="20"/>
        </w:rPr>
        <w:t xml:space="preserve">.4.1 </w:t>
      </w:r>
      <w:r w:rsidRPr="000D3EDE">
        <w:rPr>
          <w:rFonts w:cs="Arial"/>
          <w:szCs w:val="20"/>
        </w:rPr>
        <w:t xml:space="preserve">Zpracovat informační materiály pro pečující osoby týkající se </w:t>
      </w:r>
      <w:r w:rsidRPr="00EE0896">
        <w:rPr>
          <w:rFonts w:cs="Arial"/>
          <w:szCs w:val="20"/>
        </w:rPr>
        <w:t xml:space="preserve">jejich </w:t>
      </w:r>
      <w:proofErr w:type="gramStart"/>
      <w:r w:rsidRPr="00EE0896">
        <w:rPr>
          <w:rFonts w:cs="Arial"/>
          <w:szCs w:val="20"/>
        </w:rPr>
        <w:t xml:space="preserve">postavení, </w:t>
      </w:r>
      <w:r w:rsidR="00E21492">
        <w:rPr>
          <w:rFonts w:cs="Arial"/>
          <w:szCs w:val="20"/>
        </w:rPr>
        <w:t>.</w:t>
      </w:r>
      <w:r w:rsidRPr="00EE0896">
        <w:rPr>
          <w:rFonts w:cs="Arial"/>
          <w:szCs w:val="20"/>
        </w:rPr>
        <w:t>jejich</w:t>
      </w:r>
      <w:proofErr w:type="gramEnd"/>
      <w:r w:rsidRPr="00EE0896">
        <w:rPr>
          <w:rFonts w:cs="Arial"/>
          <w:szCs w:val="20"/>
        </w:rPr>
        <w:t xml:space="preserve"> práv a povinností </w:t>
      </w:r>
      <w:r w:rsidRPr="000D3EDE">
        <w:rPr>
          <w:rFonts w:cs="Arial"/>
          <w:szCs w:val="20"/>
        </w:rPr>
        <w:t>a zajistit distribuci</w:t>
      </w:r>
      <w:r w:rsidR="00842B18">
        <w:rPr>
          <w:rFonts w:cs="Arial"/>
          <w:szCs w:val="20"/>
        </w:rPr>
        <w:t xml:space="preserve"> těchto materiálů</w:t>
      </w:r>
      <w:r w:rsidRPr="000D3EDE">
        <w:rPr>
          <w:rFonts w:cs="Arial"/>
          <w:szCs w:val="20"/>
        </w:rPr>
        <w:t xml:space="preserve">. </w:t>
      </w:r>
    </w:p>
    <w:p w14:paraId="298800B2" w14:textId="713F08E0" w:rsidR="00F17E74" w:rsidRPr="000D3EDE" w:rsidRDefault="00F17E74" w:rsidP="00F17E74">
      <w:pPr>
        <w:rPr>
          <w:rFonts w:cs="Arial"/>
          <w:szCs w:val="20"/>
        </w:rPr>
      </w:pPr>
      <w:r>
        <w:rPr>
          <w:rFonts w:cs="Arial"/>
          <w:szCs w:val="20"/>
        </w:rPr>
        <w:t xml:space="preserve">Termín: </w:t>
      </w:r>
      <w:proofErr w:type="gramStart"/>
      <w:r>
        <w:rPr>
          <w:rFonts w:cs="Arial"/>
          <w:szCs w:val="20"/>
        </w:rPr>
        <w:t>31.12.</w:t>
      </w:r>
      <w:r w:rsidR="001E0D19">
        <w:rPr>
          <w:rFonts w:cs="Arial"/>
          <w:szCs w:val="20"/>
        </w:rPr>
        <w:t>2023</w:t>
      </w:r>
      <w:proofErr w:type="gramEnd"/>
      <w:r w:rsidR="00937C88">
        <w:rPr>
          <w:rFonts w:cs="Arial"/>
          <w:szCs w:val="20"/>
        </w:rPr>
        <w:t>,</w:t>
      </w:r>
      <w:r>
        <w:rPr>
          <w:rFonts w:cs="Arial"/>
          <w:szCs w:val="20"/>
        </w:rPr>
        <w:t xml:space="preserve"> dále průběžně</w:t>
      </w:r>
      <w:r w:rsidR="00E21492">
        <w:rPr>
          <w:rFonts w:cs="Arial"/>
          <w:szCs w:val="20"/>
        </w:rPr>
        <w:t>.</w:t>
      </w:r>
    </w:p>
    <w:p w14:paraId="618F8873" w14:textId="77777777" w:rsidR="00F17E74" w:rsidRPr="000D3EDE" w:rsidRDefault="00F17E74" w:rsidP="00F17E74">
      <w:pPr>
        <w:rPr>
          <w:rFonts w:cs="Arial"/>
          <w:szCs w:val="20"/>
        </w:rPr>
      </w:pPr>
      <w:r w:rsidRPr="000D3EDE">
        <w:rPr>
          <w:rFonts w:cs="Arial"/>
          <w:szCs w:val="20"/>
        </w:rPr>
        <w:t>Gestor: MPSV</w:t>
      </w:r>
    </w:p>
    <w:p w14:paraId="5A72912C" w14:textId="57E48D08" w:rsidR="00F17E74" w:rsidRDefault="002C0D9C" w:rsidP="00A8013C">
      <w:pPr>
        <w:rPr>
          <w:rFonts w:cs="Arial"/>
          <w:szCs w:val="20"/>
        </w:rPr>
      </w:pPr>
      <w:r>
        <w:rPr>
          <w:rFonts w:cs="Arial"/>
          <w:szCs w:val="20"/>
        </w:rPr>
        <w:t>Indikátor</w:t>
      </w:r>
      <w:r w:rsidR="00F17E74" w:rsidRPr="000D3EDE">
        <w:rPr>
          <w:rFonts w:cs="Arial"/>
          <w:szCs w:val="20"/>
        </w:rPr>
        <w:t xml:space="preserve">: Informační materiály </w:t>
      </w:r>
      <w:r w:rsidR="00F17E74">
        <w:rPr>
          <w:rFonts w:cs="Arial"/>
          <w:szCs w:val="20"/>
        </w:rPr>
        <w:t>byly zpracovány. Je zajišťována</w:t>
      </w:r>
      <w:r w:rsidR="00F17E74" w:rsidRPr="000D3EDE">
        <w:rPr>
          <w:rFonts w:cs="Arial"/>
          <w:szCs w:val="20"/>
        </w:rPr>
        <w:t xml:space="preserve"> distribuce osobám, které se stanou pečujícími o osobu ve všech stupních závislosti dle právních předpisů upravujících příspěvek na péči.</w:t>
      </w:r>
    </w:p>
    <w:p w14:paraId="76034644" w14:textId="77777777" w:rsidR="00A8013C" w:rsidRDefault="00A8013C" w:rsidP="00A8013C">
      <w:pPr>
        <w:rPr>
          <w:rFonts w:cs="Arial"/>
          <w:szCs w:val="20"/>
        </w:rPr>
      </w:pPr>
    </w:p>
    <w:p w14:paraId="0E3D0A6E" w14:textId="2D3EA92B" w:rsidR="00930152" w:rsidRPr="00A72649" w:rsidRDefault="00930152" w:rsidP="005D77C3">
      <w:pPr>
        <w:keepNext/>
        <w:tabs>
          <w:tab w:val="left" w:pos="720"/>
        </w:tabs>
        <w:rPr>
          <w:rFonts w:cs="Arial"/>
          <w:b/>
          <w:bCs/>
          <w:sz w:val="20"/>
          <w:szCs w:val="20"/>
          <w:lang w:eastAsia="cs-CZ"/>
        </w:rPr>
      </w:pPr>
      <w:r w:rsidRPr="00A72649">
        <w:rPr>
          <w:rFonts w:cs="Arial"/>
          <w:b/>
          <w:bCs/>
          <w:sz w:val="20"/>
          <w:szCs w:val="20"/>
          <w:lang w:eastAsia="cs-CZ"/>
        </w:rPr>
        <w:t>PLNĚNÍ MPSV:</w:t>
      </w:r>
    </w:p>
    <w:p w14:paraId="57ECABD0" w14:textId="346BECE6" w:rsidR="00A72649" w:rsidRPr="00A72649" w:rsidRDefault="00A72649" w:rsidP="00A72649">
      <w:pPr>
        <w:rPr>
          <w:rFonts w:cs="Arial"/>
          <w:sz w:val="20"/>
          <w:szCs w:val="20"/>
        </w:rPr>
      </w:pPr>
      <w:r w:rsidRPr="00A72649">
        <w:rPr>
          <w:rFonts w:cs="Arial"/>
          <w:sz w:val="20"/>
          <w:szCs w:val="20"/>
        </w:rPr>
        <w:t>V roce 2023 MPSV nezpracovalo žádné specifické informační materiály určené pro pečující osoby týkající se jejich postavení, jejich práv a povinností, zároveň však musíme uvést, že ve sledovaném roce uveřejnilo MPSV, zejména prostřednictvím svých webových stránek a tiskovýc</w:t>
      </w:r>
      <w:r w:rsidR="00B84BE7">
        <w:rPr>
          <w:rFonts w:cs="Arial"/>
          <w:sz w:val="20"/>
          <w:szCs w:val="20"/>
        </w:rPr>
        <w:t xml:space="preserve">h zpráv, řadu informací, které </w:t>
      </w:r>
      <w:r w:rsidRPr="00A72649">
        <w:rPr>
          <w:rFonts w:cs="Arial"/>
          <w:sz w:val="20"/>
          <w:szCs w:val="20"/>
        </w:rPr>
        <w:t>se dotýkaly dané problematiky.</w:t>
      </w:r>
    </w:p>
    <w:p w14:paraId="0061EBF2" w14:textId="49ABFAD3" w:rsidR="00930152" w:rsidRPr="005D77C3" w:rsidRDefault="00930152" w:rsidP="005D77C3">
      <w:pPr>
        <w:keepNext/>
        <w:tabs>
          <w:tab w:val="left" w:pos="720"/>
        </w:tabs>
        <w:rPr>
          <w:rFonts w:cs="Arial"/>
          <w:b/>
          <w:bCs/>
          <w:sz w:val="20"/>
          <w:szCs w:val="20"/>
          <w:lang w:eastAsia="cs-CZ"/>
        </w:rPr>
      </w:pPr>
      <w:r w:rsidRPr="00A72649">
        <w:rPr>
          <w:rFonts w:cs="Arial"/>
          <w:b/>
          <w:bCs/>
          <w:sz w:val="20"/>
          <w:szCs w:val="20"/>
          <w:lang w:eastAsia="cs-CZ"/>
        </w:rPr>
        <w:t>STANOVISKO K PLNĚNÍ:</w:t>
      </w:r>
      <w:r w:rsidR="004B6F26" w:rsidRPr="00A72649">
        <w:rPr>
          <w:rFonts w:cs="Arial"/>
          <w:b/>
          <w:bCs/>
          <w:sz w:val="20"/>
          <w:szCs w:val="20"/>
          <w:lang w:eastAsia="cs-CZ"/>
        </w:rPr>
        <w:t xml:space="preserve"> </w:t>
      </w:r>
      <w:r w:rsidR="004B6F26" w:rsidRPr="006017E1">
        <w:rPr>
          <w:rFonts w:cs="Arial"/>
          <w:b/>
          <w:bCs/>
          <w:sz w:val="20"/>
          <w:szCs w:val="20"/>
          <w:lang w:eastAsia="cs-CZ"/>
        </w:rPr>
        <w:t xml:space="preserve">Nesplněno. Navržen </w:t>
      </w:r>
      <w:r w:rsidR="004C1C00" w:rsidRPr="006017E1">
        <w:rPr>
          <w:rFonts w:cs="Arial"/>
          <w:b/>
          <w:bCs/>
          <w:sz w:val="20"/>
          <w:szCs w:val="20"/>
          <w:lang w:eastAsia="cs-CZ"/>
        </w:rPr>
        <w:t xml:space="preserve">posun termínu do </w:t>
      </w:r>
      <w:proofErr w:type="gramStart"/>
      <w:r w:rsidR="004C1C00" w:rsidRPr="006017E1">
        <w:rPr>
          <w:rFonts w:cs="Arial"/>
          <w:b/>
          <w:bCs/>
          <w:sz w:val="20"/>
          <w:szCs w:val="20"/>
          <w:lang w:eastAsia="cs-CZ"/>
        </w:rPr>
        <w:t>3</w:t>
      </w:r>
      <w:r w:rsidR="00715E90" w:rsidRPr="006017E1">
        <w:rPr>
          <w:rFonts w:cs="Arial"/>
          <w:b/>
          <w:bCs/>
          <w:sz w:val="20"/>
          <w:szCs w:val="20"/>
          <w:lang w:eastAsia="cs-CZ"/>
        </w:rPr>
        <w:t>1.12.2024</w:t>
      </w:r>
      <w:proofErr w:type="gramEnd"/>
      <w:r w:rsidR="003D2A1C" w:rsidRPr="006017E1">
        <w:rPr>
          <w:rFonts w:cs="Arial"/>
          <w:b/>
          <w:bCs/>
          <w:sz w:val="20"/>
          <w:szCs w:val="20"/>
          <w:lang w:eastAsia="cs-CZ"/>
        </w:rPr>
        <w:t>, dále průběžně</w:t>
      </w:r>
      <w:r w:rsidR="004B6F26" w:rsidRPr="006017E1">
        <w:rPr>
          <w:rFonts w:cs="Arial"/>
          <w:b/>
          <w:bCs/>
          <w:sz w:val="20"/>
          <w:szCs w:val="20"/>
          <w:lang w:eastAsia="cs-CZ"/>
        </w:rPr>
        <w:t>.</w:t>
      </w:r>
    </w:p>
    <w:p w14:paraId="24D15B03" w14:textId="77777777" w:rsidR="00930152" w:rsidRPr="005D77C3" w:rsidRDefault="00930152" w:rsidP="005D77C3">
      <w:pPr>
        <w:rPr>
          <w:rFonts w:cs="Arial"/>
          <w:sz w:val="20"/>
          <w:szCs w:val="20"/>
        </w:rPr>
      </w:pPr>
    </w:p>
    <w:p w14:paraId="78382650" w14:textId="77777777" w:rsidR="00F17E74" w:rsidRPr="000D3EDE" w:rsidRDefault="00F17E74" w:rsidP="00C65D0A">
      <w:pPr>
        <w:rPr>
          <w:rFonts w:eastAsia="Calibri" w:cs="Arial"/>
          <w:b/>
          <w:bCs/>
          <w:szCs w:val="20"/>
        </w:rPr>
      </w:pPr>
      <w:r>
        <w:rPr>
          <w:rFonts w:eastAsia="Calibri" w:cs="Arial"/>
          <w:b/>
          <w:bCs/>
          <w:szCs w:val="20"/>
        </w:rPr>
        <w:t xml:space="preserve">5.5 Cíl: </w:t>
      </w:r>
      <w:r w:rsidRPr="00E54831">
        <w:rPr>
          <w:rFonts w:cs="Arial"/>
          <w:b/>
          <w:szCs w:val="20"/>
        </w:rPr>
        <w:t>Dostupné</w:t>
      </w:r>
      <w:r>
        <w:rPr>
          <w:rFonts w:eastAsia="Calibri" w:cs="Arial"/>
          <w:b/>
          <w:bCs/>
          <w:szCs w:val="20"/>
        </w:rPr>
        <w:t xml:space="preserve"> kvalitní pomůcky a zdravotnické prostředky</w:t>
      </w:r>
      <w:r w:rsidRPr="00E50CB5">
        <w:rPr>
          <w:rFonts w:eastAsia="Calibri" w:cs="Arial"/>
          <w:b/>
          <w:bCs/>
          <w:szCs w:val="20"/>
        </w:rPr>
        <w:t>.</w:t>
      </w:r>
    </w:p>
    <w:p w14:paraId="5A94E4C2" w14:textId="77777777" w:rsidR="00F17E74" w:rsidRPr="000D3EDE" w:rsidRDefault="00F17E74" w:rsidP="00C65D0A">
      <w:pPr>
        <w:rPr>
          <w:rFonts w:cs="Arial"/>
          <w:szCs w:val="20"/>
        </w:rPr>
      </w:pPr>
      <w:r w:rsidRPr="0035060D">
        <w:rPr>
          <w:rFonts w:cs="Arial"/>
          <w:bCs/>
          <w:szCs w:val="20"/>
        </w:rPr>
        <w:t xml:space="preserve">Opatření </w:t>
      </w:r>
      <w:r>
        <w:rPr>
          <w:rFonts w:cs="Arial"/>
          <w:bCs/>
          <w:szCs w:val="20"/>
        </w:rPr>
        <w:t>5</w:t>
      </w:r>
      <w:r>
        <w:rPr>
          <w:rFonts w:cs="Arial"/>
          <w:szCs w:val="20"/>
        </w:rPr>
        <w:t xml:space="preserve">.5.1 </w:t>
      </w:r>
      <w:r w:rsidRPr="00E50CB5">
        <w:rPr>
          <w:rFonts w:cs="Arial"/>
          <w:szCs w:val="20"/>
        </w:rPr>
        <w:t xml:space="preserve">Podporovat finanční dostupnost </w:t>
      </w:r>
      <w:r w:rsidRPr="00E50CB5">
        <w:rPr>
          <w:rFonts w:cs="Arial"/>
          <w:bCs/>
          <w:szCs w:val="20"/>
        </w:rPr>
        <w:t>zvláštních pomůcek pro osoby se zdravotním postižením.</w:t>
      </w:r>
      <w:r w:rsidRPr="000D3EDE">
        <w:rPr>
          <w:rFonts w:cs="Arial"/>
          <w:bCs/>
          <w:szCs w:val="20"/>
        </w:rPr>
        <w:t xml:space="preserve"> </w:t>
      </w:r>
    </w:p>
    <w:p w14:paraId="1D18C1BE" w14:textId="77777777" w:rsidR="00F17E74" w:rsidRPr="000D3EDE" w:rsidRDefault="00F17E74" w:rsidP="00C65D0A">
      <w:pPr>
        <w:rPr>
          <w:rFonts w:cs="Arial"/>
          <w:szCs w:val="20"/>
        </w:rPr>
      </w:pPr>
      <w:r w:rsidRPr="000D3EDE">
        <w:rPr>
          <w:rFonts w:cs="Arial"/>
          <w:szCs w:val="20"/>
        </w:rPr>
        <w:t>Termín: průběžně</w:t>
      </w:r>
    </w:p>
    <w:p w14:paraId="59CD52A4" w14:textId="77777777" w:rsidR="00F17E74" w:rsidRPr="000D3EDE" w:rsidRDefault="00F17E74" w:rsidP="00C65D0A">
      <w:pPr>
        <w:rPr>
          <w:rFonts w:cs="Arial"/>
          <w:szCs w:val="20"/>
        </w:rPr>
      </w:pPr>
      <w:r w:rsidRPr="000D3EDE">
        <w:rPr>
          <w:rFonts w:cs="Arial"/>
          <w:szCs w:val="20"/>
        </w:rPr>
        <w:t>Gestor: MPSV</w:t>
      </w:r>
    </w:p>
    <w:p w14:paraId="34E83565" w14:textId="1E064ADA" w:rsidR="00F17E74" w:rsidRDefault="00F17E74" w:rsidP="00C65D0A">
      <w:pPr>
        <w:rPr>
          <w:rFonts w:cs="Arial"/>
          <w:szCs w:val="20"/>
        </w:rPr>
      </w:pPr>
      <w:r w:rsidRPr="00460C56">
        <w:rPr>
          <w:rFonts w:cs="Arial"/>
          <w:szCs w:val="20"/>
        </w:rPr>
        <w:lastRenderedPageBreak/>
        <w:t>Indikátor:</w:t>
      </w:r>
      <w:r w:rsidRPr="007A148F">
        <w:rPr>
          <w:rFonts w:cs="Arial"/>
          <w:szCs w:val="20"/>
        </w:rPr>
        <w:t xml:space="preserve"> Existuje finanční podpora pro osoby se zdravotním postižením k zajištění dostupnosti </w:t>
      </w:r>
      <w:r>
        <w:rPr>
          <w:rFonts w:cs="Arial"/>
          <w:szCs w:val="20"/>
        </w:rPr>
        <w:t>zvláštních pomůcek</w:t>
      </w:r>
      <w:r w:rsidRPr="007A148F">
        <w:rPr>
          <w:rFonts w:cs="Arial"/>
          <w:szCs w:val="20"/>
        </w:rPr>
        <w:t xml:space="preserve">. </w:t>
      </w:r>
    </w:p>
    <w:p w14:paraId="727251FA" w14:textId="77777777" w:rsidR="00C65D0A" w:rsidRPr="003B33B3" w:rsidRDefault="00C65D0A" w:rsidP="003B33B3">
      <w:pPr>
        <w:rPr>
          <w:rFonts w:cs="Arial"/>
          <w:sz w:val="20"/>
          <w:szCs w:val="20"/>
        </w:rPr>
      </w:pPr>
    </w:p>
    <w:p w14:paraId="65FD5376" w14:textId="7E3813C0" w:rsidR="006D6E7E" w:rsidRPr="007540D0" w:rsidRDefault="006D6E7E" w:rsidP="003B33B3">
      <w:pPr>
        <w:keepNext/>
        <w:tabs>
          <w:tab w:val="left" w:pos="720"/>
        </w:tabs>
        <w:rPr>
          <w:rFonts w:cs="Arial"/>
          <w:b/>
          <w:bCs/>
          <w:sz w:val="20"/>
          <w:szCs w:val="20"/>
          <w:lang w:eastAsia="cs-CZ"/>
        </w:rPr>
      </w:pPr>
      <w:r w:rsidRPr="007540D0">
        <w:rPr>
          <w:rFonts w:cs="Arial"/>
          <w:b/>
          <w:bCs/>
          <w:sz w:val="20"/>
          <w:szCs w:val="20"/>
          <w:lang w:eastAsia="cs-CZ"/>
        </w:rPr>
        <w:t>PLNĚNÍ MPSV:</w:t>
      </w:r>
    </w:p>
    <w:p w14:paraId="485AB5F2" w14:textId="391C1E19" w:rsidR="007540D0" w:rsidRPr="007540D0" w:rsidRDefault="007540D0" w:rsidP="007540D0">
      <w:pPr>
        <w:rPr>
          <w:rFonts w:cs="Arial"/>
          <w:sz w:val="20"/>
          <w:szCs w:val="20"/>
        </w:rPr>
      </w:pPr>
      <w:r w:rsidRPr="007540D0">
        <w:rPr>
          <w:rFonts w:cs="Arial"/>
          <w:sz w:val="20"/>
          <w:szCs w:val="20"/>
        </w:rPr>
        <w:t>MPSV podporuje finanční dostupnost zvláštních pomůcek pro osoby se ZP nepojistnou sociální dávkou – příspěvek na zvláštní pomůcku. V roce 2023 bylo poskytnuto 6 057 příspěvků na zvláštní pomůcku v celkové výši 913 547 580 Kč.</w:t>
      </w:r>
    </w:p>
    <w:p w14:paraId="326309E9" w14:textId="762F7651" w:rsidR="006D6E7E" w:rsidRPr="007540D0" w:rsidRDefault="006D6E7E" w:rsidP="003B33B3">
      <w:pPr>
        <w:keepNext/>
        <w:tabs>
          <w:tab w:val="left" w:pos="720"/>
        </w:tabs>
        <w:rPr>
          <w:rFonts w:cs="Arial"/>
          <w:b/>
          <w:bCs/>
          <w:sz w:val="20"/>
          <w:szCs w:val="20"/>
          <w:lang w:eastAsia="cs-CZ"/>
        </w:rPr>
      </w:pPr>
      <w:r w:rsidRPr="007540D0">
        <w:rPr>
          <w:rFonts w:cs="Arial"/>
          <w:b/>
          <w:bCs/>
          <w:sz w:val="20"/>
          <w:szCs w:val="20"/>
          <w:lang w:eastAsia="cs-CZ"/>
        </w:rPr>
        <w:t>STANOVISKO K PLNĚNÍ:</w:t>
      </w:r>
      <w:r w:rsidR="00CF426E" w:rsidRPr="007540D0">
        <w:rPr>
          <w:rFonts w:cs="Arial"/>
          <w:b/>
          <w:bCs/>
          <w:sz w:val="20"/>
          <w:szCs w:val="20"/>
          <w:lang w:eastAsia="cs-CZ"/>
        </w:rPr>
        <w:t xml:space="preserve"> Plněno.</w:t>
      </w:r>
    </w:p>
    <w:p w14:paraId="3DDEE1DA" w14:textId="77777777" w:rsidR="006D6E7E" w:rsidRPr="003B33B3" w:rsidRDefault="006D6E7E" w:rsidP="003B33B3">
      <w:pPr>
        <w:rPr>
          <w:rFonts w:cs="Arial"/>
          <w:sz w:val="20"/>
          <w:szCs w:val="20"/>
        </w:rPr>
      </w:pPr>
    </w:p>
    <w:p w14:paraId="4B553909" w14:textId="77777777" w:rsidR="00F17E74" w:rsidRPr="00EE0896" w:rsidRDefault="00F17E74" w:rsidP="00F17E74">
      <w:pPr>
        <w:rPr>
          <w:rFonts w:cs="Arial"/>
          <w:szCs w:val="20"/>
        </w:rPr>
      </w:pPr>
      <w:r w:rsidRPr="0035060D">
        <w:rPr>
          <w:rFonts w:cs="Arial"/>
          <w:bCs/>
          <w:szCs w:val="20"/>
        </w:rPr>
        <w:t xml:space="preserve">Opatření </w:t>
      </w:r>
      <w:r>
        <w:rPr>
          <w:rFonts w:cs="Arial"/>
          <w:bCs/>
          <w:szCs w:val="20"/>
        </w:rPr>
        <w:t>5</w:t>
      </w:r>
      <w:r>
        <w:rPr>
          <w:rFonts w:cs="Arial"/>
          <w:szCs w:val="20"/>
        </w:rPr>
        <w:t>.5.</w:t>
      </w:r>
      <w:r w:rsidR="00853695">
        <w:rPr>
          <w:rFonts w:cs="Arial"/>
          <w:szCs w:val="20"/>
        </w:rPr>
        <w:t>2</w:t>
      </w:r>
      <w:r>
        <w:rPr>
          <w:rFonts w:cs="Arial"/>
          <w:szCs w:val="20"/>
        </w:rPr>
        <w:t xml:space="preserve"> </w:t>
      </w:r>
      <w:r w:rsidRPr="00EE0896">
        <w:rPr>
          <w:rFonts w:cs="Arial"/>
          <w:szCs w:val="20"/>
        </w:rPr>
        <w:t>Pravidelně</w:t>
      </w:r>
      <w:r w:rsidRPr="00897F81">
        <w:rPr>
          <w:rFonts w:cs="Arial"/>
          <w:szCs w:val="20"/>
        </w:rPr>
        <w:t xml:space="preserve"> informovat</w:t>
      </w:r>
      <w:r w:rsidRPr="00EE0896">
        <w:rPr>
          <w:rFonts w:cs="Arial"/>
          <w:szCs w:val="20"/>
        </w:rPr>
        <w:t xml:space="preserve"> zaměstnance Úřadu práce ČR o zvláštních pomůckách, na které </w:t>
      </w:r>
      <w:r>
        <w:rPr>
          <w:rFonts w:cs="Arial"/>
          <w:szCs w:val="20"/>
        </w:rPr>
        <w:t>lze poskytnout</w:t>
      </w:r>
      <w:r w:rsidRPr="00EE0896">
        <w:rPr>
          <w:rFonts w:cs="Arial"/>
          <w:szCs w:val="20"/>
        </w:rPr>
        <w:t xml:space="preserve"> příspěvek</w:t>
      </w:r>
      <w:r>
        <w:rPr>
          <w:rFonts w:cs="Arial"/>
          <w:szCs w:val="20"/>
        </w:rPr>
        <w:t xml:space="preserve"> na zvláštní pomůcku</w:t>
      </w:r>
      <w:r w:rsidRPr="00EE0896">
        <w:rPr>
          <w:rFonts w:cs="Arial"/>
          <w:szCs w:val="20"/>
        </w:rPr>
        <w:t xml:space="preserve">. </w:t>
      </w:r>
    </w:p>
    <w:p w14:paraId="1F79E3D7" w14:textId="77777777" w:rsidR="00F17E74" w:rsidRPr="00E50CB5" w:rsidRDefault="00F17E74" w:rsidP="00C65D0A">
      <w:pPr>
        <w:rPr>
          <w:rFonts w:cs="Arial"/>
          <w:szCs w:val="20"/>
        </w:rPr>
      </w:pPr>
      <w:r w:rsidRPr="00E50CB5">
        <w:rPr>
          <w:rFonts w:cs="Arial"/>
          <w:szCs w:val="20"/>
        </w:rPr>
        <w:t>Termín: průběžně</w:t>
      </w:r>
    </w:p>
    <w:p w14:paraId="22267338" w14:textId="77777777" w:rsidR="00F17E74" w:rsidRDefault="00F17E74" w:rsidP="00C65D0A">
      <w:pPr>
        <w:rPr>
          <w:rFonts w:cs="Arial"/>
          <w:szCs w:val="20"/>
        </w:rPr>
      </w:pPr>
      <w:r w:rsidRPr="00E50CB5">
        <w:rPr>
          <w:rFonts w:cs="Arial"/>
          <w:szCs w:val="20"/>
        </w:rPr>
        <w:t xml:space="preserve">Gestor: </w:t>
      </w:r>
      <w:r>
        <w:rPr>
          <w:rFonts w:cs="Arial"/>
          <w:szCs w:val="20"/>
        </w:rPr>
        <w:t>MPSV (</w:t>
      </w:r>
      <w:r w:rsidRPr="00E50CB5">
        <w:rPr>
          <w:rFonts w:cs="Arial"/>
          <w:szCs w:val="20"/>
        </w:rPr>
        <w:t>ÚP</w:t>
      </w:r>
      <w:r>
        <w:rPr>
          <w:rFonts w:cs="Arial"/>
          <w:szCs w:val="20"/>
        </w:rPr>
        <w:t>)</w:t>
      </w:r>
    </w:p>
    <w:p w14:paraId="381EE317" w14:textId="1833060B" w:rsidR="00F17E74" w:rsidRDefault="00F17E74" w:rsidP="00C65D0A">
      <w:pPr>
        <w:rPr>
          <w:rFonts w:cs="Arial"/>
          <w:szCs w:val="20"/>
        </w:rPr>
      </w:pPr>
      <w:r w:rsidRPr="00460C56">
        <w:rPr>
          <w:rFonts w:cs="Arial"/>
          <w:szCs w:val="20"/>
        </w:rPr>
        <w:t>Indikátor:</w:t>
      </w:r>
      <w:r>
        <w:rPr>
          <w:rFonts w:cs="Arial"/>
          <w:szCs w:val="20"/>
        </w:rPr>
        <w:t xml:space="preserve"> Zaměstnanci </w:t>
      </w:r>
      <w:r w:rsidRPr="00EE0896">
        <w:rPr>
          <w:rFonts w:cs="Arial"/>
          <w:szCs w:val="20"/>
        </w:rPr>
        <w:t xml:space="preserve">Úřadu práce ČR </w:t>
      </w:r>
      <w:r>
        <w:rPr>
          <w:rFonts w:cs="Arial"/>
          <w:szCs w:val="20"/>
        </w:rPr>
        <w:t xml:space="preserve">jsou metodicky vedeni či proškolováni </w:t>
      </w:r>
      <w:r w:rsidRPr="00EE0896">
        <w:rPr>
          <w:rFonts w:cs="Arial"/>
          <w:szCs w:val="20"/>
        </w:rPr>
        <w:t xml:space="preserve">o zvláštních pomůckách, na které </w:t>
      </w:r>
      <w:r>
        <w:rPr>
          <w:rFonts w:cs="Arial"/>
          <w:szCs w:val="20"/>
        </w:rPr>
        <w:t>lze poskytnout</w:t>
      </w:r>
      <w:r w:rsidRPr="00EE0896">
        <w:rPr>
          <w:rFonts w:cs="Arial"/>
          <w:szCs w:val="20"/>
        </w:rPr>
        <w:t xml:space="preserve"> příspěvek</w:t>
      </w:r>
      <w:r>
        <w:rPr>
          <w:rFonts w:cs="Arial"/>
          <w:szCs w:val="20"/>
        </w:rPr>
        <w:t xml:space="preserve"> na zvláštní pomůcku</w:t>
      </w:r>
      <w:r w:rsidRPr="00EE0896">
        <w:rPr>
          <w:rFonts w:cs="Arial"/>
          <w:szCs w:val="20"/>
        </w:rPr>
        <w:t>.</w:t>
      </w:r>
    </w:p>
    <w:p w14:paraId="787B8A3E" w14:textId="77777777" w:rsidR="00C65D0A" w:rsidRPr="004D21D5" w:rsidRDefault="00C65D0A" w:rsidP="004D21D5">
      <w:pPr>
        <w:rPr>
          <w:rFonts w:cs="Arial"/>
          <w:sz w:val="20"/>
          <w:szCs w:val="20"/>
        </w:rPr>
      </w:pPr>
    </w:p>
    <w:p w14:paraId="5F00A3BF" w14:textId="5124C3EE" w:rsidR="002D61D8" w:rsidRPr="00050B1E" w:rsidRDefault="002D61D8" w:rsidP="004D21D5">
      <w:pPr>
        <w:keepNext/>
        <w:tabs>
          <w:tab w:val="left" w:pos="720"/>
        </w:tabs>
        <w:rPr>
          <w:rFonts w:cs="Arial"/>
          <w:b/>
          <w:bCs/>
          <w:sz w:val="20"/>
          <w:szCs w:val="20"/>
          <w:lang w:eastAsia="cs-CZ"/>
        </w:rPr>
      </w:pPr>
      <w:r w:rsidRPr="00050B1E">
        <w:rPr>
          <w:rFonts w:cs="Arial"/>
          <w:b/>
          <w:bCs/>
          <w:sz w:val="20"/>
          <w:szCs w:val="20"/>
          <w:lang w:eastAsia="cs-CZ"/>
        </w:rPr>
        <w:t>PLNĚNÍ MPSV:</w:t>
      </w:r>
    </w:p>
    <w:p w14:paraId="0A7D67BE" w14:textId="5F5E52CE" w:rsidR="00050B1E" w:rsidRPr="00050B1E" w:rsidRDefault="00050B1E" w:rsidP="00050B1E">
      <w:pPr>
        <w:rPr>
          <w:rFonts w:cs="Arial"/>
          <w:bCs/>
          <w:sz w:val="20"/>
          <w:szCs w:val="20"/>
          <w:highlight w:val="yellow"/>
        </w:rPr>
      </w:pPr>
      <w:r w:rsidRPr="00050B1E">
        <w:rPr>
          <w:rFonts w:cs="Arial"/>
          <w:bCs/>
          <w:sz w:val="20"/>
          <w:szCs w:val="20"/>
        </w:rPr>
        <w:t>Generální ředitelství ÚP ČR organizuje metodické workshopy, přičemž v oblasti dávek pro osoby se ZP se tyto workshopy věnují také problematice „pomůcek“. Generální ředitelství ÚP ČR taktéž vydává „Měsíčník dotazů a odpovědí“; i v něm se dle aktuální potřeby věnuje pozornost dané tématice. Samozřejmostí jsou i ad hoc konzultace k jednotlivým otázkám/řízením. V roce 2023 se MPSV věnovalo přednostně v rámci metodického řízení otázce „dodatečné úpravy motorového vozidla“.</w:t>
      </w:r>
    </w:p>
    <w:p w14:paraId="513ACCFA" w14:textId="23D7A811" w:rsidR="002D61D8" w:rsidRPr="00050B1E" w:rsidRDefault="002D61D8" w:rsidP="004D21D5">
      <w:pPr>
        <w:keepNext/>
        <w:tabs>
          <w:tab w:val="left" w:pos="720"/>
        </w:tabs>
        <w:rPr>
          <w:rFonts w:cs="Arial"/>
          <w:b/>
          <w:bCs/>
          <w:sz w:val="20"/>
          <w:szCs w:val="20"/>
          <w:lang w:eastAsia="cs-CZ"/>
        </w:rPr>
      </w:pPr>
      <w:r w:rsidRPr="00050B1E">
        <w:rPr>
          <w:rFonts w:cs="Arial"/>
          <w:b/>
          <w:bCs/>
          <w:sz w:val="20"/>
          <w:szCs w:val="20"/>
          <w:lang w:eastAsia="cs-CZ"/>
        </w:rPr>
        <w:t>STANOVISKO K PLNĚNÍ:</w:t>
      </w:r>
      <w:r w:rsidR="00741449" w:rsidRPr="00050B1E">
        <w:rPr>
          <w:rFonts w:cs="Arial"/>
          <w:b/>
          <w:bCs/>
          <w:sz w:val="20"/>
          <w:szCs w:val="20"/>
          <w:lang w:eastAsia="cs-CZ"/>
        </w:rPr>
        <w:t xml:space="preserve"> Plněno.</w:t>
      </w:r>
    </w:p>
    <w:p w14:paraId="7DF96752" w14:textId="77777777" w:rsidR="002D61D8" w:rsidRPr="004D21D5" w:rsidRDefault="002D61D8" w:rsidP="004D21D5">
      <w:pPr>
        <w:rPr>
          <w:rFonts w:cs="Arial"/>
          <w:sz w:val="20"/>
          <w:szCs w:val="20"/>
        </w:rPr>
      </w:pPr>
    </w:p>
    <w:p w14:paraId="13FAC898" w14:textId="77777777" w:rsidR="00F17E74" w:rsidRPr="000D3EDE" w:rsidRDefault="00F17E74" w:rsidP="00F17E74">
      <w:pPr>
        <w:rPr>
          <w:rFonts w:cs="Arial"/>
          <w:szCs w:val="20"/>
        </w:rPr>
      </w:pPr>
      <w:r w:rsidRPr="0035060D">
        <w:rPr>
          <w:rFonts w:cs="Arial"/>
          <w:bCs/>
          <w:szCs w:val="20"/>
        </w:rPr>
        <w:t xml:space="preserve">Opatření </w:t>
      </w:r>
      <w:r>
        <w:rPr>
          <w:rFonts w:cs="Arial"/>
          <w:bCs/>
          <w:szCs w:val="20"/>
        </w:rPr>
        <w:t>5</w:t>
      </w:r>
      <w:r>
        <w:rPr>
          <w:rFonts w:cs="Arial"/>
          <w:szCs w:val="20"/>
        </w:rPr>
        <w:t>.5.</w:t>
      </w:r>
      <w:r w:rsidR="00853695">
        <w:rPr>
          <w:rFonts w:cs="Arial"/>
          <w:szCs w:val="20"/>
        </w:rPr>
        <w:t>3</w:t>
      </w:r>
      <w:r>
        <w:rPr>
          <w:rFonts w:cs="Arial"/>
          <w:szCs w:val="20"/>
        </w:rPr>
        <w:t xml:space="preserve"> </w:t>
      </w:r>
      <w:r w:rsidRPr="000D3EDE">
        <w:rPr>
          <w:rFonts w:cs="Arial"/>
          <w:szCs w:val="20"/>
        </w:rPr>
        <w:t>Podporovat finanční dostupnost zdravotnických prostředků pro osoby se</w:t>
      </w:r>
      <w:r w:rsidR="00251C70">
        <w:rPr>
          <w:rFonts w:cs="Arial"/>
          <w:szCs w:val="20"/>
        </w:rPr>
        <w:t> </w:t>
      </w:r>
      <w:r w:rsidRPr="000D3EDE">
        <w:rPr>
          <w:rFonts w:cs="Arial"/>
          <w:szCs w:val="20"/>
        </w:rPr>
        <w:t xml:space="preserve">zdravotním postižením. </w:t>
      </w:r>
    </w:p>
    <w:p w14:paraId="16EE1D87" w14:textId="77777777" w:rsidR="00F17E74" w:rsidRPr="000D3EDE" w:rsidRDefault="00F17E74" w:rsidP="00F17E74">
      <w:pPr>
        <w:rPr>
          <w:rFonts w:cs="Arial"/>
          <w:szCs w:val="20"/>
        </w:rPr>
      </w:pPr>
      <w:r w:rsidRPr="000D3EDE">
        <w:rPr>
          <w:rFonts w:cs="Arial"/>
          <w:szCs w:val="20"/>
        </w:rPr>
        <w:t>Termín: průběžně</w:t>
      </w:r>
    </w:p>
    <w:p w14:paraId="47EF8142" w14:textId="77777777" w:rsidR="00F17E74" w:rsidRPr="000D3EDE" w:rsidRDefault="00F17E74" w:rsidP="00F17E74">
      <w:pPr>
        <w:rPr>
          <w:rFonts w:cs="Arial"/>
          <w:szCs w:val="20"/>
        </w:rPr>
      </w:pPr>
      <w:r w:rsidRPr="000D3EDE">
        <w:rPr>
          <w:rFonts w:cs="Arial"/>
          <w:szCs w:val="20"/>
        </w:rPr>
        <w:t>Gestor: MZ</w:t>
      </w:r>
    </w:p>
    <w:p w14:paraId="4A3EAA2D" w14:textId="7AE5CBB2" w:rsidR="00F17E74" w:rsidRDefault="00F17E74" w:rsidP="00BF46CD">
      <w:pPr>
        <w:rPr>
          <w:rFonts w:cs="Arial"/>
          <w:szCs w:val="20"/>
        </w:rPr>
      </w:pPr>
      <w:r w:rsidRPr="00460C56">
        <w:rPr>
          <w:rFonts w:cs="Arial"/>
          <w:szCs w:val="20"/>
        </w:rPr>
        <w:t>Indikátor:</w:t>
      </w:r>
      <w:r w:rsidRPr="007A148F">
        <w:rPr>
          <w:rFonts w:cs="Arial"/>
          <w:szCs w:val="20"/>
        </w:rPr>
        <w:t xml:space="preserve"> </w:t>
      </w:r>
      <w:r w:rsidRPr="00592D77">
        <w:rPr>
          <w:rFonts w:cs="Arial"/>
          <w:szCs w:val="20"/>
        </w:rPr>
        <w:t xml:space="preserve">Existuje pravidelná finanční podpora </w:t>
      </w:r>
      <w:r>
        <w:rPr>
          <w:rFonts w:cs="Arial"/>
          <w:szCs w:val="20"/>
        </w:rPr>
        <w:t>zdravotních prostředků ze systému veřejného zdravotního pojištění</w:t>
      </w:r>
      <w:r w:rsidRPr="00592D77">
        <w:rPr>
          <w:rFonts w:cs="Arial"/>
          <w:szCs w:val="20"/>
        </w:rPr>
        <w:t>.</w:t>
      </w:r>
    </w:p>
    <w:p w14:paraId="5CC474B5" w14:textId="77777777" w:rsidR="00BF46CD" w:rsidRPr="00B73D1F" w:rsidRDefault="00BF46CD" w:rsidP="004C76E1">
      <w:pPr>
        <w:rPr>
          <w:rFonts w:cs="Arial"/>
          <w:sz w:val="20"/>
          <w:szCs w:val="20"/>
        </w:rPr>
      </w:pPr>
    </w:p>
    <w:p w14:paraId="0D391B48" w14:textId="61FD0F9B" w:rsidR="00E61E99" w:rsidRPr="009E6C30" w:rsidRDefault="00E61E99" w:rsidP="009E6C30">
      <w:pPr>
        <w:tabs>
          <w:tab w:val="left" w:pos="720"/>
        </w:tabs>
        <w:rPr>
          <w:rFonts w:cs="Arial"/>
          <w:b/>
          <w:bCs/>
          <w:sz w:val="20"/>
          <w:szCs w:val="20"/>
          <w:lang w:eastAsia="cs-CZ"/>
        </w:rPr>
      </w:pPr>
      <w:r w:rsidRPr="009E6C30">
        <w:rPr>
          <w:rFonts w:cs="Arial"/>
          <w:b/>
          <w:bCs/>
          <w:sz w:val="20"/>
          <w:szCs w:val="20"/>
          <w:lang w:eastAsia="cs-CZ"/>
        </w:rPr>
        <w:t>PLNĚNÍ MZ:</w:t>
      </w:r>
    </w:p>
    <w:p w14:paraId="54F9F67C" w14:textId="77777777" w:rsidR="009E6C30" w:rsidRPr="009E6C30" w:rsidRDefault="009E6C30" w:rsidP="008263CB">
      <w:pPr>
        <w:pStyle w:val="Odstavecseseznamem"/>
        <w:numPr>
          <w:ilvl w:val="0"/>
          <w:numId w:val="36"/>
        </w:numPr>
        <w:rPr>
          <w:rFonts w:cs="Arial"/>
          <w:color w:val="000000" w:themeColor="text1"/>
          <w:sz w:val="20"/>
          <w:szCs w:val="20"/>
        </w:rPr>
      </w:pPr>
      <w:r w:rsidRPr="009E6C30">
        <w:rPr>
          <w:rFonts w:cs="Arial"/>
          <w:color w:val="000000" w:themeColor="text1"/>
          <w:sz w:val="20"/>
          <w:szCs w:val="20"/>
        </w:rPr>
        <w:t xml:space="preserve">Do systému úhrad zdravotnických prostředků na poukaz byly pro trvale zdravotně postižené pacienty v rámci přípravy nového zákona o úhradách zdravotnických prostředků zařazeny zdravotnické prostředky s kompenzační funkcí (dříve tzv. bílý program). </w:t>
      </w:r>
    </w:p>
    <w:p w14:paraId="1471D009" w14:textId="77777777" w:rsidR="009E6C30" w:rsidRPr="009E6C30" w:rsidRDefault="009E6C30" w:rsidP="008263CB">
      <w:pPr>
        <w:pStyle w:val="Odstavecseseznamem"/>
        <w:numPr>
          <w:ilvl w:val="0"/>
          <w:numId w:val="36"/>
        </w:numPr>
        <w:rPr>
          <w:rFonts w:cs="Arial"/>
          <w:color w:val="000000" w:themeColor="text1"/>
          <w:sz w:val="20"/>
          <w:szCs w:val="20"/>
        </w:rPr>
      </w:pPr>
      <w:r w:rsidRPr="009E6C30">
        <w:rPr>
          <w:rFonts w:cs="Arial"/>
          <w:color w:val="000000" w:themeColor="text1"/>
          <w:sz w:val="20"/>
          <w:szCs w:val="20"/>
        </w:rPr>
        <w:t>Zároveň je v rámci novely zákona o veřejném zdravotním pojištění připravován návrh, jak umožnit úhradu těchto pomůcek, které nejsou zdravotnickými prostředky, z tzv. fondů prevence, které mají za povinnost vytvářet zdravotní pojišťovny;</w:t>
      </w:r>
    </w:p>
    <w:p w14:paraId="6D46ACB4" w14:textId="2ED722A3" w:rsidR="009E6C30" w:rsidRPr="009E6C30" w:rsidRDefault="009E6C30" w:rsidP="008263CB">
      <w:pPr>
        <w:pStyle w:val="Odstavecseseznamem"/>
        <w:numPr>
          <w:ilvl w:val="0"/>
          <w:numId w:val="36"/>
        </w:numPr>
        <w:rPr>
          <w:rFonts w:cs="Arial"/>
          <w:color w:val="000000" w:themeColor="text1"/>
          <w:sz w:val="20"/>
          <w:szCs w:val="20"/>
        </w:rPr>
      </w:pPr>
      <w:r w:rsidRPr="009E6C30">
        <w:rPr>
          <w:rFonts w:cs="Arial"/>
          <w:color w:val="000000" w:themeColor="text1"/>
          <w:sz w:val="20"/>
          <w:szCs w:val="20"/>
        </w:rPr>
        <w:t>Pod záštitou MZ je připravován návrh na zařazení nozderních výztuh nutných při péči o děti s rozštěpovou vadou do systému úhrad z veřejného zdravotního pojištění, a to v rámci skupiny nekategorizovaných ZP se 100</w:t>
      </w:r>
      <w:r w:rsidR="00DD5DEE">
        <w:rPr>
          <w:rFonts w:cs="Arial"/>
          <w:color w:val="000000" w:themeColor="text1"/>
          <w:sz w:val="20"/>
          <w:szCs w:val="20"/>
        </w:rPr>
        <w:t xml:space="preserve"> </w:t>
      </w:r>
      <w:r w:rsidRPr="009E6C30">
        <w:rPr>
          <w:rFonts w:cs="Arial"/>
          <w:color w:val="000000" w:themeColor="text1"/>
          <w:sz w:val="20"/>
          <w:szCs w:val="20"/>
        </w:rPr>
        <w:t>% úhradou;</w:t>
      </w:r>
    </w:p>
    <w:p w14:paraId="4B5C6183" w14:textId="77777777" w:rsidR="009E6C30" w:rsidRPr="009E6C30" w:rsidRDefault="009E6C30" w:rsidP="008263CB">
      <w:pPr>
        <w:pStyle w:val="Odstavecseseznamem"/>
        <w:numPr>
          <w:ilvl w:val="0"/>
          <w:numId w:val="36"/>
        </w:numPr>
        <w:rPr>
          <w:rFonts w:cs="Arial"/>
          <w:color w:val="000000" w:themeColor="text1"/>
          <w:sz w:val="20"/>
          <w:szCs w:val="20"/>
        </w:rPr>
      </w:pPr>
      <w:r w:rsidRPr="009E6C30">
        <w:rPr>
          <w:rFonts w:cs="Arial"/>
          <w:color w:val="000000" w:themeColor="text1"/>
          <w:sz w:val="20"/>
          <w:szCs w:val="20"/>
        </w:rPr>
        <w:t>MZ připravuje analýzu úhradových skupin, pro něž dlouhodobě není na trhu k dispozici žádný výrobek, který by byl zdravotnickým prostředkem. Takové úhradové skupiny by v případě souhlasu Komise pro kategorizaci a úhradovou regulaci zdravotnických prostředků byly vyřazeny z kategorizačního stromu a pacienti by následně mohli žádat o příspěvek na zvláštní pomůcku na Úřadu práce a očekávat konzistentní kladné zpracování této žádosti. Konkrétně se jedná např. o lékařské mluvící teploměry pro nevidomé;</w:t>
      </w:r>
    </w:p>
    <w:p w14:paraId="3215BCA0" w14:textId="77777777" w:rsidR="009E6C30" w:rsidRPr="009E6C30" w:rsidRDefault="009E6C30" w:rsidP="008263CB">
      <w:pPr>
        <w:pStyle w:val="Odstavecseseznamem"/>
        <w:numPr>
          <w:ilvl w:val="0"/>
          <w:numId w:val="36"/>
        </w:numPr>
        <w:rPr>
          <w:rFonts w:cs="Arial"/>
          <w:color w:val="000000" w:themeColor="text1"/>
          <w:sz w:val="20"/>
          <w:szCs w:val="20"/>
        </w:rPr>
      </w:pPr>
      <w:r w:rsidRPr="009E6C30">
        <w:rPr>
          <w:rFonts w:cs="Arial"/>
          <w:color w:val="000000" w:themeColor="text1"/>
          <w:sz w:val="20"/>
          <w:szCs w:val="20"/>
        </w:rPr>
        <w:lastRenderedPageBreak/>
        <w:t>MZ přijalo výzvu zabývat se konkrétními podněty o (ne)dostupnosti vhodných zdravotnických prostředků pro děti s těžkým zdravotním postižením, které byly vzneseny na zasedání Vládního výboru pro osoby se zdravotním postižením dne 3. října 2023 za účasti zástupce oddělení zdravotnických prostředků a cenové a úhradové regulace MZ. Dne 30. ledna 2024 proběhlo na MZ jednání k této problematice, kde byli přítomni zástupci MZ, pacientských organizací, VVOZP, NRZP ČR, zdravotních pojišťoven a některých členů Komise pro kategorizaci a úhradovou regulaci zdravotnických prostředků, která je poradním orgánem MZ pro oblast podmínek úhrad zdravotnických prostředků hrazených poukaz. Cílem těchto jednání je vytvořit podmínky pro zpracování konkrétních návrhů této Komisi;</w:t>
      </w:r>
    </w:p>
    <w:p w14:paraId="4F118DE1" w14:textId="0975F21C" w:rsidR="009E6C30" w:rsidRPr="009E6C30" w:rsidRDefault="009E6C30" w:rsidP="008263CB">
      <w:pPr>
        <w:pStyle w:val="Odstavecseseznamem"/>
        <w:numPr>
          <w:ilvl w:val="0"/>
          <w:numId w:val="36"/>
        </w:numPr>
        <w:rPr>
          <w:rFonts w:cs="Arial"/>
          <w:color w:val="000000" w:themeColor="text1"/>
          <w:sz w:val="20"/>
          <w:szCs w:val="20"/>
        </w:rPr>
      </w:pPr>
      <w:r w:rsidRPr="009E6C30">
        <w:rPr>
          <w:rFonts w:cs="Arial"/>
          <w:color w:val="000000" w:themeColor="text1"/>
          <w:sz w:val="20"/>
          <w:szCs w:val="20"/>
        </w:rPr>
        <w:t>Pod záštitou MZ a předsedy Komise pro kategorizaci a úhradovou regulaci zdravotnických prostředků proběhla úspěšně jednání o návrhu výše a podmínek úhrady glukózových senzorů pro diabetiky jiného než prvního typu (jde kromě DM II. typu ještě o další, vzácnější, onemocnění pankreatu).</w:t>
      </w:r>
    </w:p>
    <w:p w14:paraId="1D8AA95B" w14:textId="11801900" w:rsidR="00E61E99" w:rsidRPr="009E6C30" w:rsidRDefault="00E61E99" w:rsidP="009E6C30">
      <w:pPr>
        <w:keepNext/>
        <w:tabs>
          <w:tab w:val="left" w:pos="720"/>
        </w:tabs>
        <w:rPr>
          <w:rFonts w:cs="Arial"/>
          <w:b/>
          <w:bCs/>
          <w:sz w:val="20"/>
          <w:szCs w:val="20"/>
          <w:lang w:eastAsia="cs-CZ"/>
        </w:rPr>
      </w:pPr>
      <w:r w:rsidRPr="009E6C30">
        <w:rPr>
          <w:rFonts w:cs="Arial"/>
          <w:b/>
          <w:bCs/>
          <w:sz w:val="20"/>
          <w:szCs w:val="20"/>
          <w:lang w:eastAsia="cs-CZ"/>
        </w:rPr>
        <w:t>STANOVISKO K PLNĚNÍ:</w:t>
      </w:r>
      <w:r w:rsidR="00D2617E" w:rsidRPr="009E6C30">
        <w:rPr>
          <w:rFonts w:cs="Arial"/>
          <w:b/>
          <w:bCs/>
          <w:sz w:val="20"/>
          <w:szCs w:val="20"/>
          <w:lang w:eastAsia="cs-CZ"/>
        </w:rPr>
        <w:t xml:space="preserve"> </w:t>
      </w:r>
      <w:r w:rsidR="00D2617E" w:rsidRPr="009E6C30">
        <w:rPr>
          <w:rFonts w:cs="Arial"/>
          <w:b/>
          <w:sz w:val="20"/>
          <w:szCs w:val="20"/>
        </w:rPr>
        <w:t>Plněno.</w:t>
      </w:r>
    </w:p>
    <w:p w14:paraId="2F9BFEAE" w14:textId="77777777" w:rsidR="00E61E99" w:rsidRPr="00B73D1F" w:rsidRDefault="00E61E99" w:rsidP="004C76E1">
      <w:pPr>
        <w:rPr>
          <w:rFonts w:cs="Arial"/>
          <w:sz w:val="20"/>
          <w:szCs w:val="20"/>
        </w:rPr>
      </w:pPr>
    </w:p>
    <w:p w14:paraId="61135B16" w14:textId="77777777" w:rsidR="00F17E74" w:rsidRPr="0035060D" w:rsidRDefault="00F17E74" w:rsidP="00F17E74">
      <w:pPr>
        <w:rPr>
          <w:rFonts w:cs="Arial"/>
          <w:szCs w:val="20"/>
        </w:rPr>
      </w:pPr>
      <w:r w:rsidRPr="0035060D">
        <w:rPr>
          <w:rFonts w:cs="Arial"/>
          <w:bCs/>
          <w:szCs w:val="20"/>
        </w:rPr>
        <w:t xml:space="preserve">Opatření </w:t>
      </w:r>
      <w:r>
        <w:rPr>
          <w:rFonts w:cs="Arial"/>
          <w:bCs/>
          <w:szCs w:val="20"/>
        </w:rPr>
        <w:t>5</w:t>
      </w:r>
      <w:r>
        <w:rPr>
          <w:rFonts w:cs="Arial"/>
          <w:szCs w:val="20"/>
        </w:rPr>
        <w:t>.5.</w:t>
      </w:r>
      <w:r w:rsidR="00853695">
        <w:rPr>
          <w:rFonts w:cs="Arial"/>
          <w:szCs w:val="20"/>
        </w:rPr>
        <w:t>4</w:t>
      </w:r>
      <w:r>
        <w:rPr>
          <w:rFonts w:cs="Arial"/>
          <w:szCs w:val="20"/>
        </w:rPr>
        <w:t xml:space="preserve"> </w:t>
      </w:r>
      <w:r w:rsidRPr="0035060D">
        <w:rPr>
          <w:rFonts w:cs="Arial"/>
          <w:szCs w:val="20"/>
        </w:rPr>
        <w:t xml:space="preserve">Podporovat vývoj </w:t>
      </w:r>
      <w:r>
        <w:rPr>
          <w:rFonts w:cs="Arial"/>
          <w:szCs w:val="20"/>
        </w:rPr>
        <w:t xml:space="preserve">a výrobu kompenzačních pomůcek a </w:t>
      </w:r>
      <w:r w:rsidRPr="0035060D">
        <w:rPr>
          <w:rFonts w:cs="Arial"/>
          <w:szCs w:val="20"/>
        </w:rPr>
        <w:t xml:space="preserve">zdravotnických prostředků </w:t>
      </w:r>
      <w:r>
        <w:rPr>
          <w:rFonts w:cs="Arial"/>
          <w:szCs w:val="20"/>
        </w:rPr>
        <w:t>pro </w:t>
      </w:r>
      <w:r w:rsidRPr="0035060D">
        <w:rPr>
          <w:rFonts w:cs="Arial"/>
          <w:szCs w:val="20"/>
        </w:rPr>
        <w:t xml:space="preserve">osoby se zdravotním postižením zejména </w:t>
      </w:r>
      <w:r>
        <w:rPr>
          <w:rFonts w:cs="Arial"/>
          <w:szCs w:val="20"/>
        </w:rPr>
        <w:t>prostřednictvím</w:t>
      </w:r>
      <w:r w:rsidRPr="0035060D">
        <w:rPr>
          <w:rFonts w:cs="Arial"/>
          <w:szCs w:val="20"/>
        </w:rPr>
        <w:t xml:space="preserve"> fina</w:t>
      </w:r>
      <w:r>
        <w:rPr>
          <w:rFonts w:cs="Arial"/>
          <w:szCs w:val="20"/>
        </w:rPr>
        <w:t xml:space="preserve">nčních prostředků z fondů EU.  </w:t>
      </w:r>
    </w:p>
    <w:p w14:paraId="3E9A338F" w14:textId="77777777" w:rsidR="00F17E74" w:rsidRPr="0035060D" w:rsidRDefault="00F17E74" w:rsidP="00F17E74">
      <w:pPr>
        <w:rPr>
          <w:rFonts w:cs="Arial"/>
          <w:szCs w:val="20"/>
        </w:rPr>
      </w:pPr>
      <w:r w:rsidRPr="0035060D">
        <w:rPr>
          <w:rFonts w:cs="Arial"/>
          <w:szCs w:val="20"/>
        </w:rPr>
        <w:t>Termín: průběžně</w:t>
      </w:r>
      <w:r>
        <w:rPr>
          <w:rFonts w:cs="Arial"/>
          <w:szCs w:val="20"/>
        </w:rPr>
        <w:t xml:space="preserve"> (konference/seminář 31. 12. 2021)</w:t>
      </w:r>
    </w:p>
    <w:p w14:paraId="3CB8C340" w14:textId="77777777" w:rsidR="00F17E74" w:rsidRPr="0035060D" w:rsidRDefault="00F17E74" w:rsidP="00F17E74">
      <w:pPr>
        <w:rPr>
          <w:rFonts w:cs="Arial"/>
          <w:szCs w:val="20"/>
        </w:rPr>
      </w:pPr>
      <w:r w:rsidRPr="0035060D">
        <w:rPr>
          <w:rFonts w:cs="Arial"/>
          <w:szCs w:val="20"/>
        </w:rPr>
        <w:t>Gestor: MPO</w:t>
      </w:r>
    </w:p>
    <w:p w14:paraId="172740F9" w14:textId="77777777" w:rsidR="00F17E74" w:rsidRPr="0035060D" w:rsidRDefault="00F17E74" w:rsidP="00F17E74">
      <w:pPr>
        <w:rPr>
          <w:rFonts w:cs="Arial"/>
          <w:szCs w:val="20"/>
        </w:rPr>
      </w:pPr>
      <w:r w:rsidRPr="0035060D">
        <w:rPr>
          <w:rFonts w:cs="Arial"/>
          <w:szCs w:val="20"/>
        </w:rPr>
        <w:t>Spolupráce: NRZP</w:t>
      </w:r>
      <w:r w:rsidR="00554197">
        <w:rPr>
          <w:rFonts w:cs="Arial"/>
          <w:szCs w:val="20"/>
        </w:rPr>
        <w:t xml:space="preserve"> ČR</w:t>
      </w:r>
    </w:p>
    <w:p w14:paraId="70FA4ABA" w14:textId="184EDA4F" w:rsidR="00990EE3" w:rsidRDefault="00F17E74" w:rsidP="008E6BDD">
      <w:pPr>
        <w:rPr>
          <w:rFonts w:cs="Arial"/>
          <w:bCs/>
          <w:szCs w:val="20"/>
        </w:rPr>
      </w:pPr>
      <w:r w:rsidRPr="0035060D">
        <w:rPr>
          <w:rFonts w:cs="Arial"/>
          <w:szCs w:val="20"/>
        </w:rPr>
        <w:t xml:space="preserve">Indikátor: </w:t>
      </w:r>
      <w:r w:rsidRPr="00A830D1">
        <w:rPr>
          <w:rFonts w:cs="Arial"/>
          <w:szCs w:val="20"/>
        </w:rPr>
        <w:t xml:space="preserve">V rámci příslušných dotačních programů z fondů EU je uvedeno, že </w:t>
      </w:r>
      <w:r w:rsidR="00BB32A1">
        <w:rPr>
          <w:rFonts w:cs="Arial"/>
          <w:szCs w:val="20"/>
        </w:rPr>
        <w:t>žadateli mohou být</w:t>
      </w:r>
      <w:r w:rsidRPr="00A830D1">
        <w:rPr>
          <w:rFonts w:cs="Arial"/>
          <w:szCs w:val="20"/>
        </w:rPr>
        <w:t xml:space="preserve"> i výrobc</w:t>
      </w:r>
      <w:r w:rsidR="00BB32A1">
        <w:rPr>
          <w:rFonts w:cs="Arial"/>
          <w:szCs w:val="20"/>
        </w:rPr>
        <w:t>i</w:t>
      </w:r>
      <w:r w:rsidRPr="00A830D1">
        <w:rPr>
          <w:rFonts w:cs="Arial"/>
          <w:szCs w:val="20"/>
        </w:rPr>
        <w:t xml:space="preserve"> </w:t>
      </w:r>
      <w:r w:rsidRPr="00A830D1">
        <w:rPr>
          <w:rFonts w:cs="Arial"/>
          <w:bCs/>
          <w:szCs w:val="20"/>
        </w:rPr>
        <w:t>kompenzačních pom</w:t>
      </w:r>
      <w:r>
        <w:rPr>
          <w:rFonts w:cs="Arial"/>
          <w:bCs/>
          <w:szCs w:val="20"/>
        </w:rPr>
        <w:t xml:space="preserve">ůcek a zdravotnických prostředků. </w:t>
      </w:r>
      <w:r w:rsidRPr="00A830D1">
        <w:rPr>
          <w:rFonts w:cs="Arial"/>
          <w:bCs/>
          <w:szCs w:val="20"/>
        </w:rPr>
        <w:t>Všechny relevantní dotační programy z fondů EU obsahují informaci, že podpořené aktivity musí splňovat principy univerzálního designu a přístupnosti. V roce 2021 se uskutečnila konference/seminář pro výrobce na téma možnosti finanční podpory z fondů EU vývoje a</w:t>
      </w:r>
      <w:r w:rsidR="0005303C">
        <w:rPr>
          <w:rFonts w:cs="Arial"/>
          <w:bCs/>
          <w:szCs w:val="20"/>
        </w:rPr>
        <w:t> </w:t>
      </w:r>
      <w:r w:rsidRPr="00A830D1">
        <w:rPr>
          <w:rFonts w:cs="Arial"/>
          <w:bCs/>
          <w:szCs w:val="20"/>
        </w:rPr>
        <w:t>výroby kompenzačních pomůcek</w:t>
      </w:r>
      <w:r>
        <w:rPr>
          <w:rFonts w:cs="Arial"/>
          <w:bCs/>
          <w:szCs w:val="20"/>
        </w:rPr>
        <w:t xml:space="preserve"> a</w:t>
      </w:r>
      <w:r w:rsidRPr="00A830D1">
        <w:rPr>
          <w:rFonts w:cs="Arial"/>
          <w:bCs/>
          <w:szCs w:val="20"/>
        </w:rPr>
        <w:t xml:space="preserve"> zdravotnických prostředků pro osoby se zdravotním postižením.</w:t>
      </w:r>
    </w:p>
    <w:p w14:paraId="2419BBA7" w14:textId="61B0CC7D" w:rsidR="00C750D3" w:rsidRPr="00714CB0" w:rsidRDefault="00C750D3" w:rsidP="004F5537">
      <w:pPr>
        <w:rPr>
          <w:rFonts w:cs="Arial"/>
          <w:bCs/>
          <w:sz w:val="20"/>
          <w:szCs w:val="20"/>
        </w:rPr>
      </w:pPr>
    </w:p>
    <w:p w14:paraId="440AC8D5" w14:textId="0BB5443C" w:rsidR="00C750D3" w:rsidRPr="00BF083D" w:rsidRDefault="00C750D3" w:rsidP="00BF083D">
      <w:pPr>
        <w:tabs>
          <w:tab w:val="left" w:pos="720"/>
        </w:tabs>
        <w:rPr>
          <w:rFonts w:cs="Arial"/>
          <w:b/>
          <w:bCs/>
          <w:sz w:val="20"/>
          <w:szCs w:val="20"/>
          <w:lang w:eastAsia="cs-CZ"/>
        </w:rPr>
      </w:pPr>
      <w:r w:rsidRPr="00BF083D">
        <w:rPr>
          <w:rFonts w:cs="Arial"/>
          <w:b/>
          <w:bCs/>
          <w:sz w:val="20"/>
          <w:szCs w:val="20"/>
          <w:lang w:eastAsia="cs-CZ"/>
        </w:rPr>
        <w:t>PLNĚNÍ MPO:</w:t>
      </w:r>
    </w:p>
    <w:p w14:paraId="1D79095D" w14:textId="77777777" w:rsidR="00BF083D" w:rsidRPr="00BF083D" w:rsidRDefault="00BF083D" w:rsidP="00BF083D">
      <w:pPr>
        <w:rPr>
          <w:rFonts w:cs="Arial"/>
          <w:sz w:val="20"/>
          <w:szCs w:val="20"/>
        </w:rPr>
      </w:pPr>
      <w:r w:rsidRPr="00BF083D">
        <w:rPr>
          <w:rFonts w:cs="Arial"/>
          <w:sz w:val="20"/>
          <w:szCs w:val="20"/>
        </w:rPr>
        <w:t xml:space="preserve">V Operačním programu Technologie a aplikace pro konkurenceschopnost (2021-2027) je v Základních podmínkách stanoveno provádění Úmluvy OSN o právech osob se zdravotním pojištěním v souladu s Rozhodnutím Rady 2010/8/ES. Uvedená podmínka se vztahuje na všechny specifické cíle Evropského fondu pro regionální rozvoj (EFRR). </w:t>
      </w:r>
    </w:p>
    <w:p w14:paraId="4768F8BF" w14:textId="77777777" w:rsidR="00BF083D" w:rsidRPr="00BF083D" w:rsidRDefault="00BF083D" w:rsidP="00BF083D">
      <w:pPr>
        <w:rPr>
          <w:rFonts w:cs="Arial"/>
          <w:sz w:val="20"/>
          <w:szCs w:val="20"/>
        </w:rPr>
      </w:pPr>
      <w:r w:rsidRPr="00BF083D">
        <w:rPr>
          <w:rFonts w:cs="Arial"/>
          <w:sz w:val="20"/>
          <w:szCs w:val="20"/>
        </w:rPr>
        <w:t>OP TAK umožňuje podporovat široký okruh podnikatelů dle klasifikace CZ NACE. Pravidla veřejné podpory neumožňují MPO jako Řídícímu orgánu operačního programu (dále jen „ŘO“) podporovat odvětví zpracovatelského průmyslu a služeb selektivně. Z toho vyplývá, že mezi příjemci mohou být tedy i výrobci kompenzačních a zdravotnických prostředků. Relevantní seznamy podporovaných CZ NACE jsou přílohou konkrétních výzev, které jsou pro podporu vyhlašovány, čímž ŘO splňuje podmínku, že takoví žadatelé mohou být příjemci intervencí.</w:t>
      </w:r>
    </w:p>
    <w:p w14:paraId="44075DB4" w14:textId="7D8D2EE9" w:rsidR="00BF083D" w:rsidRPr="00BF083D" w:rsidRDefault="00BF083D" w:rsidP="00BF083D">
      <w:pPr>
        <w:rPr>
          <w:rFonts w:cs="Arial"/>
          <w:sz w:val="20"/>
          <w:szCs w:val="20"/>
        </w:rPr>
      </w:pPr>
      <w:r w:rsidRPr="00BF083D">
        <w:rPr>
          <w:rFonts w:cs="Arial"/>
          <w:sz w:val="20"/>
          <w:szCs w:val="20"/>
        </w:rPr>
        <w:t xml:space="preserve">Právní předpisy a normy týkající se přístupnosti jsou řádně zohledňovány při přípravě a provádění programu. Například </w:t>
      </w:r>
      <w:hyperlink r:id="rId85" w:history="1">
        <w:r w:rsidRPr="00BF083D">
          <w:rPr>
            <w:rFonts w:cs="Arial"/>
            <w:sz w:val="20"/>
            <w:szCs w:val="20"/>
          </w:rPr>
          <w:t>Metodický pokyn Společné procesy implementace fondů EU</w:t>
        </w:r>
      </w:hyperlink>
      <w:r w:rsidRPr="00BF083D">
        <w:rPr>
          <w:rFonts w:cs="Arial"/>
          <w:sz w:val="20"/>
          <w:szCs w:val="20"/>
        </w:rPr>
        <w:t xml:space="preserve"> a pokyn</w:t>
      </w:r>
      <w:hyperlink r:id="rId86" w:history="1">
        <w:r w:rsidRPr="00BF083D">
          <w:rPr>
            <w:rFonts w:cs="Arial"/>
            <w:sz w:val="20"/>
            <w:szCs w:val="20"/>
          </w:rPr>
          <w:t xml:space="preserve"> pro způsobilost výdajů a jejich vykazování</w:t>
        </w:r>
      </w:hyperlink>
      <w:r w:rsidRPr="00BF083D">
        <w:rPr>
          <w:rFonts w:cs="Arial"/>
          <w:sz w:val="20"/>
          <w:szCs w:val="20"/>
        </w:rPr>
        <w:t xml:space="preserve"> obsahuje podmínku, že při vytváření programu a realizaci projektů musí být vždy dodrženy i podmínky přístupnosti. Zajištění naplňování podmínek přístupnosti vymezuje i Dohoda o partnerství, která ve své části Dodržování</w:t>
      </w:r>
      <w:r w:rsidR="00E30BC6">
        <w:rPr>
          <w:rFonts w:cs="Arial"/>
          <w:sz w:val="20"/>
          <w:szCs w:val="20"/>
        </w:rPr>
        <w:t xml:space="preserve"> základních práv obsahuje mj. i </w:t>
      </w:r>
      <w:r w:rsidRPr="00BF083D">
        <w:rPr>
          <w:rFonts w:cs="Arial"/>
          <w:sz w:val="20"/>
          <w:szCs w:val="20"/>
        </w:rPr>
        <w:t xml:space="preserve">závazek ČR dodržovat horizontální principy nediskriminace na základě zdravotního postižení, stejně jako zásadu přístupnosti pro </w:t>
      </w:r>
      <w:r w:rsidR="00E30BC6">
        <w:rPr>
          <w:rFonts w:cs="Arial"/>
          <w:sz w:val="20"/>
          <w:szCs w:val="20"/>
        </w:rPr>
        <w:t>osoby se zdravotním postižením.</w:t>
      </w:r>
    </w:p>
    <w:p w14:paraId="3AA18469" w14:textId="7AEB9425" w:rsidR="00C750D3" w:rsidRPr="004C2641" w:rsidRDefault="00C750D3" w:rsidP="004C2641">
      <w:pPr>
        <w:rPr>
          <w:rFonts w:cs="Arial"/>
          <w:b/>
          <w:bCs/>
          <w:sz w:val="20"/>
          <w:szCs w:val="20"/>
          <w:lang w:eastAsia="cs-CZ"/>
        </w:rPr>
      </w:pPr>
      <w:r w:rsidRPr="004C2641">
        <w:rPr>
          <w:rFonts w:cs="Arial"/>
          <w:b/>
          <w:bCs/>
          <w:sz w:val="20"/>
          <w:szCs w:val="20"/>
          <w:lang w:eastAsia="cs-CZ"/>
        </w:rPr>
        <w:t>STANOVISKO K PLNĚNÍ</w:t>
      </w:r>
      <w:r w:rsidRPr="00FB467D">
        <w:rPr>
          <w:rFonts w:cs="Arial"/>
          <w:b/>
          <w:bCs/>
          <w:sz w:val="20"/>
          <w:szCs w:val="20"/>
          <w:lang w:eastAsia="cs-CZ"/>
        </w:rPr>
        <w:t>:</w:t>
      </w:r>
      <w:r w:rsidR="00095AA0" w:rsidRPr="00FB467D">
        <w:rPr>
          <w:rFonts w:cs="Arial"/>
          <w:b/>
          <w:bCs/>
          <w:sz w:val="20"/>
          <w:szCs w:val="20"/>
          <w:lang w:eastAsia="cs-CZ"/>
        </w:rPr>
        <w:t xml:space="preserve"> Plněno.</w:t>
      </w:r>
    </w:p>
    <w:p w14:paraId="3A9F3B7D" w14:textId="77777777" w:rsidR="00B875B5" w:rsidRPr="004C2641" w:rsidRDefault="00B875B5" w:rsidP="004C2641">
      <w:pPr>
        <w:rPr>
          <w:rFonts w:cs="Arial"/>
          <w:sz w:val="20"/>
          <w:szCs w:val="20"/>
        </w:rPr>
      </w:pPr>
    </w:p>
    <w:p w14:paraId="6852A5BD" w14:textId="3D239038" w:rsidR="00525B2E" w:rsidRPr="004C2641" w:rsidRDefault="00525B2E" w:rsidP="004C2641">
      <w:pPr>
        <w:tabs>
          <w:tab w:val="left" w:pos="720"/>
        </w:tabs>
        <w:rPr>
          <w:rFonts w:cs="Arial"/>
          <w:b/>
          <w:bCs/>
          <w:sz w:val="20"/>
          <w:szCs w:val="20"/>
          <w:lang w:eastAsia="cs-CZ"/>
        </w:rPr>
      </w:pPr>
      <w:r w:rsidRPr="004C2641">
        <w:rPr>
          <w:rFonts w:cs="Arial"/>
          <w:b/>
          <w:bCs/>
          <w:sz w:val="20"/>
          <w:szCs w:val="20"/>
          <w:lang w:eastAsia="cs-CZ"/>
        </w:rPr>
        <w:t>PLNĚNÍ NRZP ČR:</w:t>
      </w:r>
    </w:p>
    <w:p w14:paraId="17E9FC20" w14:textId="09777B2B" w:rsidR="004C2641" w:rsidRPr="004C2641" w:rsidRDefault="004C2641" w:rsidP="004C2641">
      <w:pPr>
        <w:rPr>
          <w:rFonts w:cs="Arial"/>
          <w:bCs/>
          <w:sz w:val="20"/>
          <w:szCs w:val="20"/>
        </w:rPr>
      </w:pPr>
      <w:r w:rsidRPr="004C2641">
        <w:rPr>
          <w:rFonts w:cs="Arial"/>
          <w:bCs/>
          <w:sz w:val="20"/>
          <w:szCs w:val="20"/>
        </w:rPr>
        <w:lastRenderedPageBreak/>
        <w:t>V současné době je situace na trhu zdravotnických prostředků velmi problematická, protože Česká republika dosud nezvýšila ceny úhrad zdravotnických prostředků z veřejného zdravotního pojištění. Vůbec nereaguje na inflaci v této oblasti. Došlo pouze ke zvýš</w:t>
      </w:r>
      <w:r w:rsidR="002B7682">
        <w:rPr>
          <w:rFonts w:cs="Arial"/>
          <w:bCs/>
          <w:sz w:val="20"/>
          <w:szCs w:val="20"/>
        </w:rPr>
        <w:t>ení regulace cen u dodavatelů a </w:t>
      </w:r>
      <w:r w:rsidRPr="004C2641">
        <w:rPr>
          <w:rFonts w:cs="Arial"/>
          <w:bCs/>
          <w:sz w:val="20"/>
          <w:szCs w:val="20"/>
        </w:rPr>
        <w:t>výrobců zdravotnických prostředků, kde za rok 2023 byla regulovaná cena zvýšena, vzhledem k inflaci, o 8 %. Znamená to, že pro občana, který potřebuje zdravotnický prostředek, se může zvýšit doplatek i při úhradě z veřejného zdravotního pojištění</w:t>
      </w:r>
      <w:r w:rsidRPr="00FB467D">
        <w:rPr>
          <w:rFonts w:cs="Arial"/>
          <w:bCs/>
          <w:sz w:val="20"/>
          <w:szCs w:val="20"/>
        </w:rPr>
        <w:t>. V roce 2023 neměla NRZP ČR v této oblasti žádnou spolupráci s MPO ČR.</w:t>
      </w:r>
    </w:p>
    <w:p w14:paraId="56A1B418" w14:textId="7BAB17BA" w:rsidR="00C750D3" w:rsidRPr="004C2641" w:rsidRDefault="00CF7047" w:rsidP="004C2641">
      <w:pPr>
        <w:keepNext/>
        <w:tabs>
          <w:tab w:val="left" w:pos="720"/>
        </w:tabs>
        <w:rPr>
          <w:rFonts w:cs="Arial"/>
          <w:b/>
          <w:sz w:val="20"/>
          <w:szCs w:val="20"/>
        </w:rPr>
      </w:pPr>
      <w:r w:rsidRPr="004C2641">
        <w:rPr>
          <w:rFonts w:cs="Arial"/>
          <w:b/>
          <w:bCs/>
          <w:sz w:val="20"/>
          <w:szCs w:val="20"/>
          <w:lang w:eastAsia="cs-CZ"/>
        </w:rPr>
        <w:t>STANOVISKO K</w:t>
      </w:r>
      <w:r w:rsidR="007561DB" w:rsidRPr="004C2641">
        <w:rPr>
          <w:rFonts w:cs="Arial"/>
          <w:b/>
          <w:bCs/>
          <w:sz w:val="20"/>
          <w:szCs w:val="20"/>
          <w:lang w:eastAsia="cs-CZ"/>
        </w:rPr>
        <w:t> </w:t>
      </w:r>
      <w:r w:rsidRPr="004C2641">
        <w:rPr>
          <w:rFonts w:cs="Arial"/>
          <w:b/>
          <w:bCs/>
          <w:sz w:val="20"/>
          <w:szCs w:val="20"/>
          <w:lang w:eastAsia="cs-CZ"/>
        </w:rPr>
        <w:t>PLNĚNÍ</w:t>
      </w:r>
      <w:r w:rsidR="007561DB" w:rsidRPr="004C2641">
        <w:rPr>
          <w:rFonts w:cs="Arial"/>
          <w:b/>
          <w:bCs/>
          <w:sz w:val="20"/>
          <w:szCs w:val="20"/>
          <w:lang w:eastAsia="cs-CZ"/>
        </w:rPr>
        <w:t xml:space="preserve">: </w:t>
      </w:r>
      <w:r w:rsidR="007561DB" w:rsidRPr="00FB467D">
        <w:rPr>
          <w:rFonts w:cs="Arial"/>
          <w:b/>
          <w:bCs/>
          <w:sz w:val="20"/>
          <w:szCs w:val="20"/>
          <w:lang w:eastAsia="cs-CZ"/>
        </w:rPr>
        <w:t>P</w:t>
      </w:r>
      <w:r w:rsidR="007561DB" w:rsidRPr="00FB467D">
        <w:rPr>
          <w:rFonts w:cs="Arial"/>
          <w:b/>
          <w:sz w:val="20"/>
          <w:szCs w:val="20"/>
        </w:rPr>
        <w:t>lněno.</w:t>
      </w:r>
    </w:p>
    <w:p w14:paraId="6DBA432A" w14:textId="77777777" w:rsidR="004E6643" w:rsidRPr="007561DB" w:rsidRDefault="004E6643" w:rsidP="004F5537">
      <w:pPr>
        <w:keepNext/>
        <w:tabs>
          <w:tab w:val="left" w:pos="720"/>
        </w:tabs>
        <w:rPr>
          <w:rFonts w:cs="Arial"/>
          <w:sz w:val="20"/>
          <w:szCs w:val="20"/>
        </w:rPr>
      </w:pPr>
    </w:p>
    <w:p w14:paraId="4DD5EA5A" w14:textId="017A0AC4" w:rsidR="008A752E" w:rsidRPr="005A4F3F" w:rsidRDefault="00F17E74" w:rsidP="008F0D5B">
      <w:pPr>
        <w:rPr>
          <w:rFonts w:cs="Arial"/>
          <w:bCs/>
          <w:szCs w:val="20"/>
        </w:rPr>
      </w:pPr>
      <w:r>
        <w:rPr>
          <w:rFonts w:cs="Arial"/>
          <w:b/>
          <w:szCs w:val="20"/>
        </w:rPr>
        <w:t xml:space="preserve">5.6 </w:t>
      </w:r>
      <w:r w:rsidRPr="0057756D">
        <w:rPr>
          <w:rFonts w:cs="Arial"/>
          <w:b/>
          <w:szCs w:val="20"/>
        </w:rPr>
        <w:t xml:space="preserve">Cíl: </w:t>
      </w:r>
      <w:r>
        <w:rPr>
          <w:rFonts w:cs="Arial"/>
          <w:b/>
          <w:szCs w:val="20"/>
        </w:rPr>
        <w:t>Podpora tlumočnických služeb pro osoby</w:t>
      </w:r>
      <w:r w:rsidRPr="0047595C">
        <w:rPr>
          <w:rFonts w:cs="Arial"/>
          <w:b/>
          <w:szCs w:val="20"/>
        </w:rPr>
        <w:t xml:space="preserve"> se sluchovým postižením.</w:t>
      </w:r>
    </w:p>
    <w:p w14:paraId="3ACDAF8F" w14:textId="77777777" w:rsidR="00F17E74" w:rsidRPr="00A30C09" w:rsidRDefault="00F17E74" w:rsidP="008F0D5B">
      <w:pPr>
        <w:rPr>
          <w:rFonts w:cs="Arial"/>
        </w:rPr>
      </w:pPr>
      <w:r w:rsidRPr="0035060D">
        <w:rPr>
          <w:rFonts w:cs="Arial"/>
          <w:bCs/>
          <w:szCs w:val="20"/>
        </w:rPr>
        <w:t xml:space="preserve">Opatření </w:t>
      </w:r>
      <w:r>
        <w:rPr>
          <w:rFonts w:cs="Arial"/>
          <w:szCs w:val="20"/>
        </w:rPr>
        <w:t xml:space="preserve">5.6.3 </w:t>
      </w:r>
      <w:r w:rsidRPr="0057756D">
        <w:rPr>
          <w:rFonts w:cs="Arial"/>
          <w:szCs w:val="20"/>
        </w:rPr>
        <w:t xml:space="preserve">Podporovat vzdělávání v českém </w:t>
      </w:r>
      <w:r w:rsidRPr="00A95CBE">
        <w:rPr>
          <w:rFonts w:cs="Arial"/>
          <w:color w:val="000000" w:themeColor="text1"/>
          <w:szCs w:val="20"/>
        </w:rPr>
        <w:t xml:space="preserve">znakovém jazyce na všech stupních vzdělávací soustavy i v rámci celoživotního vzdělávání; podporovat výzkum </w:t>
      </w:r>
      <w:r w:rsidRPr="0057756D">
        <w:rPr>
          <w:rFonts w:cs="Arial"/>
          <w:szCs w:val="20"/>
        </w:rPr>
        <w:t>a popis struktury</w:t>
      </w:r>
      <w:r>
        <w:rPr>
          <w:rFonts w:cs="Arial"/>
          <w:szCs w:val="20"/>
        </w:rPr>
        <w:t xml:space="preserve"> </w:t>
      </w:r>
      <w:r w:rsidRPr="00A30C09">
        <w:rPr>
          <w:rFonts w:cs="Arial"/>
        </w:rPr>
        <w:t>českého znakového jazyka.</w:t>
      </w:r>
    </w:p>
    <w:p w14:paraId="7FD4E50D" w14:textId="77777777" w:rsidR="00F17E74" w:rsidRPr="00A30C09" w:rsidRDefault="00F17E74" w:rsidP="00F17E74">
      <w:pPr>
        <w:rPr>
          <w:rFonts w:cs="Arial"/>
        </w:rPr>
      </w:pPr>
      <w:r w:rsidRPr="00A30C09">
        <w:rPr>
          <w:rFonts w:cs="Arial"/>
        </w:rPr>
        <w:t>Termín: průběžně</w:t>
      </w:r>
    </w:p>
    <w:p w14:paraId="25641757" w14:textId="77777777" w:rsidR="00F17E74" w:rsidRPr="00A30C09" w:rsidRDefault="00F17E74" w:rsidP="00F17E74">
      <w:pPr>
        <w:rPr>
          <w:rFonts w:cs="Arial"/>
        </w:rPr>
      </w:pPr>
      <w:r w:rsidRPr="00A30C09">
        <w:rPr>
          <w:rFonts w:cs="Arial"/>
        </w:rPr>
        <w:t>Gestor: MŠMT</w:t>
      </w:r>
    </w:p>
    <w:p w14:paraId="0BE02293" w14:textId="6206F136" w:rsidR="004D7835" w:rsidRPr="00A30C09" w:rsidRDefault="00F17E74" w:rsidP="00877ABE">
      <w:pPr>
        <w:rPr>
          <w:rFonts w:cs="Arial"/>
        </w:rPr>
      </w:pPr>
      <w:r w:rsidRPr="00A30C09">
        <w:rPr>
          <w:rFonts w:cs="Arial"/>
        </w:rPr>
        <w:t xml:space="preserve">Indikátor: Byly vyhlášeny </w:t>
      </w:r>
      <w:r w:rsidR="00010185" w:rsidRPr="00A30C09">
        <w:rPr>
          <w:rFonts w:cs="Arial"/>
        </w:rPr>
        <w:t xml:space="preserve">dotační </w:t>
      </w:r>
      <w:r w:rsidRPr="00A30C09">
        <w:rPr>
          <w:rFonts w:cs="Arial"/>
        </w:rPr>
        <w:t xml:space="preserve">programy v uvedených oblastech. </w:t>
      </w:r>
      <w:bookmarkStart w:id="25" w:name="_Toc38548791"/>
      <w:bookmarkStart w:id="26" w:name="_Toc38828888"/>
    </w:p>
    <w:p w14:paraId="3F6091CA" w14:textId="77777777" w:rsidR="00877ABE" w:rsidRPr="00B95558" w:rsidRDefault="00877ABE" w:rsidP="00877ABE">
      <w:pPr>
        <w:rPr>
          <w:rFonts w:cs="Arial"/>
          <w:sz w:val="20"/>
          <w:szCs w:val="20"/>
        </w:rPr>
      </w:pPr>
    </w:p>
    <w:p w14:paraId="209482AA" w14:textId="68DE677E" w:rsidR="00AD3B0F" w:rsidRPr="001F14B9" w:rsidRDefault="00AD3B0F" w:rsidP="00877ABE">
      <w:pPr>
        <w:tabs>
          <w:tab w:val="left" w:pos="720"/>
        </w:tabs>
        <w:rPr>
          <w:rFonts w:cs="Arial"/>
          <w:b/>
          <w:bCs/>
          <w:sz w:val="20"/>
          <w:szCs w:val="20"/>
          <w:lang w:eastAsia="cs-CZ"/>
        </w:rPr>
      </w:pPr>
      <w:r w:rsidRPr="001F14B9">
        <w:rPr>
          <w:rFonts w:cs="Arial"/>
          <w:b/>
          <w:bCs/>
          <w:sz w:val="20"/>
          <w:szCs w:val="20"/>
          <w:lang w:eastAsia="cs-CZ"/>
        </w:rPr>
        <w:t>PLNĚNÍ MŠMT:</w:t>
      </w:r>
    </w:p>
    <w:p w14:paraId="1B67DC8A" w14:textId="77777777" w:rsidR="001F14B9" w:rsidRPr="001F14B9" w:rsidRDefault="001F14B9" w:rsidP="001F14B9">
      <w:pPr>
        <w:keepNext/>
        <w:rPr>
          <w:rFonts w:eastAsia="Arial" w:cs="Arial"/>
          <w:sz w:val="20"/>
          <w:szCs w:val="20"/>
        </w:rPr>
      </w:pPr>
      <w:r w:rsidRPr="001F14B9">
        <w:rPr>
          <w:rFonts w:cs="Arial"/>
          <w:sz w:val="20"/>
          <w:szCs w:val="20"/>
        </w:rPr>
        <w:t xml:space="preserve">V rámci metodické podpory NPI ČR pro učitele v tématu výuky českého znakového jazyka pro žáky se sluchovým postižením byly v roce 2023 představeny dokončené výstupy kmenové činnosti </w:t>
      </w:r>
      <w:hyperlink r:id="rId87">
        <w:r w:rsidRPr="001F14B9">
          <w:rPr>
            <w:rStyle w:val="Hypertextovodkaz"/>
            <w:rFonts w:eastAsia="Arial" w:cs="Arial"/>
            <w:sz w:val="20"/>
            <w:szCs w:val="20"/>
          </w:rPr>
          <w:t>Metodická podpora pro učitele - DIGIFOLIO (rvp.cz),</w:t>
        </w:r>
      </w:hyperlink>
      <w:r w:rsidRPr="001F14B9">
        <w:rPr>
          <w:rFonts w:cs="Arial"/>
          <w:sz w:val="20"/>
          <w:szCs w:val="20"/>
        </w:rPr>
        <w:t xml:space="preserve"> </w:t>
      </w:r>
      <w:hyperlink r:id="rId88">
        <w:r w:rsidRPr="001F14B9">
          <w:rPr>
            <w:rStyle w:val="Hypertextovodkaz"/>
            <w:rFonts w:eastAsia="Arial" w:cs="Arial"/>
            <w:sz w:val="20"/>
            <w:szCs w:val="20"/>
          </w:rPr>
          <w:t>Metodická podpora pro učitele II. - DIGIFOLIO (rvp.cz)</w:t>
        </w:r>
      </w:hyperlink>
      <w:r w:rsidRPr="001F14B9">
        <w:rPr>
          <w:rFonts w:cs="Arial"/>
          <w:sz w:val="20"/>
          <w:szCs w:val="20"/>
        </w:rPr>
        <w:t xml:space="preserve"> formou webináře určeného pro školy zřízené podle § 16 odst. 9 školského zákona. Webinář </w:t>
      </w:r>
      <w:proofErr w:type="gramStart"/>
      <w:r w:rsidRPr="001F14B9">
        <w:rPr>
          <w:rFonts w:cs="Arial"/>
          <w:sz w:val="20"/>
          <w:szCs w:val="20"/>
        </w:rPr>
        <w:t>byl zaznamenám</w:t>
      </w:r>
      <w:proofErr w:type="gramEnd"/>
      <w:r w:rsidRPr="001F14B9">
        <w:rPr>
          <w:rFonts w:cs="Arial"/>
          <w:sz w:val="20"/>
          <w:szCs w:val="20"/>
        </w:rPr>
        <w:t xml:space="preserve"> a bude zavěšen na aktualizovaném webu zapojmevsechny.cz. Záznam webináře je dostupný pro realizaci další metodické podpory.</w:t>
      </w:r>
      <w:r w:rsidRPr="001F14B9">
        <w:rPr>
          <w:rFonts w:eastAsia="Arial" w:cs="Arial"/>
          <w:sz w:val="20"/>
          <w:szCs w:val="20"/>
        </w:rPr>
        <w:t xml:space="preserve"> </w:t>
      </w:r>
    </w:p>
    <w:p w14:paraId="7A845493" w14:textId="0EFCF6CD" w:rsidR="001F14B9" w:rsidRPr="001F14B9" w:rsidRDefault="001F14B9" w:rsidP="001F14B9">
      <w:pPr>
        <w:keepNext/>
        <w:rPr>
          <w:rFonts w:eastAsiaTheme="minorEastAsia" w:cs="Arial"/>
          <w:sz w:val="20"/>
          <w:szCs w:val="20"/>
        </w:rPr>
      </w:pPr>
      <w:r w:rsidRPr="001F14B9">
        <w:rPr>
          <w:rFonts w:eastAsia="Arial" w:cs="Arial"/>
          <w:sz w:val="20"/>
          <w:szCs w:val="20"/>
        </w:rPr>
        <w:t xml:space="preserve">V roce 2023 byly dokončeny pracovní listy směřující k rozvoji sociokulturních kompetencí s jazykovou oporou v ČZJ </w:t>
      </w:r>
      <w:hyperlink r:id="rId89" w:anchor="nadpis-0">
        <w:r w:rsidRPr="001F14B9">
          <w:rPr>
            <w:rStyle w:val="Hypertextovodkaz"/>
            <w:rFonts w:eastAsia="Arial" w:cs="Arial"/>
            <w:sz w:val="20"/>
            <w:szCs w:val="20"/>
          </w:rPr>
          <w:t>3 Rozvoj sociokulturních dovedností - DIGIFOLIO (rvp.cz)</w:t>
        </w:r>
      </w:hyperlink>
      <w:r w:rsidRPr="001F14B9">
        <w:rPr>
          <w:rFonts w:eastAsia="Arial" w:cs="Arial"/>
          <w:sz w:val="20"/>
          <w:szCs w:val="20"/>
        </w:rPr>
        <w:t xml:space="preserve"> v </w:t>
      </w:r>
      <w:r w:rsidRPr="001F14B9">
        <w:rPr>
          <w:rFonts w:eastAsiaTheme="minorEastAsia" w:cs="Arial"/>
          <w:sz w:val="20"/>
          <w:szCs w:val="20"/>
        </w:rPr>
        <w:t>návaznosti na obsah publikací Výuka českého jazyka pro žáky se sluchovým postiže</w:t>
      </w:r>
      <w:r w:rsidR="002B7682">
        <w:rPr>
          <w:rFonts w:eastAsiaTheme="minorEastAsia" w:cs="Arial"/>
          <w:sz w:val="20"/>
          <w:szCs w:val="20"/>
        </w:rPr>
        <w:t>ním (1. a 2. část).  Jedná se o </w:t>
      </w:r>
      <w:r w:rsidRPr="001F14B9">
        <w:rPr>
          <w:rFonts w:eastAsiaTheme="minorEastAsia" w:cs="Arial"/>
          <w:sz w:val="20"/>
          <w:szCs w:val="20"/>
        </w:rPr>
        <w:t>inspirativní náměty pro práci s žáky se sluchovým postižením v rámci předmětu český jazyk. Prostřednictvím série pracovních listů lze u žáků upevňovat spolu s jazykovými prostředky (gramatikou), čtením a psaním také jejich sociokulturní kompetence.</w:t>
      </w:r>
      <w:r w:rsidRPr="001F14B9">
        <w:rPr>
          <w:rFonts w:eastAsia="Arial" w:cs="Arial"/>
          <w:sz w:val="20"/>
          <w:szCs w:val="20"/>
        </w:rPr>
        <w:t xml:space="preserve"> </w:t>
      </w:r>
      <w:r w:rsidRPr="001F14B9">
        <w:rPr>
          <w:rFonts w:eastAsiaTheme="minorEastAsia" w:cs="Arial"/>
          <w:sz w:val="20"/>
          <w:szCs w:val="20"/>
        </w:rPr>
        <w:t>Pracovní listy pro žáky jsou připraveny pro úrovně A0 až B1. Pro jednotlivé úrovně jsou dále dostupné metodické úvody, které podrobně popisují pedagogické koncepce předkládaných materiálů. Každý list navíc kromě pracovního listu pro žáka zahrnuje další podrobný metodický pokyn pro učitele. Některé pracovní listy jsou rozšířeny o přílohu s pomůckami pro okamžité využití.</w:t>
      </w:r>
    </w:p>
    <w:p w14:paraId="41AD7F51" w14:textId="77777777" w:rsidR="001F14B9" w:rsidRPr="001F14B9" w:rsidRDefault="001F14B9" w:rsidP="001F14B9">
      <w:pPr>
        <w:rPr>
          <w:rFonts w:cs="Arial"/>
          <w:bCs/>
          <w:sz w:val="20"/>
          <w:szCs w:val="20"/>
        </w:rPr>
      </w:pPr>
      <w:r w:rsidRPr="001F14B9">
        <w:rPr>
          <w:rFonts w:cs="Arial"/>
          <w:bCs/>
          <w:sz w:val="20"/>
          <w:szCs w:val="20"/>
        </w:rPr>
        <w:t xml:space="preserve">Ve strategických dokumentech (viz </w:t>
      </w:r>
      <w:hyperlink r:id="rId90" w:history="1">
        <w:r w:rsidRPr="001F14B9">
          <w:rPr>
            <w:rStyle w:val="Hypertextovodkaz"/>
            <w:rFonts w:cs="Arial"/>
            <w:bCs/>
            <w:sz w:val="20"/>
            <w:szCs w:val="20"/>
          </w:rPr>
          <w:t>Strategický záměr ministerstva pro oblast vysokých škol a s ním související dokumenty</w:t>
        </w:r>
      </w:hyperlink>
      <w:r w:rsidRPr="001F14B9">
        <w:rPr>
          <w:rFonts w:cs="Arial"/>
          <w:bCs/>
          <w:sz w:val="20"/>
          <w:szCs w:val="20"/>
        </w:rPr>
        <w:t>) pro oblast vysokého školství hraje důležitou roli podpora zvyšování přístupnosti vzdělávání všem bez rozdílu. Vysoké školy tak mohou na rozvoj vzdělávání v českém znakovém jazyce a výzkum českého znakového jazyka čerpat finanční podporu skrze programy navázané na tyto dokumenty, jednat se tak může např. o Program na podporu strategického řízení vysokých škol související se Strategickým záměrem. Konkrétní realizace a nastavení předmětů, kurzů a programů je samosprávnou činností vysokých škol.</w:t>
      </w:r>
    </w:p>
    <w:p w14:paraId="37FA2044" w14:textId="78182C43" w:rsidR="001F14B9" w:rsidRPr="001F14B9" w:rsidRDefault="001F14B9" w:rsidP="001F14B9">
      <w:pPr>
        <w:rPr>
          <w:rFonts w:cs="Arial"/>
          <w:sz w:val="20"/>
          <w:szCs w:val="20"/>
        </w:rPr>
      </w:pPr>
      <w:r w:rsidRPr="001F14B9">
        <w:rPr>
          <w:rFonts w:cs="Arial"/>
          <w:sz w:val="20"/>
          <w:szCs w:val="20"/>
        </w:rPr>
        <w:t>V rámci Operačního programu Jan Amos Komenský je možné v realizovaných projektech ve výzvách Šablony I v regionálním školství využít finanční podporu na vzdělávání pedagogických pracovníků, odborně zaměřená tematická a komunitní setkávání a inovativní vzdělávání. Náplň aktivit se může zaměřovat na inkluzi a další témata. Vysoké školy mohou za splnění dalších nutných podmínek (např. zaměření na internacionalizaci, praxi apod.) rozvíjet studijní programy zaměřené na výuku českého znakového jazyka. Akademičtí a neakademičtí pracovníci vysokých škol se mohou vzdělávat ve vhodné komunikaci se studenty se specifickými potřebami a tyto studenty nasměrovat na specializované pracoviště konkrétní vysoké školy, které je jim scho</w:t>
      </w:r>
      <w:r w:rsidR="002B7682">
        <w:rPr>
          <w:rFonts w:cs="Arial"/>
          <w:sz w:val="20"/>
          <w:szCs w:val="20"/>
        </w:rPr>
        <w:t>pno navrhnout řešení problémů a </w:t>
      </w:r>
      <w:r w:rsidRPr="001F14B9">
        <w:rPr>
          <w:rFonts w:cs="Arial"/>
          <w:sz w:val="20"/>
          <w:szCs w:val="20"/>
        </w:rPr>
        <w:t>poskytnout adekvátní pomoc při jejich studiu.</w:t>
      </w:r>
    </w:p>
    <w:p w14:paraId="11B4A261" w14:textId="77777777" w:rsidR="001F14B9" w:rsidRPr="001F14B9" w:rsidRDefault="001F14B9" w:rsidP="001F14B9">
      <w:pPr>
        <w:rPr>
          <w:rFonts w:cs="Arial"/>
          <w:sz w:val="20"/>
          <w:szCs w:val="20"/>
        </w:rPr>
      </w:pPr>
      <w:r w:rsidRPr="001F14B9">
        <w:rPr>
          <w:rFonts w:cs="Arial"/>
          <w:sz w:val="20"/>
          <w:szCs w:val="20"/>
        </w:rPr>
        <w:t xml:space="preserve">V roce 2023 byly v Operačním programu Jan Amos Komenský vyhlášeny dvě výzvy zaměřené na akční plánování v území – tvorbu a implementaci místních akčních plánů vzdělávání a implementaci </w:t>
      </w:r>
      <w:r w:rsidRPr="001F14B9">
        <w:rPr>
          <w:rFonts w:cs="Arial"/>
          <w:sz w:val="20"/>
          <w:szCs w:val="20"/>
        </w:rPr>
        <w:lastRenderedPageBreak/>
        <w:t>dlouhodobých záměrů krajů, jejímž cílem je podpora společného plánování a sdílení aktivit v území vedoucí ke zlepšení kvality vzdělávání ve školách.</w:t>
      </w:r>
    </w:p>
    <w:p w14:paraId="5FF1788D" w14:textId="0C0F6297" w:rsidR="001F14B9" w:rsidRPr="001F14B9" w:rsidRDefault="001F14B9" w:rsidP="001F14B9">
      <w:pPr>
        <w:rPr>
          <w:rFonts w:cs="Arial"/>
          <w:sz w:val="20"/>
          <w:szCs w:val="20"/>
        </w:rPr>
      </w:pPr>
      <w:r w:rsidRPr="001F14B9">
        <w:rPr>
          <w:rFonts w:cs="Arial"/>
          <w:sz w:val="20"/>
          <w:szCs w:val="20"/>
        </w:rPr>
        <w:t>V rámci regionálního školství je možné realizovat vzdělávání za</w:t>
      </w:r>
      <w:r w:rsidR="002B7682">
        <w:rPr>
          <w:rFonts w:cs="Arial"/>
          <w:sz w:val="20"/>
          <w:szCs w:val="20"/>
        </w:rPr>
        <w:t>měřené na společné vzdělávání a </w:t>
      </w:r>
      <w:r w:rsidRPr="001F14B9">
        <w:rPr>
          <w:rFonts w:cs="Arial"/>
          <w:sz w:val="20"/>
          <w:szCs w:val="20"/>
        </w:rPr>
        <w:t>rovné příležitosti. V rámci tohoto tématu je možné absolvovat i vzdělávání zaměřené na využití znakového jazyka ve výuce či realizovat výuku ve znakovém jazyce.</w:t>
      </w:r>
    </w:p>
    <w:p w14:paraId="5C8ED3EE" w14:textId="7E8D5023" w:rsidR="00AD3B0F" w:rsidRPr="001F14B9" w:rsidRDefault="00AD3B0F" w:rsidP="00A30C09">
      <w:pPr>
        <w:keepNext/>
        <w:tabs>
          <w:tab w:val="left" w:pos="720"/>
        </w:tabs>
        <w:rPr>
          <w:rFonts w:cs="Arial"/>
          <w:b/>
          <w:bCs/>
          <w:sz w:val="20"/>
          <w:szCs w:val="20"/>
          <w:lang w:eastAsia="cs-CZ"/>
        </w:rPr>
      </w:pPr>
      <w:r w:rsidRPr="001F14B9">
        <w:rPr>
          <w:rFonts w:cs="Arial"/>
          <w:b/>
          <w:bCs/>
          <w:sz w:val="20"/>
          <w:szCs w:val="20"/>
          <w:lang w:eastAsia="cs-CZ"/>
        </w:rPr>
        <w:t>STANOVISKO K PLNĚNÍ:</w:t>
      </w:r>
      <w:r w:rsidR="00494338" w:rsidRPr="001F14B9">
        <w:rPr>
          <w:rFonts w:cs="Arial"/>
          <w:b/>
          <w:bCs/>
          <w:sz w:val="20"/>
          <w:szCs w:val="20"/>
          <w:lang w:eastAsia="cs-CZ"/>
        </w:rPr>
        <w:t xml:space="preserve"> Plněno.</w:t>
      </w:r>
    </w:p>
    <w:p w14:paraId="2DD14AF6" w14:textId="77777777" w:rsidR="00AD3B0F" w:rsidRPr="00B95558" w:rsidRDefault="00AD3B0F" w:rsidP="00A30C09">
      <w:pPr>
        <w:rPr>
          <w:rFonts w:cs="Arial"/>
          <w:sz w:val="20"/>
          <w:szCs w:val="20"/>
        </w:rPr>
      </w:pPr>
    </w:p>
    <w:p w14:paraId="309B1D32" w14:textId="4D11B3C3" w:rsidR="00F17E74" w:rsidRPr="00544214" w:rsidRDefault="00544214" w:rsidP="00A30C09">
      <w:pPr>
        <w:pStyle w:val="Nadpis2"/>
        <w:numPr>
          <w:ilvl w:val="0"/>
          <w:numId w:val="0"/>
        </w:numPr>
        <w:spacing w:before="0" w:after="120"/>
        <w:ind w:left="576" w:hanging="576"/>
      </w:pPr>
      <w:bookmarkStart w:id="27" w:name="_Toc101957894"/>
      <w:r>
        <w:t>Oblast č. 6</w:t>
      </w:r>
      <w:r w:rsidR="00B345A2">
        <w:t>:</w:t>
      </w:r>
      <w:r>
        <w:t xml:space="preserve"> </w:t>
      </w:r>
      <w:r w:rsidR="00F17E74" w:rsidRPr="00544214">
        <w:t>Rovnost před zákonem a přístup ke spravedlnosti</w:t>
      </w:r>
      <w:bookmarkEnd w:id="25"/>
      <w:bookmarkEnd w:id="26"/>
      <w:bookmarkEnd w:id="27"/>
      <w:r w:rsidR="00F17E74" w:rsidRPr="00544214">
        <w:t xml:space="preserve"> </w:t>
      </w:r>
    </w:p>
    <w:p w14:paraId="210E3281" w14:textId="4C5CEE15" w:rsidR="00F17E74" w:rsidRPr="00D07BEF" w:rsidRDefault="00F17E74" w:rsidP="00F17E74">
      <w:pPr>
        <w:rPr>
          <w:rFonts w:cs="Arial"/>
          <w:sz w:val="20"/>
          <w:szCs w:val="20"/>
        </w:rPr>
      </w:pPr>
      <w:r w:rsidRPr="00D07BEF">
        <w:rPr>
          <w:rFonts w:cs="Arial"/>
          <w:sz w:val="20"/>
          <w:szCs w:val="20"/>
        </w:rPr>
        <w:t>Článek 12 Úmluvy ukládá především povinnost uznat osoby se</w:t>
      </w:r>
      <w:r w:rsidR="006B3285" w:rsidRPr="00D07BEF">
        <w:rPr>
          <w:rFonts w:cs="Arial"/>
          <w:sz w:val="20"/>
          <w:szCs w:val="20"/>
        </w:rPr>
        <w:t> </w:t>
      </w:r>
      <w:r w:rsidRPr="00D07BEF">
        <w:rPr>
          <w:rFonts w:cs="Arial"/>
          <w:sz w:val="20"/>
          <w:szCs w:val="20"/>
        </w:rPr>
        <w:t xml:space="preserve">zdravotním postižením jako subjekty práva a jejich právní způsobilosti ve všech oblastech života na rovnoprávném základě s ostatními. </w:t>
      </w:r>
    </w:p>
    <w:p w14:paraId="38B44359" w14:textId="3BA420B7" w:rsidR="00F17E74" w:rsidRPr="00D07BEF" w:rsidRDefault="00F17E74" w:rsidP="00D160E5">
      <w:pPr>
        <w:rPr>
          <w:rFonts w:cs="Arial"/>
          <w:sz w:val="20"/>
          <w:szCs w:val="20"/>
        </w:rPr>
      </w:pPr>
      <w:r w:rsidRPr="00D07BEF">
        <w:rPr>
          <w:rFonts w:cs="Arial"/>
          <w:sz w:val="20"/>
          <w:szCs w:val="20"/>
        </w:rPr>
        <w:t xml:space="preserve">Se zajištěním rovného postavení před zákonem souvisí i zajištění účinného přístupu osob se zdravotním postižením ke spravedlnosti, a to pomocí procedurálních úprav, které usnadní plnění role přímých či nepřímých účastníků a svědků soudních řízení. </w:t>
      </w:r>
      <w:r w:rsidR="00F03439" w:rsidRPr="00D07BEF">
        <w:rPr>
          <w:rFonts w:cs="Arial"/>
          <w:sz w:val="20"/>
          <w:szCs w:val="20"/>
        </w:rPr>
        <w:t>V</w:t>
      </w:r>
      <w:r w:rsidRPr="00D07BEF">
        <w:rPr>
          <w:rFonts w:cs="Arial"/>
          <w:sz w:val="20"/>
          <w:szCs w:val="20"/>
        </w:rPr>
        <w:t xml:space="preserve"> této problematice</w:t>
      </w:r>
      <w:r w:rsidR="00F03439" w:rsidRPr="00D07BEF">
        <w:rPr>
          <w:rFonts w:cs="Arial"/>
          <w:sz w:val="20"/>
          <w:szCs w:val="20"/>
        </w:rPr>
        <w:t xml:space="preserve"> by měly být</w:t>
      </w:r>
      <w:r w:rsidRPr="00D07BEF">
        <w:rPr>
          <w:rFonts w:cs="Arial"/>
          <w:sz w:val="20"/>
          <w:szCs w:val="20"/>
        </w:rPr>
        <w:t xml:space="preserve"> proškoleny </w:t>
      </w:r>
      <w:r w:rsidR="00F03439" w:rsidRPr="00D07BEF">
        <w:rPr>
          <w:rFonts w:cs="Arial"/>
          <w:sz w:val="20"/>
          <w:szCs w:val="20"/>
        </w:rPr>
        <w:t xml:space="preserve">i </w:t>
      </w:r>
      <w:r w:rsidRPr="00D07BEF">
        <w:rPr>
          <w:rFonts w:cs="Arial"/>
          <w:sz w:val="20"/>
          <w:szCs w:val="20"/>
        </w:rPr>
        <w:t xml:space="preserve">osoby, které pracují v oblasti justiční správy, včetně pracovníků policie a vězeňské služby. </w:t>
      </w:r>
    </w:p>
    <w:p w14:paraId="768887EB" w14:textId="012166DD" w:rsidR="00F17E74" w:rsidRPr="00D07BEF" w:rsidRDefault="00F17E74" w:rsidP="00D160E5">
      <w:pPr>
        <w:rPr>
          <w:rFonts w:cs="Arial"/>
          <w:sz w:val="20"/>
          <w:szCs w:val="20"/>
        </w:rPr>
      </w:pPr>
      <w:r w:rsidRPr="00D07BEF">
        <w:rPr>
          <w:rFonts w:cs="Arial"/>
          <w:sz w:val="20"/>
          <w:szCs w:val="20"/>
        </w:rPr>
        <w:t>Pozitivní změnou bylo přijetí nového občanského zákoníku, který zakotvil zásadní změny týkající se svéprávnosti člověka a nově upravil také pravidla pro její případné omezení. Vychází z koncepce podpůrného či asistovaného rozhodování, které je založeno na tom, že každá osoba je schopna se rozhodovat, může k tomu však potřebovat větší či menší míru podpory. Proto zákon umožňuje využívat namísto omezení svéprávnosti tzv. podpůrná opatření (zastoupení opatrovník</w:t>
      </w:r>
      <w:r w:rsidR="00B96825" w:rsidRPr="00D07BEF">
        <w:rPr>
          <w:rFonts w:cs="Arial"/>
          <w:sz w:val="20"/>
          <w:szCs w:val="20"/>
        </w:rPr>
        <w:t>em</w:t>
      </w:r>
      <w:r w:rsidRPr="00D07BEF">
        <w:rPr>
          <w:rFonts w:cs="Arial"/>
          <w:sz w:val="20"/>
          <w:szCs w:val="20"/>
        </w:rPr>
        <w:t>, zástupc</w:t>
      </w:r>
      <w:r w:rsidR="00B96825" w:rsidRPr="00D07BEF">
        <w:rPr>
          <w:rFonts w:cs="Arial"/>
          <w:sz w:val="20"/>
          <w:szCs w:val="20"/>
        </w:rPr>
        <w:t>em</w:t>
      </w:r>
      <w:r w:rsidRPr="00D07BEF">
        <w:rPr>
          <w:rFonts w:cs="Arial"/>
          <w:sz w:val="20"/>
          <w:szCs w:val="20"/>
        </w:rPr>
        <w:t xml:space="preserve"> člena domácnosti </w:t>
      </w:r>
      <w:r w:rsidR="00B96825" w:rsidRPr="00D07BEF">
        <w:rPr>
          <w:rFonts w:cs="Arial"/>
          <w:sz w:val="20"/>
          <w:szCs w:val="20"/>
        </w:rPr>
        <w:t>či</w:t>
      </w:r>
      <w:r w:rsidRPr="00D07BEF">
        <w:rPr>
          <w:rFonts w:cs="Arial"/>
          <w:sz w:val="20"/>
          <w:szCs w:val="20"/>
        </w:rPr>
        <w:t xml:space="preserve"> podpůrc</w:t>
      </w:r>
      <w:r w:rsidR="00B96825" w:rsidRPr="00D07BEF">
        <w:rPr>
          <w:rFonts w:cs="Arial"/>
          <w:sz w:val="20"/>
          <w:szCs w:val="20"/>
        </w:rPr>
        <w:t>em</w:t>
      </w:r>
      <w:r w:rsidRPr="00D07BEF">
        <w:rPr>
          <w:rFonts w:cs="Arial"/>
          <w:sz w:val="20"/>
          <w:szCs w:val="20"/>
        </w:rPr>
        <w:t xml:space="preserve"> podle smlouvy o nápomoci). </w:t>
      </w:r>
    </w:p>
    <w:p w14:paraId="641CEFFB" w14:textId="46255259" w:rsidR="0045347A" w:rsidRPr="00545DA5" w:rsidRDefault="00F17E74" w:rsidP="00D160E5">
      <w:pPr>
        <w:rPr>
          <w:rFonts w:cs="Arial"/>
          <w:sz w:val="20"/>
          <w:szCs w:val="20"/>
        </w:rPr>
      </w:pPr>
      <w:r w:rsidRPr="00D07BEF">
        <w:rPr>
          <w:rFonts w:cs="Arial"/>
          <w:sz w:val="20"/>
          <w:szCs w:val="20"/>
        </w:rPr>
        <w:t xml:space="preserve">Zajištění </w:t>
      </w:r>
      <w:r w:rsidR="003B58EA" w:rsidRPr="00D07BEF">
        <w:rPr>
          <w:rFonts w:cs="Arial"/>
          <w:sz w:val="20"/>
          <w:szCs w:val="20"/>
        </w:rPr>
        <w:t>r</w:t>
      </w:r>
      <w:r w:rsidRPr="00D07BEF">
        <w:rPr>
          <w:rFonts w:cs="Arial"/>
          <w:sz w:val="20"/>
          <w:szCs w:val="20"/>
        </w:rPr>
        <w:t>ovného přístupu ke spravedlnosti se týká také technických opatření a</w:t>
      </w:r>
      <w:r w:rsidR="006B3285" w:rsidRPr="00D07BEF">
        <w:rPr>
          <w:rFonts w:cs="Arial"/>
          <w:sz w:val="20"/>
          <w:szCs w:val="20"/>
        </w:rPr>
        <w:t> </w:t>
      </w:r>
      <w:r w:rsidRPr="00D07BEF">
        <w:rPr>
          <w:rFonts w:cs="Arial"/>
          <w:sz w:val="20"/>
          <w:szCs w:val="20"/>
        </w:rPr>
        <w:t xml:space="preserve">administrativních postupů, </w:t>
      </w:r>
      <w:r w:rsidR="003B58EA" w:rsidRPr="00D07BEF">
        <w:rPr>
          <w:rFonts w:cs="Arial"/>
          <w:sz w:val="20"/>
          <w:szCs w:val="20"/>
        </w:rPr>
        <w:t>kter</w:t>
      </w:r>
      <w:r w:rsidR="00AA0C8C" w:rsidRPr="00D07BEF">
        <w:rPr>
          <w:rFonts w:cs="Arial"/>
          <w:sz w:val="20"/>
          <w:szCs w:val="20"/>
        </w:rPr>
        <w:t>é</w:t>
      </w:r>
      <w:r w:rsidR="003B58EA" w:rsidRPr="00D07BEF">
        <w:rPr>
          <w:rFonts w:cs="Arial"/>
          <w:sz w:val="20"/>
          <w:szCs w:val="20"/>
        </w:rPr>
        <w:t xml:space="preserve"> </w:t>
      </w:r>
      <w:r w:rsidRPr="00D07BEF">
        <w:rPr>
          <w:rFonts w:cs="Arial"/>
          <w:sz w:val="20"/>
          <w:szCs w:val="20"/>
        </w:rPr>
        <w:t>osob</w:t>
      </w:r>
      <w:r w:rsidR="003B58EA" w:rsidRPr="00D07BEF">
        <w:rPr>
          <w:rFonts w:cs="Arial"/>
          <w:sz w:val="20"/>
          <w:szCs w:val="20"/>
        </w:rPr>
        <w:t>ám</w:t>
      </w:r>
      <w:r w:rsidRPr="00D07BEF">
        <w:rPr>
          <w:rFonts w:cs="Arial"/>
          <w:sz w:val="20"/>
          <w:szCs w:val="20"/>
        </w:rPr>
        <w:t xml:space="preserve"> se zdravotním postižením </w:t>
      </w:r>
      <w:r w:rsidR="003B58EA" w:rsidRPr="00D07BEF">
        <w:rPr>
          <w:rFonts w:cs="Arial"/>
          <w:sz w:val="20"/>
          <w:szCs w:val="20"/>
        </w:rPr>
        <w:t>u</w:t>
      </w:r>
      <w:r w:rsidRPr="00D07BEF">
        <w:rPr>
          <w:rFonts w:cs="Arial"/>
          <w:sz w:val="20"/>
          <w:szCs w:val="20"/>
        </w:rPr>
        <w:t>možn</w:t>
      </w:r>
      <w:r w:rsidR="003B58EA" w:rsidRPr="00D07BEF">
        <w:rPr>
          <w:rFonts w:cs="Arial"/>
          <w:sz w:val="20"/>
          <w:szCs w:val="20"/>
        </w:rPr>
        <w:t>í</w:t>
      </w:r>
      <w:r w:rsidRPr="00D07BEF">
        <w:rPr>
          <w:rFonts w:cs="Arial"/>
          <w:sz w:val="20"/>
          <w:szCs w:val="20"/>
        </w:rPr>
        <w:t xml:space="preserve"> plnohodnotně uplatňovat svá práva.</w:t>
      </w:r>
      <w:r w:rsidRPr="00545DA5">
        <w:rPr>
          <w:rFonts w:cs="Arial"/>
          <w:sz w:val="20"/>
          <w:szCs w:val="20"/>
        </w:rPr>
        <w:t xml:space="preserve"> </w:t>
      </w:r>
    </w:p>
    <w:p w14:paraId="6229B9A8" w14:textId="012BBE7D" w:rsidR="00926262" w:rsidRPr="0035060D" w:rsidRDefault="00926262" w:rsidP="003551A1">
      <w:pPr>
        <w:rPr>
          <w:rFonts w:cs="Arial"/>
          <w:szCs w:val="20"/>
        </w:rPr>
      </w:pPr>
    </w:p>
    <w:p w14:paraId="1FB01A63" w14:textId="43E88A45" w:rsidR="00884609" w:rsidRDefault="008207B9" w:rsidP="008207B9">
      <w:pPr>
        <w:jc w:val="left"/>
        <w:rPr>
          <w:rFonts w:cs="Arial"/>
          <w:b/>
          <w:bCs/>
          <w:szCs w:val="20"/>
        </w:rPr>
      </w:pPr>
      <w:r>
        <w:rPr>
          <w:rFonts w:cs="Arial"/>
          <w:b/>
          <w:bCs/>
          <w:szCs w:val="20"/>
        </w:rPr>
        <w:t xml:space="preserve">6.1 </w:t>
      </w:r>
      <w:r w:rsidRPr="0035060D">
        <w:rPr>
          <w:rFonts w:cs="Arial"/>
          <w:b/>
          <w:bCs/>
          <w:szCs w:val="20"/>
        </w:rPr>
        <w:t xml:space="preserve">Cíl: </w:t>
      </w:r>
      <w:r w:rsidRPr="001B5498">
        <w:rPr>
          <w:rFonts w:cs="Arial"/>
          <w:b/>
          <w:bCs/>
          <w:szCs w:val="20"/>
        </w:rPr>
        <w:t xml:space="preserve">Zajistit osobám se </w:t>
      </w:r>
      <w:r w:rsidRPr="002D3B01">
        <w:rPr>
          <w:rFonts w:eastAsia="Calibri" w:cs="Arial"/>
          <w:b/>
          <w:bCs/>
          <w:szCs w:val="20"/>
        </w:rPr>
        <w:t>zdravotním</w:t>
      </w:r>
      <w:r w:rsidRPr="001B5498">
        <w:rPr>
          <w:rFonts w:cs="Arial"/>
          <w:b/>
          <w:bCs/>
          <w:szCs w:val="20"/>
        </w:rPr>
        <w:t xml:space="preserve"> postižením podporu jejich právního jednání.</w:t>
      </w:r>
    </w:p>
    <w:p w14:paraId="41C6CA7A" w14:textId="77777777" w:rsidR="00884609" w:rsidRPr="004D3F57" w:rsidRDefault="00884609" w:rsidP="008207B9">
      <w:pPr>
        <w:rPr>
          <w:rFonts w:eastAsia="Calibri" w:cs="Arial"/>
          <w:szCs w:val="20"/>
        </w:rPr>
      </w:pPr>
      <w:r w:rsidRPr="0035060D">
        <w:rPr>
          <w:rFonts w:cs="Arial"/>
          <w:bCs/>
          <w:szCs w:val="20"/>
        </w:rPr>
        <w:t xml:space="preserve">Opatření </w:t>
      </w:r>
      <w:r>
        <w:rPr>
          <w:rFonts w:cs="Arial"/>
          <w:bCs/>
          <w:szCs w:val="20"/>
        </w:rPr>
        <w:t>6</w:t>
      </w:r>
      <w:r>
        <w:rPr>
          <w:rFonts w:cs="Arial"/>
          <w:szCs w:val="20"/>
        </w:rPr>
        <w:t xml:space="preserve">.1.1 </w:t>
      </w:r>
      <w:r w:rsidRPr="00CF6120">
        <w:rPr>
          <w:rFonts w:eastAsia="Calibri" w:cs="Arial"/>
          <w:szCs w:val="20"/>
        </w:rPr>
        <w:t>Vyřešit</w:t>
      </w:r>
      <w:r>
        <w:rPr>
          <w:rFonts w:eastAsia="Calibri" w:cs="Arial"/>
          <w:szCs w:val="20"/>
        </w:rPr>
        <w:t xml:space="preserve"> </w:t>
      </w:r>
      <w:r w:rsidRPr="00CF6120">
        <w:rPr>
          <w:rFonts w:eastAsia="Calibri" w:cs="Arial"/>
          <w:szCs w:val="20"/>
        </w:rPr>
        <w:t>kompetenční spor ve věci gesce nad veřejným opatrovnictvím.</w:t>
      </w:r>
    </w:p>
    <w:p w14:paraId="02528297" w14:textId="77777777" w:rsidR="00884609" w:rsidRPr="004D3F57" w:rsidRDefault="00884609" w:rsidP="008207B9">
      <w:pPr>
        <w:rPr>
          <w:rFonts w:eastAsia="Calibri" w:cs="Arial"/>
          <w:szCs w:val="20"/>
        </w:rPr>
      </w:pPr>
      <w:r>
        <w:rPr>
          <w:rFonts w:eastAsia="Calibri" w:cs="Arial"/>
          <w:szCs w:val="20"/>
        </w:rPr>
        <w:t xml:space="preserve">Termín: </w:t>
      </w:r>
      <w:proofErr w:type="gramStart"/>
      <w:r>
        <w:rPr>
          <w:rFonts w:eastAsia="Calibri" w:cs="Arial"/>
          <w:szCs w:val="20"/>
        </w:rPr>
        <w:t>31.12.2023</w:t>
      </w:r>
      <w:proofErr w:type="gramEnd"/>
    </w:p>
    <w:p w14:paraId="32688D49" w14:textId="77777777" w:rsidR="00884609" w:rsidRPr="004D3F57" w:rsidRDefault="00884609" w:rsidP="008207B9">
      <w:pPr>
        <w:rPr>
          <w:rFonts w:eastAsia="Calibri" w:cs="Arial"/>
          <w:szCs w:val="20"/>
        </w:rPr>
      </w:pPr>
      <w:r w:rsidRPr="004D3F57">
        <w:rPr>
          <w:rFonts w:eastAsia="Calibri" w:cs="Arial"/>
          <w:szCs w:val="20"/>
        </w:rPr>
        <w:t xml:space="preserve">Gestor: MPSV, </w:t>
      </w:r>
      <w:r>
        <w:rPr>
          <w:rFonts w:eastAsia="Calibri" w:cs="Arial"/>
          <w:szCs w:val="20"/>
        </w:rPr>
        <w:t>MSp</w:t>
      </w:r>
      <w:r w:rsidRPr="004D3F57">
        <w:rPr>
          <w:rFonts w:eastAsia="Calibri" w:cs="Arial"/>
          <w:szCs w:val="20"/>
        </w:rPr>
        <w:t>, MV</w:t>
      </w:r>
    </w:p>
    <w:p w14:paraId="7000E65C" w14:textId="77777777" w:rsidR="00884609" w:rsidRPr="0035060D" w:rsidRDefault="00884609" w:rsidP="008207B9">
      <w:pPr>
        <w:rPr>
          <w:rFonts w:cs="Arial"/>
          <w:szCs w:val="20"/>
        </w:rPr>
      </w:pPr>
      <w:r w:rsidRPr="00460C56">
        <w:rPr>
          <w:rFonts w:cs="Arial"/>
          <w:szCs w:val="20"/>
        </w:rPr>
        <w:t>Indikátor:</w:t>
      </w:r>
      <w:r>
        <w:rPr>
          <w:rFonts w:cs="Arial"/>
          <w:szCs w:val="20"/>
        </w:rPr>
        <w:t xml:space="preserve"> Byl určen gestor pro veřejné opatrovnictví.</w:t>
      </w:r>
    </w:p>
    <w:p w14:paraId="7048D8FC" w14:textId="5007E6E5" w:rsidR="00884609" w:rsidRDefault="00884609" w:rsidP="008207B9">
      <w:pPr>
        <w:rPr>
          <w:rFonts w:cs="Arial"/>
          <w:b/>
          <w:bCs/>
          <w:szCs w:val="20"/>
        </w:rPr>
      </w:pPr>
    </w:p>
    <w:p w14:paraId="7755302F" w14:textId="79E2B46D" w:rsidR="00BD6DA9" w:rsidRPr="00EC0FA8" w:rsidRDefault="00BD6DA9" w:rsidP="00BD6DA9">
      <w:pPr>
        <w:keepNext/>
        <w:tabs>
          <w:tab w:val="left" w:pos="720"/>
        </w:tabs>
        <w:rPr>
          <w:rFonts w:cs="Arial"/>
          <w:b/>
          <w:bCs/>
          <w:sz w:val="20"/>
          <w:szCs w:val="20"/>
          <w:lang w:eastAsia="cs-CZ"/>
        </w:rPr>
      </w:pPr>
      <w:r w:rsidRPr="00EC0FA8">
        <w:rPr>
          <w:rFonts w:cs="Arial"/>
          <w:b/>
          <w:bCs/>
          <w:sz w:val="20"/>
          <w:szCs w:val="20"/>
          <w:lang w:eastAsia="cs-CZ"/>
        </w:rPr>
        <w:t>PLNĚNÍ MPSV:</w:t>
      </w:r>
    </w:p>
    <w:p w14:paraId="0930A9EB" w14:textId="66937BED" w:rsidR="00EC0FA8" w:rsidRPr="00EC0FA8" w:rsidRDefault="00EC0FA8" w:rsidP="00EC0FA8">
      <w:pPr>
        <w:rPr>
          <w:rFonts w:cs="Arial"/>
          <w:color w:val="0563C1" w:themeColor="hyperlink"/>
          <w:sz w:val="20"/>
          <w:szCs w:val="20"/>
          <w:u w:val="single"/>
        </w:rPr>
      </w:pPr>
      <w:r w:rsidRPr="00EC0FA8">
        <w:rPr>
          <w:rFonts w:cs="Arial"/>
          <w:sz w:val="20"/>
          <w:szCs w:val="20"/>
        </w:rPr>
        <w:t xml:space="preserve">V závěru roku 2023 byl do meziresortního připomínkového řízení odeslán návrh na změnu občanského zákoníku, kterým se zároveň novelizuje kompetenční zákon v tom smyslu, že se veřejné opatrovnictví svěřuje do agendy MPSV. Mezi resorty MV, MSp a MPSV došlo ke shodě. Účinnost novely je navrhována od 1. 1. 2025. V podrobnostech viz </w:t>
      </w:r>
      <w:hyperlink r:id="rId91" w:history="1">
        <w:r w:rsidRPr="00EC0FA8">
          <w:rPr>
            <w:rStyle w:val="Hypertextovodkaz"/>
            <w:rFonts w:cs="Arial"/>
            <w:sz w:val="20"/>
            <w:szCs w:val="20"/>
          </w:rPr>
          <w:t>ODok Portál - VeKLEP - Návrh zákona, kterým se mění některé zákony v souvislosti s veřejným opatrovnictvím</w:t>
        </w:r>
      </w:hyperlink>
    </w:p>
    <w:p w14:paraId="1A268013" w14:textId="63A3E3D5" w:rsidR="00BD6DA9" w:rsidRPr="00EC0FA8" w:rsidRDefault="00BD6DA9" w:rsidP="00BD6DA9">
      <w:pPr>
        <w:keepNext/>
        <w:tabs>
          <w:tab w:val="left" w:pos="720"/>
        </w:tabs>
        <w:rPr>
          <w:rFonts w:cs="Arial"/>
          <w:b/>
          <w:bCs/>
          <w:sz w:val="20"/>
          <w:szCs w:val="20"/>
          <w:lang w:eastAsia="cs-CZ"/>
        </w:rPr>
      </w:pPr>
      <w:r w:rsidRPr="00EC0FA8">
        <w:rPr>
          <w:rFonts w:cs="Arial"/>
          <w:b/>
          <w:bCs/>
          <w:sz w:val="20"/>
          <w:szCs w:val="20"/>
          <w:lang w:eastAsia="cs-CZ"/>
        </w:rPr>
        <w:t>STANOVISKO K PLNĚNÍ</w:t>
      </w:r>
      <w:r w:rsidRPr="0079013C">
        <w:rPr>
          <w:rFonts w:cs="Arial"/>
          <w:b/>
          <w:bCs/>
          <w:sz w:val="20"/>
          <w:szCs w:val="20"/>
          <w:lang w:eastAsia="cs-CZ"/>
        </w:rPr>
        <w:t xml:space="preserve">: </w:t>
      </w:r>
      <w:r w:rsidR="006C684E" w:rsidRPr="0079013C">
        <w:rPr>
          <w:rFonts w:cs="Arial"/>
          <w:b/>
          <w:bCs/>
          <w:sz w:val="20"/>
          <w:szCs w:val="20"/>
          <w:lang w:eastAsia="cs-CZ"/>
        </w:rPr>
        <w:t xml:space="preserve">Nesplněno. </w:t>
      </w:r>
      <w:r w:rsidR="00C52111" w:rsidRPr="0079013C">
        <w:rPr>
          <w:rFonts w:cs="Arial"/>
          <w:b/>
          <w:bCs/>
          <w:sz w:val="20"/>
          <w:szCs w:val="20"/>
          <w:lang w:eastAsia="cs-CZ"/>
        </w:rPr>
        <w:t xml:space="preserve">Navržen posun </w:t>
      </w:r>
      <w:r w:rsidR="00FB3406" w:rsidRPr="0079013C">
        <w:rPr>
          <w:rFonts w:cs="Arial"/>
          <w:b/>
          <w:bCs/>
          <w:sz w:val="20"/>
          <w:szCs w:val="20"/>
          <w:lang w:eastAsia="cs-CZ"/>
        </w:rPr>
        <w:t xml:space="preserve">termínu </w:t>
      </w:r>
      <w:r w:rsidR="00C52111" w:rsidRPr="0079013C">
        <w:rPr>
          <w:rFonts w:cs="Arial"/>
          <w:b/>
          <w:bCs/>
          <w:sz w:val="20"/>
          <w:szCs w:val="20"/>
          <w:lang w:eastAsia="cs-CZ"/>
        </w:rPr>
        <w:t xml:space="preserve">do </w:t>
      </w:r>
      <w:proofErr w:type="gramStart"/>
      <w:r w:rsidR="00C52111" w:rsidRPr="0079013C">
        <w:rPr>
          <w:rFonts w:cs="Arial"/>
          <w:b/>
          <w:bCs/>
          <w:sz w:val="20"/>
          <w:szCs w:val="20"/>
          <w:lang w:eastAsia="cs-CZ"/>
        </w:rPr>
        <w:t>31.12.2024</w:t>
      </w:r>
      <w:proofErr w:type="gramEnd"/>
      <w:r w:rsidR="00C52111" w:rsidRPr="0079013C">
        <w:rPr>
          <w:rFonts w:cs="Arial"/>
          <w:b/>
          <w:bCs/>
          <w:sz w:val="20"/>
          <w:szCs w:val="20"/>
          <w:lang w:eastAsia="cs-CZ"/>
        </w:rPr>
        <w:t>.</w:t>
      </w:r>
    </w:p>
    <w:p w14:paraId="6AC7D555" w14:textId="7111E531" w:rsidR="00633825" w:rsidRDefault="00633825" w:rsidP="00BD6DA9">
      <w:pPr>
        <w:keepNext/>
        <w:tabs>
          <w:tab w:val="left" w:pos="720"/>
        </w:tabs>
        <w:rPr>
          <w:rFonts w:cs="Arial"/>
          <w:b/>
          <w:bCs/>
          <w:sz w:val="20"/>
          <w:szCs w:val="20"/>
          <w:lang w:eastAsia="cs-CZ"/>
        </w:rPr>
      </w:pPr>
    </w:p>
    <w:p w14:paraId="247A40A4" w14:textId="3DA25A53" w:rsidR="00633825" w:rsidRPr="00763EB9" w:rsidRDefault="00633825" w:rsidP="00763EB9">
      <w:pPr>
        <w:keepNext/>
        <w:tabs>
          <w:tab w:val="left" w:pos="720"/>
        </w:tabs>
        <w:rPr>
          <w:rFonts w:cs="Arial"/>
          <w:b/>
          <w:bCs/>
          <w:sz w:val="20"/>
          <w:szCs w:val="20"/>
          <w:lang w:eastAsia="cs-CZ"/>
        </w:rPr>
      </w:pPr>
      <w:r w:rsidRPr="00763EB9">
        <w:rPr>
          <w:rFonts w:cs="Arial"/>
          <w:b/>
          <w:bCs/>
          <w:sz w:val="20"/>
          <w:szCs w:val="20"/>
          <w:lang w:eastAsia="cs-CZ"/>
        </w:rPr>
        <w:t>PLNĚNÍ MSp:</w:t>
      </w:r>
    </w:p>
    <w:p w14:paraId="186FF45A" w14:textId="1F256BA5" w:rsidR="00763EB9" w:rsidRPr="00763EB9" w:rsidRDefault="00763EB9" w:rsidP="00763EB9">
      <w:pPr>
        <w:rPr>
          <w:rFonts w:cs="Arial"/>
          <w:sz w:val="20"/>
          <w:szCs w:val="20"/>
        </w:rPr>
      </w:pPr>
      <w:r w:rsidRPr="00763EB9">
        <w:rPr>
          <w:rFonts w:cs="Arial"/>
          <w:sz w:val="20"/>
          <w:szCs w:val="20"/>
        </w:rPr>
        <w:t>Kompetenční spor ve věci gesce nad veřejným opatrovnictvím byl vyřešen tak, že se gestorem této problematiky stalo MPSV. Gestorství je potvrzeno navrhovanou změnou kompetenčního zákona (zákon č. 2/1969 Sb., o zřízení ministerstev a jiných ústředních orgánů státní správy České republiky, ve znění pozdějších předpisů) v rámci návrhu zákona, kterým se mění</w:t>
      </w:r>
      <w:r w:rsidR="002B7682">
        <w:rPr>
          <w:rFonts w:cs="Arial"/>
          <w:sz w:val="20"/>
          <w:szCs w:val="20"/>
        </w:rPr>
        <w:t xml:space="preserve"> některé zákony v souvislosti s </w:t>
      </w:r>
      <w:r w:rsidRPr="00763EB9">
        <w:rPr>
          <w:rFonts w:cs="Arial"/>
          <w:sz w:val="20"/>
          <w:szCs w:val="20"/>
        </w:rPr>
        <w:t>veřejným opatrovnictvím. Tento návrh zákona byl již rozeslán do meziresortního připomínkového řízení a v současnou chvíli MSp finalizuje vypořádání připomínek. Úkol</w:t>
      </w:r>
      <w:r w:rsidR="002B7682">
        <w:rPr>
          <w:rFonts w:cs="Arial"/>
          <w:sz w:val="20"/>
          <w:szCs w:val="20"/>
        </w:rPr>
        <w:t xml:space="preserve"> lze tedy označit za splněný, a </w:t>
      </w:r>
      <w:r w:rsidRPr="00763EB9">
        <w:rPr>
          <w:rFonts w:cs="Arial"/>
          <w:sz w:val="20"/>
          <w:szCs w:val="20"/>
        </w:rPr>
        <w:t>to ve spolupráci MSp, MPSV a MV.</w:t>
      </w:r>
    </w:p>
    <w:p w14:paraId="010E9691" w14:textId="5D6D1A3A" w:rsidR="00633825" w:rsidRPr="00763EB9" w:rsidRDefault="00633825" w:rsidP="00763EB9">
      <w:pPr>
        <w:keepNext/>
        <w:tabs>
          <w:tab w:val="left" w:pos="720"/>
        </w:tabs>
        <w:rPr>
          <w:rFonts w:cs="Arial"/>
          <w:b/>
          <w:bCs/>
          <w:sz w:val="20"/>
          <w:szCs w:val="20"/>
          <w:lang w:eastAsia="cs-CZ"/>
        </w:rPr>
      </w:pPr>
      <w:r w:rsidRPr="00763EB9">
        <w:rPr>
          <w:rFonts w:cs="Arial"/>
          <w:b/>
          <w:bCs/>
          <w:sz w:val="20"/>
          <w:szCs w:val="20"/>
          <w:lang w:eastAsia="cs-CZ"/>
        </w:rPr>
        <w:lastRenderedPageBreak/>
        <w:t>STANOVISKO K PLNĚNÍ</w:t>
      </w:r>
      <w:r w:rsidRPr="0079013C">
        <w:rPr>
          <w:rFonts w:cs="Arial"/>
          <w:b/>
          <w:bCs/>
          <w:sz w:val="20"/>
          <w:szCs w:val="20"/>
          <w:lang w:eastAsia="cs-CZ"/>
        </w:rPr>
        <w:t xml:space="preserve">: </w:t>
      </w:r>
      <w:r w:rsidR="00236B64" w:rsidRPr="0079013C">
        <w:rPr>
          <w:rFonts w:cs="Arial"/>
          <w:b/>
          <w:bCs/>
          <w:sz w:val="20"/>
          <w:szCs w:val="20"/>
          <w:lang w:eastAsia="cs-CZ"/>
        </w:rPr>
        <w:t xml:space="preserve">Nesplněno. Navržen posun </w:t>
      </w:r>
      <w:r w:rsidR="00FB3406" w:rsidRPr="0079013C">
        <w:rPr>
          <w:rFonts w:cs="Arial"/>
          <w:b/>
          <w:bCs/>
          <w:sz w:val="20"/>
          <w:szCs w:val="20"/>
          <w:lang w:eastAsia="cs-CZ"/>
        </w:rPr>
        <w:t xml:space="preserve">termínu </w:t>
      </w:r>
      <w:r w:rsidR="00236B64" w:rsidRPr="0079013C">
        <w:rPr>
          <w:rFonts w:cs="Arial"/>
          <w:b/>
          <w:bCs/>
          <w:sz w:val="20"/>
          <w:szCs w:val="20"/>
          <w:lang w:eastAsia="cs-CZ"/>
        </w:rPr>
        <w:t xml:space="preserve">do </w:t>
      </w:r>
      <w:proofErr w:type="gramStart"/>
      <w:r w:rsidR="00236B64" w:rsidRPr="0079013C">
        <w:rPr>
          <w:rFonts w:cs="Arial"/>
          <w:b/>
          <w:bCs/>
          <w:sz w:val="20"/>
          <w:szCs w:val="20"/>
          <w:lang w:eastAsia="cs-CZ"/>
        </w:rPr>
        <w:t>31.12.2024</w:t>
      </w:r>
      <w:proofErr w:type="gramEnd"/>
      <w:r w:rsidR="00236B64" w:rsidRPr="0079013C">
        <w:rPr>
          <w:rFonts w:cs="Arial"/>
          <w:b/>
          <w:bCs/>
          <w:sz w:val="20"/>
          <w:szCs w:val="20"/>
          <w:lang w:eastAsia="cs-CZ"/>
        </w:rPr>
        <w:t>.</w:t>
      </w:r>
    </w:p>
    <w:p w14:paraId="56927D17" w14:textId="77777777" w:rsidR="00633825" w:rsidRPr="004D21D5" w:rsidRDefault="00633825" w:rsidP="00BD6DA9">
      <w:pPr>
        <w:keepNext/>
        <w:tabs>
          <w:tab w:val="left" w:pos="720"/>
        </w:tabs>
        <w:rPr>
          <w:rFonts w:cs="Arial"/>
          <w:b/>
          <w:bCs/>
          <w:sz w:val="20"/>
          <w:szCs w:val="20"/>
          <w:lang w:eastAsia="cs-CZ"/>
        </w:rPr>
      </w:pPr>
    </w:p>
    <w:p w14:paraId="47706C9B" w14:textId="6739C8F6" w:rsidR="00633825" w:rsidRPr="00E04476" w:rsidRDefault="00633825" w:rsidP="00E04476">
      <w:pPr>
        <w:keepNext/>
        <w:tabs>
          <w:tab w:val="left" w:pos="720"/>
        </w:tabs>
        <w:rPr>
          <w:rFonts w:cs="Arial"/>
          <w:b/>
          <w:bCs/>
          <w:sz w:val="20"/>
          <w:szCs w:val="20"/>
          <w:lang w:eastAsia="cs-CZ"/>
        </w:rPr>
      </w:pPr>
      <w:r w:rsidRPr="00E04476">
        <w:rPr>
          <w:rFonts w:cs="Arial"/>
          <w:b/>
          <w:bCs/>
          <w:sz w:val="20"/>
          <w:szCs w:val="20"/>
          <w:lang w:eastAsia="cs-CZ"/>
        </w:rPr>
        <w:t>PLNĚNÍ MV:</w:t>
      </w:r>
    </w:p>
    <w:p w14:paraId="0E21D627" w14:textId="3F95230B" w:rsidR="00E04476" w:rsidRPr="00E04476" w:rsidRDefault="00E04476" w:rsidP="00E04476">
      <w:pPr>
        <w:keepNext/>
        <w:tabs>
          <w:tab w:val="left" w:pos="720"/>
        </w:tabs>
        <w:rPr>
          <w:rFonts w:cs="Arial"/>
          <w:b/>
          <w:bCs/>
          <w:sz w:val="20"/>
          <w:szCs w:val="20"/>
          <w:lang w:eastAsia="cs-CZ"/>
        </w:rPr>
      </w:pPr>
      <w:r w:rsidRPr="00E04476">
        <w:rPr>
          <w:rFonts w:cs="Arial"/>
          <w:sz w:val="20"/>
          <w:szCs w:val="20"/>
        </w:rPr>
        <w:t xml:space="preserve">Po dohodě Ministerstva vnitra s Ministerstvem práce a sociálních věcí a Ministerstvem spravedlnosti připravuje Ministerstvem práce a sociálních věcí návrh zákona, </w:t>
      </w:r>
      <w:r w:rsidR="002B7682">
        <w:rPr>
          <w:rFonts w:cs="Arial"/>
          <w:sz w:val="20"/>
          <w:szCs w:val="20"/>
        </w:rPr>
        <w:t>kterým se mění některé zákony v </w:t>
      </w:r>
      <w:r w:rsidRPr="00E04476">
        <w:rPr>
          <w:rFonts w:cs="Arial"/>
          <w:sz w:val="20"/>
          <w:szCs w:val="20"/>
        </w:rPr>
        <w:t>souvislosti s veřejným opatrovnictvím. V současné chvíli</w:t>
      </w:r>
      <w:r w:rsidR="002B7682">
        <w:rPr>
          <w:rFonts w:cs="Arial"/>
          <w:sz w:val="20"/>
          <w:szCs w:val="20"/>
        </w:rPr>
        <w:t xml:space="preserve"> probíhá vypřádání připomínek v </w:t>
      </w:r>
      <w:r w:rsidRPr="00E04476">
        <w:rPr>
          <w:rFonts w:cs="Arial"/>
          <w:sz w:val="20"/>
          <w:szCs w:val="20"/>
        </w:rPr>
        <w:t>meziresortním připomínkovém řízení. Následně bude návrh zákona p</w:t>
      </w:r>
      <w:r w:rsidR="002B7682">
        <w:rPr>
          <w:rFonts w:cs="Arial"/>
          <w:sz w:val="20"/>
          <w:szCs w:val="20"/>
        </w:rPr>
        <w:t>ředložen vládě a k projednání v </w:t>
      </w:r>
      <w:r w:rsidRPr="00E04476">
        <w:rPr>
          <w:rFonts w:cs="Arial"/>
          <w:sz w:val="20"/>
          <w:szCs w:val="20"/>
        </w:rPr>
        <w:t>komisích vlády. Předpokládá se účinnost zákona od 1. 1. 2025.</w:t>
      </w:r>
    </w:p>
    <w:p w14:paraId="5A31C94A" w14:textId="6D86C90E" w:rsidR="00BD6DA9" w:rsidRPr="00E04476" w:rsidRDefault="00633825" w:rsidP="00E04476">
      <w:pPr>
        <w:keepNext/>
        <w:tabs>
          <w:tab w:val="left" w:pos="720"/>
        </w:tabs>
        <w:rPr>
          <w:rFonts w:cs="Arial"/>
          <w:b/>
          <w:bCs/>
          <w:sz w:val="20"/>
          <w:szCs w:val="20"/>
          <w:lang w:eastAsia="cs-CZ"/>
        </w:rPr>
      </w:pPr>
      <w:r w:rsidRPr="00E04476">
        <w:rPr>
          <w:rFonts w:cs="Arial"/>
          <w:b/>
          <w:bCs/>
          <w:sz w:val="20"/>
          <w:szCs w:val="20"/>
          <w:lang w:eastAsia="cs-CZ"/>
        </w:rPr>
        <w:t>STANOVISKO K PLNĚNÍ</w:t>
      </w:r>
      <w:r w:rsidRPr="0079013C">
        <w:rPr>
          <w:rFonts w:cs="Arial"/>
          <w:b/>
          <w:bCs/>
          <w:sz w:val="20"/>
          <w:szCs w:val="20"/>
          <w:lang w:eastAsia="cs-CZ"/>
        </w:rPr>
        <w:t xml:space="preserve">: </w:t>
      </w:r>
      <w:r w:rsidR="00236B64" w:rsidRPr="0079013C">
        <w:rPr>
          <w:rFonts w:cs="Arial"/>
          <w:b/>
          <w:bCs/>
          <w:sz w:val="20"/>
          <w:szCs w:val="20"/>
          <w:lang w:eastAsia="cs-CZ"/>
        </w:rPr>
        <w:t xml:space="preserve">Nesplněno. Navržen posun </w:t>
      </w:r>
      <w:r w:rsidR="00FB3406" w:rsidRPr="0079013C">
        <w:rPr>
          <w:rFonts w:cs="Arial"/>
          <w:b/>
          <w:bCs/>
          <w:sz w:val="20"/>
          <w:szCs w:val="20"/>
          <w:lang w:eastAsia="cs-CZ"/>
        </w:rPr>
        <w:t xml:space="preserve">termínu </w:t>
      </w:r>
      <w:r w:rsidR="00236B64" w:rsidRPr="0079013C">
        <w:rPr>
          <w:rFonts w:cs="Arial"/>
          <w:b/>
          <w:bCs/>
          <w:sz w:val="20"/>
          <w:szCs w:val="20"/>
          <w:lang w:eastAsia="cs-CZ"/>
        </w:rPr>
        <w:t xml:space="preserve">do </w:t>
      </w:r>
      <w:proofErr w:type="gramStart"/>
      <w:r w:rsidR="00236B64" w:rsidRPr="0079013C">
        <w:rPr>
          <w:rFonts w:cs="Arial"/>
          <w:b/>
          <w:bCs/>
          <w:sz w:val="20"/>
          <w:szCs w:val="20"/>
          <w:lang w:eastAsia="cs-CZ"/>
        </w:rPr>
        <w:t>31.12.</w:t>
      </w:r>
      <w:r w:rsidR="004971EE" w:rsidRPr="0079013C">
        <w:rPr>
          <w:rFonts w:cs="Arial"/>
          <w:b/>
          <w:bCs/>
          <w:sz w:val="20"/>
          <w:szCs w:val="20"/>
          <w:lang w:eastAsia="cs-CZ"/>
        </w:rPr>
        <w:t>2024</w:t>
      </w:r>
      <w:proofErr w:type="gramEnd"/>
      <w:r w:rsidR="004971EE" w:rsidRPr="0079013C">
        <w:rPr>
          <w:rFonts w:cs="Arial"/>
          <w:b/>
          <w:bCs/>
          <w:sz w:val="20"/>
          <w:szCs w:val="20"/>
          <w:lang w:eastAsia="cs-CZ"/>
        </w:rPr>
        <w:t>.</w:t>
      </w:r>
    </w:p>
    <w:p w14:paraId="22D5144F" w14:textId="77777777" w:rsidR="00884609" w:rsidRDefault="00884609" w:rsidP="008207B9">
      <w:pPr>
        <w:rPr>
          <w:rFonts w:cs="Arial"/>
          <w:b/>
          <w:bCs/>
          <w:szCs w:val="20"/>
        </w:rPr>
      </w:pPr>
    </w:p>
    <w:p w14:paraId="786873AD" w14:textId="2DE77089" w:rsidR="00F17E74" w:rsidRPr="0057756D" w:rsidRDefault="00F17E74" w:rsidP="003551A1">
      <w:pPr>
        <w:rPr>
          <w:rFonts w:cs="Arial"/>
          <w:szCs w:val="20"/>
        </w:rPr>
      </w:pPr>
      <w:r>
        <w:rPr>
          <w:rFonts w:cs="Arial"/>
          <w:b/>
          <w:bCs/>
          <w:szCs w:val="20"/>
        </w:rPr>
        <w:t xml:space="preserve">6.2 </w:t>
      </w:r>
      <w:r w:rsidRPr="0057756D">
        <w:rPr>
          <w:rFonts w:cs="Arial"/>
          <w:b/>
          <w:bCs/>
          <w:szCs w:val="20"/>
        </w:rPr>
        <w:t xml:space="preserve">Cíl: </w:t>
      </w:r>
      <w:r w:rsidRPr="002D3B01">
        <w:rPr>
          <w:rFonts w:eastAsia="Calibri" w:cs="Arial"/>
          <w:b/>
          <w:bCs/>
          <w:szCs w:val="20"/>
        </w:rPr>
        <w:t>Rovnoprávný</w:t>
      </w:r>
      <w:r w:rsidRPr="0057756D">
        <w:rPr>
          <w:rFonts w:cs="Arial"/>
          <w:b/>
          <w:bCs/>
          <w:szCs w:val="20"/>
        </w:rPr>
        <w:t xml:space="preserve"> přístup k informacím v rámci soudních řízení.</w:t>
      </w:r>
      <w:r w:rsidRPr="0057756D">
        <w:rPr>
          <w:rFonts w:cs="Arial"/>
          <w:szCs w:val="20"/>
        </w:rPr>
        <w:t xml:space="preserve"> </w:t>
      </w:r>
    </w:p>
    <w:p w14:paraId="3494B9AC" w14:textId="77777777" w:rsidR="00F17E74" w:rsidRPr="0021473E" w:rsidRDefault="00F17E74" w:rsidP="00F17E74">
      <w:pPr>
        <w:rPr>
          <w:rFonts w:cs="Arial"/>
          <w:szCs w:val="20"/>
        </w:rPr>
      </w:pPr>
      <w:r>
        <w:rPr>
          <w:rFonts w:cs="Arial"/>
          <w:szCs w:val="20"/>
        </w:rPr>
        <w:t>Opatření 6.2.1. Shromáždit či popřípadě z</w:t>
      </w:r>
      <w:r w:rsidRPr="0021473E">
        <w:rPr>
          <w:rFonts w:cs="Arial"/>
          <w:szCs w:val="20"/>
        </w:rPr>
        <w:t>pracovat informační materiály pro veřejné i</w:t>
      </w:r>
      <w:r w:rsidR="004E3E03">
        <w:rPr>
          <w:rFonts w:cs="Arial"/>
          <w:szCs w:val="20"/>
        </w:rPr>
        <w:t> </w:t>
      </w:r>
      <w:r w:rsidRPr="0021473E">
        <w:rPr>
          <w:rFonts w:cs="Arial"/>
          <w:szCs w:val="20"/>
        </w:rPr>
        <w:t>soukromé opatrovníky, podpůrce a zástupce člena domácnosti a prostřednictvím soudů zajistit jejich distribuci v</w:t>
      </w:r>
      <w:r w:rsidR="00EB726F">
        <w:rPr>
          <w:rFonts w:cs="Arial"/>
          <w:szCs w:val="20"/>
        </w:rPr>
        <w:t>e</w:t>
      </w:r>
      <w:r w:rsidRPr="0021473E">
        <w:rPr>
          <w:rFonts w:cs="Arial"/>
          <w:szCs w:val="20"/>
        </w:rPr>
        <w:t> spoluprác</w:t>
      </w:r>
      <w:r>
        <w:rPr>
          <w:rFonts w:cs="Arial"/>
          <w:szCs w:val="20"/>
        </w:rPr>
        <w:t>i</w:t>
      </w:r>
      <w:r w:rsidRPr="0021473E">
        <w:rPr>
          <w:rFonts w:cs="Arial"/>
          <w:szCs w:val="20"/>
        </w:rPr>
        <w:t xml:space="preserve"> s organizacemi, které zastupují </w:t>
      </w:r>
      <w:r>
        <w:rPr>
          <w:rFonts w:cs="Arial"/>
          <w:szCs w:val="20"/>
        </w:rPr>
        <w:t>osoby</w:t>
      </w:r>
      <w:r w:rsidRPr="0021473E">
        <w:rPr>
          <w:rFonts w:cs="Arial"/>
          <w:szCs w:val="20"/>
        </w:rPr>
        <w:t xml:space="preserve"> s omezenou </w:t>
      </w:r>
      <w:r w:rsidRPr="00271EF0">
        <w:rPr>
          <w:rFonts w:cs="Arial"/>
          <w:szCs w:val="20"/>
        </w:rPr>
        <w:t>schopností právně jednat</w:t>
      </w:r>
      <w:r>
        <w:rPr>
          <w:rFonts w:cs="Arial"/>
          <w:szCs w:val="20"/>
        </w:rPr>
        <w:t>.</w:t>
      </w:r>
    </w:p>
    <w:p w14:paraId="48A3D540" w14:textId="1CF37D1E" w:rsidR="00F17E74" w:rsidRPr="0021473E" w:rsidRDefault="003C6261" w:rsidP="004563F8">
      <w:pPr>
        <w:rPr>
          <w:rFonts w:cs="Arial"/>
          <w:szCs w:val="20"/>
        </w:rPr>
      </w:pPr>
      <w:r>
        <w:rPr>
          <w:rFonts w:cs="Arial"/>
          <w:szCs w:val="20"/>
        </w:rPr>
        <w:t xml:space="preserve">Termín: </w:t>
      </w:r>
      <w:proofErr w:type="gramStart"/>
      <w:r>
        <w:rPr>
          <w:rFonts w:cs="Arial"/>
          <w:szCs w:val="20"/>
        </w:rPr>
        <w:t>31.12.2023</w:t>
      </w:r>
      <w:proofErr w:type="gramEnd"/>
    </w:p>
    <w:p w14:paraId="5038C2F4" w14:textId="77777777" w:rsidR="00F17E74" w:rsidRPr="0021473E" w:rsidRDefault="00F17E74" w:rsidP="004563F8">
      <w:pPr>
        <w:rPr>
          <w:rFonts w:cs="Arial"/>
          <w:szCs w:val="20"/>
        </w:rPr>
      </w:pPr>
      <w:r w:rsidRPr="0021473E">
        <w:rPr>
          <w:rFonts w:cs="Arial"/>
          <w:szCs w:val="20"/>
        </w:rPr>
        <w:t>Gestor: MSp</w:t>
      </w:r>
    </w:p>
    <w:p w14:paraId="2C9BE827" w14:textId="62FA145A" w:rsidR="00F17E74" w:rsidRDefault="00F17E74" w:rsidP="004563F8">
      <w:pPr>
        <w:rPr>
          <w:rFonts w:cs="Arial"/>
          <w:szCs w:val="20"/>
        </w:rPr>
      </w:pPr>
      <w:r w:rsidRPr="00271EF0">
        <w:rPr>
          <w:rFonts w:cs="Arial"/>
          <w:szCs w:val="20"/>
        </w:rPr>
        <w:t>Indikátor:</w:t>
      </w:r>
      <w:r>
        <w:rPr>
          <w:rFonts w:cs="Arial"/>
          <w:szCs w:val="20"/>
        </w:rPr>
        <w:t xml:space="preserve"> </w:t>
      </w:r>
      <w:r w:rsidR="009D13D3">
        <w:rPr>
          <w:rFonts w:cs="Arial"/>
          <w:szCs w:val="20"/>
        </w:rPr>
        <w:t>Soudy mají k dispozici shromážděné či zpracované i</w:t>
      </w:r>
      <w:r>
        <w:rPr>
          <w:rFonts w:cs="Arial"/>
          <w:szCs w:val="20"/>
        </w:rPr>
        <w:t>nformační materiál</w:t>
      </w:r>
      <w:r w:rsidR="009D13D3">
        <w:rPr>
          <w:rFonts w:cs="Arial"/>
          <w:szCs w:val="20"/>
        </w:rPr>
        <w:t>y a</w:t>
      </w:r>
      <w:r w:rsidRPr="000019DC">
        <w:rPr>
          <w:rFonts w:cs="Arial"/>
          <w:szCs w:val="20"/>
        </w:rPr>
        <w:t xml:space="preserve"> jsou instruovány</w:t>
      </w:r>
      <w:r w:rsidR="009D13D3">
        <w:rPr>
          <w:rFonts w:cs="Arial"/>
          <w:szCs w:val="20"/>
        </w:rPr>
        <w:t xml:space="preserve"> o</w:t>
      </w:r>
      <w:r w:rsidRPr="000019DC">
        <w:rPr>
          <w:rFonts w:cs="Arial"/>
          <w:szCs w:val="20"/>
        </w:rPr>
        <w:t xml:space="preserve"> způsobe</w:t>
      </w:r>
      <w:r w:rsidR="009D13D3">
        <w:rPr>
          <w:rFonts w:cs="Arial"/>
          <w:szCs w:val="20"/>
        </w:rPr>
        <w:t>ch jejich</w:t>
      </w:r>
      <w:r w:rsidRPr="000019DC">
        <w:rPr>
          <w:rFonts w:cs="Arial"/>
          <w:szCs w:val="20"/>
        </w:rPr>
        <w:t xml:space="preserve"> distribu</w:t>
      </w:r>
      <w:r w:rsidR="009D13D3">
        <w:rPr>
          <w:rFonts w:cs="Arial"/>
          <w:szCs w:val="20"/>
        </w:rPr>
        <w:t>ce</w:t>
      </w:r>
      <w:r>
        <w:rPr>
          <w:rFonts w:cs="Arial"/>
          <w:szCs w:val="20"/>
        </w:rPr>
        <w:t>.</w:t>
      </w:r>
    </w:p>
    <w:p w14:paraId="2EEBBB81" w14:textId="77777777" w:rsidR="004563F8" w:rsidRPr="00C93789" w:rsidRDefault="004563F8" w:rsidP="004563F8">
      <w:pPr>
        <w:rPr>
          <w:rFonts w:cs="Arial"/>
          <w:sz w:val="20"/>
          <w:szCs w:val="20"/>
        </w:rPr>
      </w:pPr>
    </w:p>
    <w:p w14:paraId="5E088F5D" w14:textId="65B16A67" w:rsidR="009D4126" w:rsidRPr="00D75176" w:rsidRDefault="00CB7C0D" w:rsidP="00D75176">
      <w:pPr>
        <w:tabs>
          <w:tab w:val="left" w:pos="720"/>
        </w:tabs>
        <w:rPr>
          <w:rFonts w:cs="Arial"/>
          <w:b/>
          <w:bCs/>
          <w:sz w:val="20"/>
          <w:szCs w:val="20"/>
          <w:lang w:eastAsia="cs-CZ"/>
        </w:rPr>
      </w:pPr>
      <w:r w:rsidRPr="00D75176">
        <w:rPr>
          <w:rFonts w:cs="Arial"/>
          <w:b/>
          <w:bCs/>
          <w:sz w:val="20"/>
          <w:szCs w:val="20"/>
          <w:lang w:eastAsia="cs-CZ"/>
        </w:rPr>
        <w:t>PLNĚNÍ MSp</w:t>
      </w:r>
      <w:r w:rsidR="009D4126" w:rsidRPr="00D75176">
        <w:rPr>
          <w:rFonts w:cs="Arial"/>
          <w:b/>
          <w:bCs/>
          <w:sz w:val="20"/>
          <w:szCs w:val="20"/>
          <w:lang w:eastAsia="cs-CZ"/>
        </w:rPr>
        <w:t>:</w:t>
      </w:r>
    </w:p>
    <w:p w14:paraId="3B9B884A" w14:textId="06726778" w:rsidR="00D75176" w:rsidRPr="00D75176" w:rsidRDefault="00D75176" w:rsidP="00D75176">
      <w:pPr>
        <w:rPr>
          <w:rFonts w:cs="Arial"/>
          <w:sz w:val="20"/>
          <w:szCs w:val="20"/>
        </w:rPr>
      </w:pPr>
      <w:r w:rsidRPr="00D75176">
        <w:rPr>
          <w:rFonts w:cs="Arial"/>
          <w:sz w:val="20"/>
          <w:szCs w:val="20"/>
        </w:rPr>
        <w:t>Odborná skupina pro podporu osob s omezenou schopností právně je</w:t>
      </w:r>
      <w:r w:rsidR="002B7682">
        <w:rPr>
          <w:rFonts w:cs="Arial"/>
          <w:sz w:val="20"/>
          <w:szCs w:val="20"/>
        </w:rPr>
        <w:t>dnat, v níž má svého zástupce i </w:t>
      </w:r>
      <w:r w:rsidRPr="00D75176">
        <w:rPr>
          <w:rFonts w:cs="Arial"/>
          <w:sz w:val="20"/>
          <w:szCs w:val="20"/>
        </w:rPr>
        <w:t>MSp, zpracovala v průběhu let 2022 a 2023 leták na téma řízení o omezení svéprávnosti, který je určen pro účastníky řízení o omezení svéprávnosti, a to zejména pro posuzovanou osobu, tedy člověka, jehož svéprávnost může být v daném řízení omezena. Leták jednoduchým a srozumitelným způsobem vysvětluje, co je předmětem řízení o omezení svéprávnosti, co se bude v řízení dít, jakou pomoc posuzovaný člověk v řízení má, jak vypadá jednání u soudu, informace o povaze soudního rozhodnutí a jeho důsledcích a o možnosti obrany proti rozhodnutí soudu. V roce 2023 byl leták zveřejněn na webu MSp a nyní jsou činěny kroky k jeho distribuci soudům v elektronické podobě. Opatření má trvající charakter, proto jeho plnění nadále pokračuje, a to ve spolupráci s ÚV i MSPV.</w:t>
      </w:r>
    </w:p>
    <w:p w14:paraId="624BD555" w14:textId="3A877D52" w:rsidR="00D75176" w:rsidRPr="00D75176" w:rsidRDefault="007C49CB" w:rsidP="00D75176">
      <w:pPr>
        <w:rPr>
          <w:rFonts w:cs="Arial"/>
          <w:sz w:val="20"/>
          <w:szCs w:val="20"/>
        </w:rPr>
      </w:pPr>
      <w:hyperlink r:id="rId92" w:history="1">
        <w:r w:rsidR="00D75176" w:rsidRPr="00D75176">
          <w:rPr>
            <w:rStyle w:val="Hypertextovodkaz"/>
            <w:rFonts w:cs="Arial"/>
            <w:color w:val="auto"/>
            <w:sz w:val="20"/>
            <w:szCs w:val="20"/>
          </w:rPr>
          <w:t>https://justice.cz/web/msp/opatrovnicka-agenda</w:t>
        </w:r>
      </w:hyperlink>
      <w:r w:rsidR="00D75176" w:rsidRPr="00D75176">
        <w:rPr>
          <w:rFonts w:cs="Arial"/>
          <w:sz w:val="20"/>
          <w:szCs w:val="20"/>
        </w:rPr>
        <w:t xml:space="preserve"> </w:t>
      </w:r>
    </w:p>
    <w:p w14:paraId="466B6492" w14:textId="3A8F4A96" w:rsidR="009D4126" w:rsidRPr="00D75176" w:rsidRDefault="009D4126" w:rsidP="00D75176">
      <w:pPr>
        <w:rPr>
          <w:rFonts w:cs="Arial"/>
          <w:bCs/>
          <w:sz w:val="20"/>
          <w:szCs w:val="20"/>
        </w:rPr>
      </w:pPr>
      <w:r w:rsidRPr="00D75176">
        <w:rPr>
          <w:rFonts w:cs="Arial"/>
          <w:b/>
          <w:bCs/>
          <w:sz w:val="20"/>
          <w:szCs w:val="20"/>
          <w:lang w:eastAsia="cs-CZ"/>
        </w:rPr>
        <w:t>STANOVISKO K PLNĚNÍ</w:t>
      </w:r>
      <w:r w:rsidRPr="00D133EA">
        <w:rPr>
          <w:rFonts w:cs="Arial"/>
          <w:b/>
          <w:bCs/>
          <w:sz w:val="20"/>
          <w:szCs w:val="20"/>
          <w:lang w:eastAsia="cs-CZ"/>
        </w:rPr>
        <w:t>:</w:t>
      </w:r>
      <w:r w:rsidR="00A43544" w:rsidRPr="00D133EA">
        <w:rPr>
          <w:rFonts w:cs="Arial"/>
          <w:b/>
          <w:bCs/>
          <w:sz w:val="20"/>
          <w:szCs w:val="20"/>
          <w:lang w:eastAsia="cs-CZ"/>
        </w:rPr>
        <w:t xml:space="preserve"> </w:t>
      </w:r>
      <w:r w:rsidR="004F45A6" w:rsidRPr="00D133EA">
        <w:rPr>
          <w:rFonts w:cs="Arial"/>
          <w:b/>
          <w:bCs/>
          <w:sz w:val="20"/>
          <w:szCs w:val="20"/>
          <w:lang w:eastAsia="cs-CZ"/>
        </w:rPr>
        <w:t>Nesplněno</w:t>
      </w:r>
      <w:r w:rsidR="00A43544" w:rsidRPr="00D133EA">
        <w:rPr>
          <w:rFonts w:cs="Arial"/>
          <w:b/>
          <w:bCs/>
          <w:sz w:val="20"/>
          <w:szCs w:val="20"/>
          <w:lang w:eastAsia="cs-CZ"/>
        </w:rPr>
        <w:t xml:space="preserve">. </w:t>
      </w:r>
      <w:r w:rsidR="00525E12" w:rsidRPr="00D133EA">
        <w:rPr>
          <w:rFonts w:cs="Arial"/>
          <w:b/>
          <w:bCs/>
          <w:sz w:val="20"/>
          <w:szCs w:val="20"/>
          <w:lang w:eastAsia="cs-CZ"/>
        </w:rPr>
        <w:t xml:space="preserve">Je třeba </w:t>
      </w:r>
      <w:r w:rsidR="00525E12" w:rsidRPr="00D133EA">
        <w:rPr>
          <w:rFonts w:cs="Arial"/>
          <w:b/>
          <w:bCs/>
          <w:sz w:val="20"/>
          <w:szCs w:val="20"/>
        </w:rPr>
        <w:t>dořešit distribuci materiálů na soudy.</w:t>
      </w:r>
      <w:r w:rsidR="00525E12" w:rsidRPr="00D133EA">
        <w:rPr>
          <w:rFonts w:cs="Arial"/>
          <w:b/>
          <w:bCs/>
          <w:sz w:val="20"/>
          <w:szCs w:val="20"/>
          <w:lang w:eastAsia="cs-CZ"/>
        </w:rPr>
        <w:t xml:space="preserve"> </w:t>
      </w:r>
      <w:r w:rsidR="00A43544" w:rsidRPr="00D133EA">
        <w:rPr>
          <w:rFonts w:cs="Arial"/>
          <w:b/>
          <w:bCs/>
          <w:sz w:val="20"/>
          <w:szCs w:val="20"/>
          <w:lang w:eastAsia="cs-CZ"/>
        </w:rPr>
        <w:t>Nav</w:t>
      </w:r>
      <w:r w:rsidR="00C93789" w:rsidRPr="00D133EA">
        <w:rPr>
          <w:rFonts w:cs="Arial"/>
          <w:b/>
          <w:bCs/>
          <w:sz w:val="20"/>
          <w:szCs w:val="20"/>
          <w:lang w:eastAsia="cs-CZ"/>
        </w:rPr>
        <w:t xml:space="preserve">ržen posun termínu do </w:t>
      </w:r>
      <w:proofErr w:type="gramStart"/>
      <w:r w:rsidR="00C93789" w:rsidRPr="00D133EA">
        <w:rPr>
          <w:rFonts w:cs="Arial"/>
          <w:b/>
          <w:bCs/>
          <w:sz w:val="20"/>
          <w:szCs w:val="20"/>
          <w:lang w:eastAsia="cs-CZ"/>
        </w:rPr>
        <w:t>31.12.</w:t>
      </w:r>
      <w:r w:rsidR="00C7608B" w:rsidRPr="00D133EA">
        <w:rPr>
          <w:rFonts w:cs="Arial"/>
          <w:b/>
          <w:bCs/>
          <w:sz w:val="20"/>
          <w:szCs w:val="20"/>
          <w:lang w:eastAsia="cs-CZ"/>
        </w:rPr>
        <w:t>2024</w:t>
      </w:r>
      <w:proofErr w:type="gramEnd"/>
      <w:r w:rsidR="00A43544" w:rsidRPr="00D133EA">
        <w:rPr>
          <w:rFonts w:cs="Arial"/>
          <w:b/>
          <w:bCs/>
          <w:sz w:val="20"/>
          <w:szCs w:val="20"/>
          <w:lang w:eastAsia="cs-CZ"/>
        </w:rPr>
        <w:t>.</w:t>
      </w:r>
    </w:p>
    <w:p w14:paraId="50D9A71F" w14:textId="77777777" w:rsidR="003569E0" w:rsidRPr="00D75176" w:rsidRDefault="003569E0" w:rsidP="00D75176">
      <w:pPr>
        <w:rPr>
          <w:rFonts w:cs="Arial"/>
          <w:bCs/>
          <w:sz w:val="20"/>
          <w:szCs w:val="20"/>
        </w:rPr>
      </w:pPr>
    </w:p>
    <w:p w14:paraId="7425EE04" w14:textId="77777777" w:rsidR="00F17E74" w:rsidRDefault="00F17E74" w:rsidP="00F42640">
      <w:pPr>
        <w:rPr>
          <w:rFonts w:cs="Arial"/>
          <w:szCs w:val="20"/>
        </w:rPr>
      </w:pPr>
      <w:r w:rsidRPr="0035060D">
        <w:rPr>
          <w:rFonts w:cs="Arial"/>
          <w:bCs/>
          <w:szCs w:val="20"/>
        </w:rPr>
        <w:t xml:space="preserve">Opatření </w:t>
      </w:r>
      <w:r>
        <w:rPr>
          <w:rFonts w:cs="Arial"/>
          <w:bCs/>
          <w:szCs w:val="20"/>
        </w:rPr>
        <w:t>6</w:t>
      </w:r>
      <w:r>
        <w:rPr>
          <w:rFonts w:cs="Arial"/>
          <w:szCs w:val="20"/>
        </w:rPr>
        <w:t xml:space="preserve">.2.2 </w:t>
      </w:r>
      <w:r w:rsidRPr="0057756D">
        <w:rPr>
          <w:rFonts w:cs="Arial"/>
          <w:szCs w:val="20"/>
        </w:rPr>
        <w:t>Realizovat školení pro soudce, státní zástupce, asistenty, čekatele a vyšší soudní úředníky, které bude zaměřené na problematiku zdravotního postižení a práv vyplývajících z Úmluvy, zejména práva na podporu a bezpečí při právním jednání, dále na problematiku komunikace s</w:t>
      </w:r>
      <w:r>
        <w:rPr>
          <w:rFonts w:cs="Arial"/>
          <w:szCs w:val="20"/>
        </w:rPr>
        <w:t> </w:t>
      </w:r>
      <w:r w:rsidRPr="0057756D">
        <w:rPr>
          <w:rFonts w:cs="Arial"/>
          <w:szCs w:val="20"/>
        </w:rPr>
        <w:t>vybranými skupinami osob se zdravotním postižením (komunikační systémy osob se sluchovým postižením, snadno srozu</w:t>
      </w:r>
      <w:r>
        <w:rPr>
          <w:rFonts w:cs="Arial"/>
          <w:szCs w:val="20"/>
        </w:rPr>
        <w:t>mitelná forma komunikace atd.).</w:t>
      </w:r>
    </w:p>
    <w:p w14:paraId="6E290517" w14:textId="77777777" w:rsidR="00F17E74" w:rsidRPr="0057756D" w:rsidRDefault="00F17E74" w:rsidP="00F42640">
      <w:pPr>
        <w:rPr>
          <w:rFonts w:cs="Arial"/>
          <w:szCs w:val="20"/>
        </w:rPr>
      </w:pPr>
      <w:r w:rsidRPr="0057756D">
        <w:rPr>
          <w:rFonts w:cs="Arial"/>
          <w:szCs w:val="20"/>
        </w:rPr>
        <w:t>Termín: průběžně</w:t>
      </w:r>
    </w:p>
    <w:p w14:paraId="36B52417" w14:textId="77777777" w:rsidR="00F17E74" w:rsidRPr="0057756D" w:rsidRDefault="00F17E74" w:rsidP="00F42640">
      <w:pPr>
        <w:rPr>
          <w:rFonts w:cs="Arial"/>
          <w:szCs w:val="20"/>
        </w:rPr>
      </w:pPr>
      <w:r w:rsidRPr="0057756D">
        <w:rPr>
          <w:rFonts w:cs="Arial"/>
          <w:szCs w:val="20"/>
        </w:rPr>
        <w:t xml:space="preserve">Gestor: </w:t>
      </w:r>
      <w:r>
        <w:rPr>
          <w:rFonts w:cs="Arial"/>
          <w:szCs w:val="20"/>
        </w:rPr>
        <w:t>MSp</w:t>
      </w:r>
    </w:p>
    <w:p w14:paraId="5E364D03" w14:textId="7276FE21" w:rsidR="004D7835" w:rsidRDefault="00F17E74" w:rsidP="00F42640">
      <w:pPr>
        <w:rPr>
          <w:rFonts w:cs="Arial"/>
          <w:szCs w:val="20"/>
        </w:rPr>
      </w:pPr>
      <w:r w:rsidRPr="00171029">
        <w:rPr>
          <w:rFonts w:cs="Arial"/>
          <w:szCs w:val="20"/>
        </w:rPr>
        <w:t xml:space="preserve">Indikátor: </w:t>
      </w:r>
      <w:r>
        <w:rPr>
          <w:rFonts w:cs="Arial"/>
          <w:szCs w:val="20"/>
        </w:rPr>
        <w:t>J</w:t>
      </w:r>
      <w:r w:rsidRPr="007A148F">
        <w:rPr>
          <w:rFonts w:cs="Arial"/>
          <w:szCs w:val="20"/>
        </w:rPr>
        <w:t>sou realizov</w:t>
      </w:r>
      <w:r w:rsidR="005F489F">
        <w:rPr>
          <w:rFonts w:cs="Arial"/>
          <w:szCs w:val="20"/>
        </w:rPr>
        <w:t xml:space="preserve">ána školení na uvedená témata. </w:t>
      </w:r>
      <w:r>
        <w:rPr>
          <w:rFonts w:cs="Arial"/>
          <w:szCs w:val="20"/>
        </w:rPr>
        <w:t xml:space="preserve">Informace o plnění opatření </w:t>
      </w:r>
      <w:r w:rsidRPr="00171029">
        <w:rPr>
          <w:rFonts w:cs="Arial"/>
          <w:szCs w:val="20"/>
        </w:rPr>
        <w:t xml:space="preserve">obsahuje </w:t>
      </w:r>
      <w:r>
        <w:rPr>
          <w:rFonts w:cs="Arial"/>
          <w:szCs w:val="20"/>
        </w:rPr>
        <w:t>p</w:t>
      </w:r>
      <w:r w:rsidRPr="00171029">
        <w:rPr>
          <w:rFonts w:cs="Arial"/>
          <w:szCs w:val="20"/>
        </w:rPr>
        <w:t>očet napláno</w:t>
      </w:r>
      <w:r>
        <w:rPr>
          <w:rFonts w:cs="Arial"/>
          <w:szCs w:val="20"/>
        </w:rPr>
        <w:t xml:space="preserve">vaných i realizovaných školení a </w:t>
      </w:r>
      <w:r w:rsidRPr="00171029">
        <w:rPr>
          <w:rFonts w:cs="Arial"/>
          <w:szCs w:val="20"/>
        </w:rPr>
        <w:t>počet</w:t>
      </w:r>
      <w:r>
        <w:rPr>
          <w:rFonts w:cs="Arial"/>
          <w:szCs w:val="20"/>
        </w:rPr>
        <w:t xml:space="preserve"> jejich</w:t>
      </w:r>
      <w:r w:rsidRPr="00171029">
        <w:rPr>
          <w:rFonts w:cs="Arial"/>
          <w:szCs w:val="20"/>
        </w:rPr>
        <w:t xml:space="preserve"> účastníků</w:t>
      </w:r>
      <w:bookmarkStart w:id="28" w:name="_Toc38548792"/>
      <w:bookmarkStart w:id="29" w:name="_Toc38828889"/>
      <w:r w:rsidR="006A7C07">
        <w:rPr>
          <w:rFonts w:cs="Arial"/>
          <w:szCs w:val="20"/>
        </w:rPr>
        <w:t>.</w:t>
      </w:r>
    </w:p>
    <w:p w14:paraId="5A003FE8" w14:textId="77777777" w:rsidR="00F42640" w:rsidRPr="00067FD8" w:rsidRDefault="00F42640" w:rsidP="00067FD8">
      <w:pPr>
        <w:rPr>
          <w:rFonts w:cs="Arial"/>
          <w:sz w:val="20"/>
          <w:szCs w:val="20"/>
        </w:rPr>
      </w:pPr>
    </w:p>
    <w:p w14:paraId="48E32E32" w14:textId="39735942" w:rsidR="00FA3F7B" w:rsidRPr="00067FD8" w:rsidRDefault="00FA3F7B" w:rsidP="00067FD8">
      <w:pPr>
        <w:tabs>
          <w:tab w:val="left" w:pos="720"/>
        </w:tabs>
        <w:rPr>
          <w:rFonts w:cs="Arial"/>
          <w:b/>
          <w:bCs/>
          <w:sz w:val="20"/>
          <w:szCs w:val="20"/>
          <w:lang w:eastAsia="cs-CZ"/>
        </w:rPr>
      </w:pPr>
      <w:r w:rsidRPr="00067FD8">
        <w:rPr>
          <w:rFonts w:cs="Arial"/>
          <w:b/>
          <w:bCs/>
          <w:sz w:val="20"/>
          <w:szCs w:val="20"/>
          <w:lang w:eastAsia="cs-CZ"/>
        </w:rPr>
        <w:t xml:space="preserve">PLNĚNÍ </w:t>
      </w:r>
      <w:r w:rsidR="005F489F" w:rsidRPr="00067FD8">
        <w:rPr>
          <w:rFonts w:cs="Arial"/>
          <w:b/>
          <w:bCs/>
          <w:sz w:val="20"/>
          <w:szCs w:val="20"/>
          <w:lang w:eastAsia="cs-CZ"/>
        </w:rPr>
        <w:t>MSp</w:t>
      </w:r>
      <w:r w:rsidRPr="00067FD8">
        <w:rPr>
          <w:rFonts w:cs="Arial"/>
          <w:b/>
          <w:bCs/>
          <w:sz w:val="20"/>
          <w:szCs w:val="20"/>
          <w:lang w:eastAsia="cs-CZ"/>
        </w:rPr>
        <w:t>:</w:t>
      </w:r>
    </w:p>
    <w:p w14:paraId="51FAC918" w14:textId="2EB61399" w:rsidR="00067FD8" w:rsidRPr="00067FD8" w:rsidRDefault="00067FD8" w:rsidP="00067FD8">
      <w:pPr>
        <w:rPr>
          <w:rFonts w:cs="Arial"/>
          <w:sz w:val="20"/>
          <w:szCs w:val="20"/>
        </w:rPr>
      </w:pPr>
      <w:r w:rsidRPr="00067FD8">
        <w:rPr>
          <w:rFonts w:cs="Arial"/>
          <w:sz w:val="20"/>
          <w:szCs w:val="20"/>
        </w:rPr>
        <w:lastRenderedPageBreak/>
        <w:t>Justiční akademie k dané problematice realizovala v roce 2023 níže uvedené vzdělávací akce:</w:t>
      </w:r>
    </w:p>
    <w:p w14:paraId="5B9F62C4" w14:textId="047D4E8C" w:rsidR="00067FD8" w:rsidRPr="00067FD8" w:rsidRDefault="00067FD8" w:rsidP="00067FD8">
      <w:pPr>
        <w:pStyle w:val="Odstavecseseznamem"/>
        <w:numPr>
          <w:ilvl w:val="0"/>
          <w:numId w:val="21"/>
        </w:numPr>
        <w:rPr>
          <w:rFonts w:cs="Arial"/>
          <w:sz w:val="20"/>
          <w:szCs w:val="20"/>
        </w:rPr>
      </w:pPr>
      <w:r w:rsidRPr="00067FD8">
        <w:rPr>
          <w:rFonts w:cs="Arial"/>
          <w:sz w:val="20"/>
          <w:szCs w:val="20"/>
        </w:rPr>
        <w:t>Rodiče a děti se zdravotním, smyslovým či duševním postižením (7. února 2023, Praha, 17 účastníků)</w:t>
      </w:r>
    </w:p>
    <w:p w14:paraId="7BB18C9E" w14:textId="007EB4A6" w:rsidR="00067FD8" w:rsidRPr="00067FD8" w:rsidRDefault="00067FD8" w:rsidP="00067FD8">
      <w:pPr>
        <w:pStyle w:val="Odstavecseseznamem"/>
        <w:rPr>
          <w:rFonts w:cs="Arial"/>
          <w:sz w:val="20"/>
          <w:szCs w:val="20"/>
        </w:rPr>
      </w:pPr>
      <w:r w:rsidRPr="00067FD8">
        <w:rPr>
          <w:sz w:val="20"/>
          <w:szCs w:val="20"/>
        </w:rPr>
        <w:t>Školení bylo zaměřeno na rekapitulaci judikatury a standardů v dané oblasti a dále na roli soudce při zabezpečování pozitivních závazků státu v této problematice. Tématem byla též role soudců v podpoře rodiny se zdravotně či duševně postiženým dítětem a způsoby zohlednění takové okolnosti v různých typech rodinně právních řízení. Lektoři se také zaměřili na další problémy zacházení s duševně či zdravotně postiženými rodiči, na které mohou soudci v rozhodovací praxi narazit.</w:t>
      </w:r>
    </w:p>
    <w:p w14:paraId="0C8C314A" w14:textId="39B22F2F" w:rsidR="00067FD8" w:rsidRPr="00067FD8" w:rsidRDefault="00067FD8" w:rsidP="00067FD8">
      <w:pPr>
        <w:pStyle w:val="Odstavecseseznamem"/>
        <w:numPr>
          <w:ilvl w:val="0"/>
          <w:numId w:val="21"/>
        </w:numPr>
        <w:rPr>
          <w:rFonts w:cs="Arial"/>
          <w:sz w:val="20"/>
          <w:szCs w:val="20"/>
        </w:rPr>
      </w:pPr>
      <w:r w:rsidRPr="00067FD8">
        <w:rPr>
          <w:rFonts w:cs="Arial"/>
          <w:sz w:val="20"/>
          <w:szCs w:val="20"/>
        </w:rPr>
        <w:t>Rodinné právo soukromé pro opatrovnické soudce (25. – 27. ledna 2023, Kroměříž, 97 účastníků a 26. – 27. června 2023, Praha, 51 účastníků)</w:t>
      </w:r>
    </w:p>
    <w:p w14:paraId="64988EFB" w14:textId="1328C72D" w:rsidR="00067FD8" w:rsidRPr="00067FD8" w:rsidRDefault="00067FD8" w:rsidP="00067FD8">
      <w:pPr>
        <w:pStyle w:val="Odstavecseseznamem"/>
        <w:rPr>
          <w:sz w:val="20"/>
          <w:szCs w:val="20"/>
        </w:rPr>
      </w:pPr>
      <w:r w:rsidRPr="00067FD8">
        <w:rPr>
          <w:sz w:val="20"/>
          <w:szCs w:val="20"/>
        </w:rPr>
        <w:t>Na program těchto každoročně vypisovaných seminářů byl zařazen 90minutový blok, který se věnoval metodice určení míry potřeby podpory při právním rozhodování (tzv. clearingu) – viz bod č. 5).</w:t>
      </w:r>
    </w:p>
    <w:p w14:paraId="09232B6C" w14:textId="0E428F12" w:rsidR="00067FD8" w:rsidRPr="00067FD8" w:rsidRDefault="00067FD8" w:rsidP="00067FD8">
      <w:pPr>
        <w:pStyle w:val="Odstavecseseznamem"/>
        <w:numPr>
          <w:ilvl w:val="0"/>
          <w:numId w:val="21"/>
        </w:numPr>
        <w:rPr>
          <w:rFonts w:cs="Arial"/>
          <w:sz w:val="20"/>
          <w:szCs w:val="20"/>
        </w:rPr>
      </w:pPr>
      <w:r w:rsidRPr="00067FD8">
        <w:rPr>
          <w:rFonts w:cs="Arial"/>
          <w:sz w:val="20"/>
          <w:szCs w:val="20"/>
        </w:rPr>
        <w:t>Hate crime (10. května 2023, Praha, 23 účastníků)</w:t>
      </w:r>
    </w:p>
    <w:p w14:paraId="794B553B" w14:textId="6295EB52" w:rsidR="00067FD8" w:rsidRPr="00067FD8" w:rsidRDefault="00067FD8" w:rsidP="00067FD8">
      <w:pPr>
        <w:pStyle w:val="Odstavecseseznamem"/>
        <w:rPr>
          <w:sz w:val="20"/>
          <w:szCs w:val="20"/>
        </w:rPr>
      </w:pPr>
      <w:r w:rsidRPr="00067FD8">
        <w:rPr>
          <w:sz w:val="20"/>
          <w:szCs w:val="20"/>
        </w:rPr>
        <w:t>Na program semináře byl zařazen příspěvek s názvem „In</w:t>
      </w:r>
      <w:r w:rsidR="007E4475">
        <w:rPr>
          <w:sz w:val="20"/>
          <w:szCs w:val="20"/>
        </w:rPr>
        <w:t>dikátory předsudečného násilí v </w:t>
      </w:r>
      <w:r w:rsidRPr="00067FD8">
        <w:rPr>
          <w:sz w:val="20"/>
          <w:szCs w:val="20"/>
        </w:rPr>
        <w:t>praxi OČTR“, který prezentovala organizace zastupující oběti předsudečného násilí In Iustitia. V rámci příspěvku byly mimo jiné představeny výsledky výzkumu problematiky násilí páchaného na lidech se zdravotním postižením.</w:t>
      </w:r>
    </w:p>
    <w:p w14:paraId="739D65B4" w14:textId="083DFE42" w:rsidR="00067FD8" w:rsidRPr="00067FD8" w:rsidRDefault="00067FD8" w:rsidP="00067FD8">
      <w:pPr>
        <w:pStyle w:val="Odstavecseseznamem"/>
        <w:numPr>
          <w:ilvl w:val="0"/>
          <w:numId w:val="21"/>
        </w:numPr>
        <w:rPr>
          <w:rFonts w:cs="Arial"/>
          <w:sz w:val="20"/>
          <w:szCs w:val="20"/>
        </w:rPr>
      </w:pPr>
      <w:r w:rsidRPr="00067FD8">
        <w:rPr>
          <w:rFonts w:cs="Arial"/>
          <w:sz w:val="20"/>
          <w:szCs w:val="20"/>
        </w:rPr>
        <w:t>Studijní cesta do Rakouské republiky se zaměřením na řízení o svéprávnosti a civilní detenční řízení (6 účastníků)</w:t>
      </w:r>
    </w:p>
    <w:p w14:paraId="3968E18F" w14:textId="473D2941" w:rsidR="00067FD8" w:rsidRPr="00067FD8" w:rsidRDefault="00067FD8" w:rsidP="00067FD8">
      <w:pPr>
        <w:pStyle w:val="Odstavecseseznamem"/>
        <w:rPr>
          <w:sz w:val="20"/>
          <w:szCs w:val="20"/>
        </w:rPr>
      </w:pPr>
      <w:r w:rsidRPr="00067FD8">
        <w:rPr>
          <w:sz w:val="20"/>
          <w:szCs w:val="20"/>
        </w:rPr>
        <w:t>Předmětem studijní cesty byla problematika ochrany zranitelných dospělých s duševní poruchou v řízení o svéprávnosti a v detenčním řízení.</w:t>
      </w:r>
    </w:p>
    <w:p w14:paraId="6E3F83CF" w14:textId="0AFF6C2F" w:rsidR="00067FD8" w:rsidRPr="00067FD8" w:rsidRDefault="00067FD8" w:rsidP="00067FD8">
      <w:pPr>
        <w:pStyle w:val="Odstavecseseznamem"/>
        <w:numPr>
          <w:ilvl w:val="0"/>
          <w:numId w:val="21"/>
        </w:numPr>
        <w:rPr>
          <w:rFonts w:cs="Arial"/>
          <w:sz w:val="20"/>
          <w:szCs w:val="20"/>
        </w:rPr>
      </w:pPr>
      <w:r w:rsidRPr="00067FD8">
        <w:rPr>
          <w:rFonts w:cs="Arial"/>
          <w:sz w:val="20"/>
          <w:szCs w:val="20"/>
        </w:rPr>
        <w:t>Metodika hodnocení míry podpory při právním jednání (</w:t>
      </w:r>
      <w:r w:rsidRPr="00067FD8">
        <w:rPr>
          <w:sz w:val="20"/>
          <w:szCs w:val="20"/>
        </w:rPr>
        <w:t>tzv. clearing)</w:t>
      </w:r>
    </w:p>
    <w:p w14:paraId="193411FE" w14:textId="6FBCA4E0" w:rsidR="00067FD8" w:rsidRPr="00067FD8" w:rsidRDefault="00067FD8" w:rsidP="00067FD8">
      <w:pPr>
        <w:pStyle w:val="Odstavecseseznamem"/>
        <w:rPr>
          <w:sz w:val="20"/>
          <w:szCs w:val="20"/>
        </w:rPr>
      </w:pPr>
      <w:r w:rsidRPr="00067FD8">
        <w:rPr>
          <w:sz w:val="20"/>
          <w:szCs w:val="20"/>
        </w:rPr>
        <w:t>V rámci projektu „Zlepšení přístupu zranitelných skupin osob ke spravedlnosti“ byla ve spolupráci se Společností pro podporu osob s mentálním postižením zpracována metodika pro hodnocení míry podpory při právním jednání, která je moderním nástrojem používaným při soudním rozhodování o způsobu podpory zranitelných dospělých osob s duševním postižením při právním jednání. Tato metodika byla během roku 2023 z</w:t>
      </w:r>
      <w:r w:rsidR="007E4475">
        <w:rPr>
          <w:sz w:val="20"/>
          <w:szCs w:val="20"/>
        </w:rPr>
        <w:t>ařazena do vzdělávacích akcí, a </w:t>
      </w:r>
      <w:r w:rsidRPr="00067FD8">
        <w:rPr>
          <w:sz w:val="20"/>
          <w:szCs w:val="20"/>
        </w:rPr>
        <w:t>to jak pro soudce, tak pro soudní sociální pracovníky, kteří její fungování na vybraných soudech pilotně testovali. Kromě seminářů uvedených v bodě 2) byl clearing zařazen také na vzdělávací akci „Clearing: online konzultace pro soudní sociální pracovníky a jejich soudce“ (15 účastníků).</w:t>
      </w:r>
    </w:p>
    <w:p w14:paraId="3BD8EDE8" w14:textId="3D69A21D" w:rsidR="00FA3F7B" w:rsidRPr="00067FD8" w:rsidRDefault="00FA3F7B" w:rsidP="00067FD8">
      <w:pPr>
        <w:keepNext/>
        <w:tabs>
          <w:tab w:val="left" w:pos="720"/>
        </w:tabs>
        <w:rPr>
          <w:rFonts w:cs="Arial"/>
          <w:b/>
          <w:bCs/>
          <w:sz w:val="20"/>
          <w:szCs w:val="20"/>
          <w:lang w:eastAsia="cs-CZ"/>
        </w:rPr>
      </w:pPr>
      <w:r w:rsidRPr="00067FD8">
        <w:rPr>
          <w:rFonts w:cs="Arial"/>
          <w:b/>
          <w:bCs/>
          <w:sz w:val="20"/>
          <w:szCs w:val="20"/>
          <w:lang w:eastAsia="cs-CZ"/>
        </w:rPr>
        <w:t>STANOVISKO K PLNĚNÍ:</w:t>
      </w:r>
      <w:r w:rsidR="00DD5308" w:rsidRPr="00067FD8">
        <w:rPr>
          <w:rFonts w:cs="Arial"/>
          <w:b/>
          <w:bCs/>
          <w:sz w:val="20"/>
          <w:szCs w:val="20"/>
          <w:lang w:eastAsia="cs-CZ"/>
        </w:rPr>
        <w:t xml:space="preserve"> Plněno.</w:t>
      </w:r>
    </w:p>
    <w:p w14:paraId="091E80E0" w14:textId="77777777" w:rsidR="00FA3F7B" w:rsidRPr="007C127B" w:rsidRDefault="00FA3F7B" w:rsidP="007C127B">
      <w:pPr>
        <w:rPr>
          <w:rFonts w:cs="Arial"/>
          <w:sz w:val="20"/>
          <w:szCs w:val="20"/>
        </w:rPr>
      </w:pPr>
    </w:p>
    <w:p w14:paraId="643550F1" w14:textId="674B2574" w:rsidR="00F17E74" w:rsidRPr="001A5E6F" w:rsidRDefault="00544214" w:rsidP="00F42640">
      <w:pPr>
        <w:pStyle w:val="Nadpis2"/>
        <w:numPr>
          <w:ilvl w:val="0"/>
          <w:numId w:val="0"/>
        </w:numPr>
        <w:spacing w:before="0" w:after="120"/>
        <w:ind w:left="576" w:hanging="576"/>
      </w:pPr>
      <w:bookmarkStart w:id="30" w:name="_Toc101957895"/>
      <w:r w:rsidRPr="001A5E6F">
        <w:t>Oblast č. 7</w:t>
      </w:r>
      <w:r w:rsidR="00B345A2" w:rsidRPr="001A5E6F">
        <w:t>:</w:t>
      </w:r>
      <w:r w:rsidRPr="001A5E6F">
        <w:t xml:space="preserve"> </w:t>
      </w:r>
      <w:r w:rsidR="00F17E74" w:rsidRPr="001A5E6F">
        <w:t>Život v rodině</w:t>
      </w:r>
      <w:bookmarkEnd w:id="28"/>
      <w:bookmarkEnd w:id="29"/>
      <w:bookmarkEnd w:id="30"/>
      <w:r w:rsidR="00F17E74" w:rsidRPr="001A5E6F">
        <w:t xml:space="preserve"> </w:t>
      </w:r>
    </w:p>
    <w:p w14:paraId="19D5970F" w14:textId="226047BD" w:rsidR="00F17E74" w:rsidRPr="005F6539" w:rsidRDefault="00F17E74" w:rsidP="000E7339">
      <w:pPr>
        <w:spacing w:after="100"/>
        <w:rPr>
          <w:rFonts w:cs="Arial"/>
          <w:sz w:val="20"/>
          <w:szCs w:val="20"/>
        </w:rPr>
      </w:pPr>
      <w:r w:rsidRPr="005F6539">
        <w:rPr>
          <w:rFonts w:cs="Arial"/>
          <w:sz w:val="20"/>
          <w:szCs w:val="20"/>
        </w:rPr>
        <w:t>Život v rodině a přirozeném rodinném prostředí je důležitým předpokladem pro psychický i</w:t>
      </w:r>
      <w:r w:rsidR="006B3285" w:rsidRPr="005F6539">
        <w:rPr>
          <w:rFonts w:cs="Arial"/>
          <w:sz w:val="20"/>
          <w:szCs w:val="20"/>
        </w:rPr>
        <w:t> </w:t>
      </w:r>
      <w:r w:rsidRPr="005F6539">
        <w:rPr>
          <w:rFonts w:cs="Arial"/>
          <w:sz w:val="20"/>
          <w:szCs w:val="20"/>
        </w:rPr>
        <w:t>fyzický vývoj dětí.</w:t>
      </w:r>
      <w:r w:rsidR="00051952">
        <w:rPr>
          <w:rFonts w:cs="Arial"/>
          <w:sz w:val="20"/>
          <w:szCs w:val="20"/>
        </w:rPr>
        <w:t xml:space="preserve"> Opatření</w:t>
      </w:r>
      <w:r w:rsidRPr="005F6539">
        <w:rPr>
          <w:rFonts w:cs="Arial"/>
          <w:sz w:val="20"/>
          <w:szCs w:val="20"/>
        </w:rPr>
        <w:t xml:space="preserve"> jsou proto zaměřena na podporu rodin a jejich členů </w:t>
      </w:r>
      <w:r w:rsidR="00FA46FE" w:rsidRPr="005F6539">
        <w:rPr>
          <w:rFonts w:cs="Arial"/>
          <w:sz w:val="20"/>
          <w:szCs w:val="20"/>
        </w:rPr>
        <w:t>s cílem zachovat nebo </w:t>
      </w:r>
      <w:r w:rsidRPr="005F6539">
        <w:rPr>
          <w:rFonts w:cs="Arial"/>
          <w:sz w:val="20"/>
          <w:szCs w:val="20"/>
        </w:rPr>
        <w:t>obnovit funkci rodiny a na zvyšování zájmu o náhradní rodinnou péči. Důležité je podporovat především poskytování poradenské pomoci a podpory rodičům a dalším osobám pečujícím o</w:t>
      </w:r>
      <w:r w:rsidR="006B3285" w:rsidRPr="005F6539">
        <w:rPr>
          <w:rFonts w:cs="Arial"/>
          <w:sz w:val="20"/>
          <w:szCs w:val="20"/>
        </w:rPr>
        <w:t> </w:t>
      </w:r>
      <w:r w:rsidRPr="005F6539">
        <w:rPr>
          <w:rFonts w:cs="Arial"/>
          <w:sz w:val="20"/>
          <w:szCs w:val="20"/>
        </w:rPr>
        <w:t>dítě se zdravotním postižením a o profesionalizaci pěstounské péče tak, aby nedocházelo k častým změnám prostředí a střídání pečujících osob.</w:t>
      </w:r>
    </w:p>
    <w:p w14:paraId="3210D352" w14:textId="1FACFFF2" w:rsidR="00F17E74" w:rsidRDefault="00F17E74" w:rsidP="00051952">
      <w:pPr>
        <w:rPr>
          <w:rFonts w:cs="Arial"/>
          <w:sz w:val="20"/>
          <w:szCs w:val="20"/>
        </w:rPr>
      </w:pPr>
      <w:r w:rsidRPr="005F6539">
        <w:rPr>
          <w:rFonts w:cs="Arial"/>
          <w:sz w:val="20"/>
          <w:szCs w:val="20"/>
        </w:rPr>
        <w:t>Dále je nezbytné podporovat mladé lidi se zdravotním postižením, kteří opouštějí institucionální zařízení či poprvé vstupují do zaměstnání, aby mohli realizovat vlastní představy o samostatném životě. Úspěšné zvládnutí těchto životních změn napomáhá k následné snazší a efektivnější integraci do společnosti.</w:t>
      </w:r>
    </w:p>
    <w:p w14:paraId="4AE39E5C" w14:textId="77777777" w:rsidR="00051952" w:rsidRPr="005F6539" w:rsidRDefault="00051952" w:rsidP="00051952">
      <w:pPr>
        <w:rPr>
          <w:rFonts w:cs="Arial"/>
          <w:sz w:val="20"/>
          <w:szCs w:val="20"/>
        </w:rPr>
      </w:pPr>
    </w:p>
    <w:p w14:paraId="352FF7D4" w14:textId="77777777" w:rsidR="00F17E74" w:rsidRPr="00E6090E" w:rsidRDefault="00F17E74" w:rsidP="00051952">
      <w:pPr>
        <w:rPr>
          <w:rFonts w:cs="Arial"/>
          <w:b/>
          <w:bCs/>
          <w:szCs w:val="20"/>
        </w:rPr>
      </w:pPr>
      <w:r>
        <w:rPr>
          <w:rFonts w:cs="Arial"/>
          <w:b/>
          <w:bCs/>
          <w:szCs w:val="20"/>
        </w:rPr>
        <w:t xml:space="preserve">7.1 </w:t>
      </w:r>
      <w:r w:rsidRPr="00831152">
        <w:rPr>
          <w:rFonts w:cs="Arial"/>
          <w:b/>
          <w:bCs/>
          <w:szCs w:val="20"/>
        </w:rPr>
        <w:t xml:space="preserve">Cíl: </w:t>
      </w:r>
      <w:r>
        <w:rPr>
          <w:rFonts w:cs="Arial"/>
          <w:b/>
          <w:bCs/>
          <w:szCs w:val="20"/>
        </w:rPr>
        <w:t>Podpora snižování</w:t>
      </w:r>
      <w:r w:rsidRPr="00831152">
        <w:rPr>
          <w:rFonts w:cs="Arial"/>
          <w:b/>
          <w:bCs/>
          <w:szCs w:val="20"/>
        </w:rPr>
        <w:t xml:space="preserve"> počt</w:t>
      </w:r>
      <w:r>
        <w:rPr>
          <w:rFonts w:cs="Arial"/>
          <w:b/>
          <w:bCs/>
          <w:szCs w:val="20"/>
        </w:rPr>
        <w:t>u</w:t>
      </w:r>
      <w:r w:rsidRPr="00831152">
        <w:rPr>
          <w:rFonts w:cs="Arial"/>
          <w:b/>
          <w:bCs/>
          <w:szCs w:val="20"/>
        </w:rPr>
        <w:t xml:space="preserve"> dětí </w:t>
      </w:r>
      <w:r w:rsidRPr="002D3B01">
        <w:rPr>
          <w:rFonts w:eastAsia="Calibri" w:cs="Arial"/>
          <w:b/>
          <w:bCs/>
          <w:szCs w:val="20"/>
        </w:rPr>
        <w:t>se</w:t>
      </w:r>
      <w:r w:rsidRPr="00831152">
        <w:rPr>
          <w:rFonts w:cs="Arial"/>
          <w:b/>
          <w:bCs/>
          <w:szCs w:val="20"/>
        </w:rPr>
        <w:t xml:space="preserve"> zdravotním pos</w:t>
      </w:r>
      <w:r>
        <w:rPr>
          <w:rFonts w:cs="Arial"/>
          <w:b/>
          <w:bCs/>
          <w:szCs w:val="20"/>
        </w:rPr>
        <w:t>tižením v institucionální péči.</w:t>
      </w:r>
    </w:p>
    <w:p w14:paraId="0EFD76AF" w14:textId="77777777" w:rsidR="00F17E74" w:rsidRPr="00831152" w:rsidRDefault="00F17E74" w:rsidP="000E7339">
      <w:pPr>
        <w:spacing w:after="100"/>
        <w:rPr>
          <w:rFonts w:cs="Arial"/>
          <w:szCs w:val="20"/>
        </w:rPr>
      </w:pPr>
      <w:r w:rsidRPr="0035060D">
        <w:rPr>
          <w:rFonts w:cs="Arial"/>
          <w:bCs/>
          <w:szCs w:val="20"/>
        </w:rPr>
        <w:t xml:space="preserve">Opatření </w:t>
      </w:r>
      <w:r>
        <w:rPr>
          <w:rFonts w:cs="Arial"/>
          <w:bCs/>
          <w:szCs w:val="20"/>
        </w:rPr>
        <w:t>7</w:t>
      </w:r>
      <w:r>
        <w:rPr>
          <w:rFonts w:cs="Arial"/>
          <w:szCs w:val="20"/>
        </w:rPr>
        <w:t xml:space="preserve">.1.1 </w:t>
      </w:r>
      <w:r w:rsidRPr="00831152">
        <w:rPr>
          <w:rFonts w:cs="Arial"/>
          <w:szCs w:val="20"/>
        </w:rPr>
        <w:t>Rozvíjet a profesionalizovat náhradní rodinnou péči za účelem zvýšení počtu zájemců o poskytování náhradní rodinné péče dětem se zdravotním postižením, zajištění jejich odborné přípravy k přijetí dítěte se zdravotním postižením do rodiny a adekvátní podpory v průběhu poskytování pěstounské péče tomuto dítěti.</w:t>
      </w:r>
    </w:p>
    <w:p w14:paraId="2CBEBF83" w14:textId="77777777" w:rsidR="00F17E74" w:rsidRPr="00831152" w:rsidRDefault="00F17E74" w:rsidP="000E7339">
      <w:pPr>
        <w:spacing w:after="100"/>
        <w:rPr>
          <w:rFonts w:cs="Arial"/>
          <w:szCs w:val="20"/>
        </w:rPr>
      </w:pPr>
      <w:r w:rsidRPr="00831152">
        <w:rPr>
          <w:rFonts w:cs="Arial"/>
          <w:szCs w:val="20"/>
        </w:rPr>
        <w:t>Termín: průběžně</w:t>
      </w:r>
    </w:p>
    <w:p w14:paraId="2CC5D750" w14:textId="77777777" w:rsidR="00F17E74" w:rsidRPr="00831152" w:rsidRDefault="00F17E74" w:rsidP="000E7339">
      <w:pPr>
        <w:spacing w:after="100"/>
        <w:rPr>
          <w:rFonts w:cs="Arial"/>
          <w:szCs w:val="20"/>
        </w:rPr>
      </w:pPr>
      <w:r w:rsidRPr="00831152">
        <w:rPr>
          <w:rFonts w:cs="Arial"/>
          <w:szCs w:val="20"/>
        </w:rPr>
        <w:lastRenderedPageBreak/>
        <w:t>Gestor: MPSV</w:t>
      </w:r>
    </w:p>
    <w:p w14:paraId="355B66B3" w14:textId="63E3DEC1" w:rsidR="00DC74C8" w:rsidRDefault="00F17E74" w:rsidP="00997653">
      <w:pPr>
        <w:rPr>
          <w:rFonts w:cs="Arial"/>
          <w:szCs w:val="20"/>
        </w:rPr>
      </w:pPr>
      <w:r w:rsidRPr="00831152">
        <w:rPr>
          <w:rFonts w:cs="Arial"/>
          <w:szCs w:val="20"/>
        </w:rPr>
        <w:t xml:space="preserve">Indikátor: </w:t>
      </w:r>
      <w:r w:rsidRPr="007A148F">
        <w:rPr>
          <w:rFonts w:cs="Arial"/>
          <w:szCs w:val="20"/>
        </w:rPr>
        <w:t>V daném období byl</w:t>
      </w:r>
      <w:r>
        <w:rPr>
          <w:rFonts w:cs="Arial"/>
          <w:szCs w:val="20"/>
        </w:rPr>
        <w:t>y</w:t>
      </w:r>
      <w:r w:rsidRPr="007A148F">
        <w:rPr>
          <w:rFonts w:cs="Arial"/>
          <w:szCs w:val="20"/>
        </w:rPr>
        <w:t xml:space="preserve"> realizován</w:t>
      </w:r>
      <w:r>
        <w:rPr>
          <w:rFonts w:cs="Arial"/>
          <w:szCs w:val="20"/>
        </w:rPr>
        <w:t xml:space="preserve">y </w:t>
      </w:r>
      <w:r w:rsidR="006025E2">
        <w:rPr>
          <w:rFonts w:cs="Arial"/>
          <w:szCs w:val="20"/>
        </w:rPr>
        <w:t xml:space="preserve">uvedené </w:t>
      </w:r>
      <w:r>
        <w:rPr>
          <w:rFonts w:cs="Arial"/>
          <w:szCs w:val="20"/>
        </w:rPr>
        <w:t>programy</w:t>
      </w:r>
      <w:r w:rsidR="006025E2">
        <w:rPr>
          <w:rFonts w:cs="Arial"/>
          <w:szCs w:val="20"/>
        </w:rPr>
        <w:t>.</w:t>
      </w:r>
    </w:p>
    <w:p w14:paraId="37E57A57" w14:textId="77777777" w:rsidR="00997653" w:rsidRPr="00060BF2" w:rsidRDefault="00997653" w:rsidP="00060BF2">
      <w:pPr>
        <w:rPr>
          <w:rFonts w:cs="Arial"/>
          <w:sz w:val="20"/>
          <w:szCs w:val="20"/>
        </w:rPr>
      </w:pPr>
    </w:p>
    <w:p w14:paraId="7914E632" w14:textId="10140732" w:rsidR="004C05CC" w:rsidRPr="00630D20" w:rsidRDefault="004C05CC" w:rsidP="00630D20">
      <w:pPr>
        <w:keepNext/>
        <w:tabs>
          <w:tab w:val="left" w:pos="720"/>
        </w:tabs>
        <w:rPr>
          <w:rFonts w:cs="Arial"/>
          <w:b/>
          <w:bCs/>
          <w:sz w:val="20"/>
          <w:szCs w:val="20"/>
          <w:lang w:eastAsia="cs-CZ"/>
        </w:rPr>
      </w:pPr>
      <w:r w:rsidRPr="00630D20">
        <w:rPr>
          <w:rFonts w:cs="Arial"/>
          <w:b/>
          <w:bCs/>
          <w:sz w:val="20"/>
          <w:szCs w:val="20"/>
          <w:lang w:eastAsia="cs-CZ"/>
        </w:rPr>
        <w:t>PLNĚNÍ MPSV:</w:t>
      </w:r>
    </w:p>
    <w:p w14:paraId="015DDD36" w14:textId="77777777" w:rsidR="00630D20" w:rsidRPr="00630D20" w:rsidRDefault="00630D20" w:rsidP="00630D20">
      <w:pPr>
        <w:rPr>
          <w:rFonts w:cs="Arial"/>
          <w:sz w:val="20"/>
          <w:szCs w:val="20"/>
          <w:highlight w:val="yellow"/>
        </w:rPr>
      </w:pPr>
      <w:r w:rsidRPr="00630D20">
        <w:rPr>
          <w:rFonts w:cs="Arial"/>
          <w:sz w:val="20"/>
          <w:szCs w:val="20"/>
        </w:rPr>
        <w:t xml:space="preserve">MPSV realizuje Národní strategii ochrany práv dětí 2021–2029. V jejím rámci je jeden ze šesti klíčových cílů věnován záruce bezpečné péče v rodinném prostředí. Tento cíl je naplňován opatřením A2 I. akčního plánu </w:t>
      </w:r>
      <w:r w:rsidRPr="005D3BDC">
        <w:rPr>
          <w:rFonts w:cs="Arial"/>
          <w:iCs/>
          <w:sz w:val="20"/>
          <w:szCs w:val="20"/>
        </w:rPr>
        <w:t>„Zpracování nové koncepce moderní náhradní péče o děti</w:t>
      </w:r>
      <w:r w:rsidRPr="00630D20">
        <w:rPr>
          <w:rFonts w:cs="Arial"/>
          <w:i/>
          <w:iCs/>
          <w:sz w:val="20"/>
          <w:szCs w:val="20"/>
        </w:rPr>
        <w:t>“</w:t>
      </w:r>
      <w:r w:rsidRPr="00630D20">
        <w:rPr>
          <w:rFonts w:cs="Arial"/>
          <w:sz w:val="20"/>
          <w:szCs w:val="20"/>
        </w:rPr>
        <w:t>.</w:t>
      </w:r>
    </w:p>
    <w:p w14:paraId="08FC00C4" w14:textId="0A4A3278" w:rsidR="00630D20" w:rsidRPr="00630D20" w:rsidRDefault="00630D20" w:rsidP="00630D20">
      <w:pPr>
        <w:rPr>
          <w:rFonts w:cs="Arial"/>
          <w:b/>
          <w:bCs/>
          <w:sz w:val="20"/>
          <w:szCs w:val="20"/>
        </w:rPr>
      </w:pPr>
      <w:r w:rsidRPr="00630D20">
        <w:rPr>
          <w:rFonts w:cs="Arial"/>
          <w:sz w:val="20"/>
          <w:szCs w:val="20"/>
        </w:rPr>
        <w:t xml:space="preserve">K naplnění tohoto opatření přispívá projekt MPSV </w:t>
      </w:r>
      <w:r w:rsidRPr="005D3BDC">
        <w:rPr>
          <w:rFonts w:cs="Arial"/>
          <w:iCs/>
          <w:sz w:val="20"/>
          <w:szCs w:val="20"/>
        </w:rPr>
        <w:t>„Standardizace procesu zabezpečení náhradní rodinné péče o děti“</w:t>
      </w:r>
      <w:r w:rsidRPr="005D3BDC">
        <w:rPr>
          <w:rFonts w:cs="Arial"/>
          <w:sz w:val="20"/>
          <w:szCs w:val="20"/>
        </w:rPr>
        <w:t xml:space="preserve"> realizovaný od 1. 11. 2022 do 31.</w:t>
      </w:r>
      <w:r w:rsidRPr="00630D20">
        <w:rPr>
          <w:rFonts w:cs="Arial"/>
          <w:sz w:val="20"/>
          <w:szCs w:val="20"/>
        </w:rPr>
        <w:t xml:space="preserve"> 12. 2025</w:t>
      </w:r>
      <w:r w:rsidR="007E4475">
        <w:rPr>
          <w:rFonts w:cs="Arial"/>
          <w:sz w:val="20"/>
          <w:szCs w:val="20"/>
        </w:rPr>
        <w:t>. Projekt reaguje na problémy v </w:t>
      </w:r>
      <w:r w:rsidRPr="00630D20">
        <w:rPr>
          <w:rFonts w:cs="Arial"/>
          <w:sz w:val="20"/>
          <w:szCs w:val="20"/>
        </w:rPr>
        <w:t>dosavadní praxi systému náhradní rodinné péče, která je krajově, s</w:t>
      </w:r>
      <w:r w:rsidR="007E4475">
        <w:rPr>
          <w:rFonts w:cs="Arial"/>
          <w:sz w:val="20"/>
          <w:szCs w:val="20"/>
        </w:rPr>
        <w:t>ystémově i časově roztříštěná a </w:t>
      </w:r>
      <w:r w:rsidRPr="00630D20">
        <w:rPr>
          <w:rFonts w:cs="Arial"/>
          <w:sz w:val="20"/>
          <w:szCs w:val="20"/>
        </w:rPr>
        <w:t>nedokáže tak pružně a rychle reagovat na potřeby dětí. </w:t>
      </w:r>
      <w:r w:rsidRPr="00630D20">
        <w:rPr>
          <w:rStyle w:val="Siln"/>
          <w:rFonts w:cs="Arial"/>
          <w:b w:val="0"/>
          <w:bCs w:val="0"/>
          <w:sz w:val="20"/>
          <w:szCs w:val="20"/>
        </w:rPr>
        <w:t xml:space="preserve">Hlavní cíl šesti projektových aktivit </w:t>
      </w:r>
      <w:r w:rsidRPr="00630D20">
        <w:rPr>
          <w:rFonts w:cs="Arial"/>
          <w:sz w:val="20"/>
          <w:szCs w:val="20"/>
        </w:rPr>
        <w:t xml:space="preserve">je zefektivnění a zjednodušení procesu zabezpečení ochrany a pomoci dětem v systému náhradní rodinné péče prostřednictvím </w:t>
      </w:r>
      <w:r w:rsidRPr="00630D20">
        <w:rPr>
          <w:rStyle w:val="Siln"/>
          <w:rFonts w:cs="Arial"/>
          <w:b w:val="0"/>
          <w:bCs w:val="0"/>
          <w:sz w:val="20"/>
          <w:szCs w:val="20"/>
        </w:rPr>
        <w:t>standardizace procesu</w:t>
      </w:r>
      <w:r w:rsidRPr="00630D20">
        <w:rPr>
          <w:rFonts w:cs="Arial"/>
          <w:sz w:val="20"/>
          <w:szCs w:val="20"/>
        </w:rPr>
        <w:t xml:space="preserve"> zprostředkování náhradní rodinné péče</w:t>
      </w:r>
      <w:r w:rsidRPr="00630D20">
        <w:rPr>
          <w:rFonts w:cs="Arial"/>
          <w:b/>
          <w:bCs/>
          <w:sz w:val="20"/>
          <w:szCs w:val="20"/>
        </w:rPr>
        <w:t xml:space="preserve"> </w:t>
      </w:r>
      <w:r w:rsidR="007E4475">
        <w:rPr>
          <w:rStyle w:val="Siln"/>
          <w:rFonts w:cs="Arial"/>
          <w:b w:val="0"/>
          <w:bCs w:val="0"/>
          <w:sz w:val="20"/>
          <w:szCs w:val="20"/>
        </w:rPr>
        <w:t>s </w:t>
      </w:r>
      <w:r w:rsidRPr="00630D20">
        <w:rPr>
          <w:rStyle w:val="Siln"/>
          <w:rFonts w:cs="Arial"/>
          <w:b w:val="0"/>
          <w:bCs w:val="0"/>
          <w:sz w:val="20"/>
          <w:szCs w:val="20"/>
        </w:rPr>
        <w:t xml:space="preserve">ohledem na krajová specifika v souladu s novelizací zákona o sociálně-právní ochraně dětí. </w:t>
      </w:r>
      <w:r w:rsidRPr="00630D20">
        <w:rPr>
          <w:rFonts w:cs="Arial"/>
          <w:sz w:val="20"/>
          <w:szCs w:val="20"/>
        </w:rPr>
        <w:t xml:space="preserve">Projekt se snaží propojit identifikované kompetence zájemců a zájemkyň o poskytování náhradní rodinné péče s potřebami dětí. </w:t>
      </w:r>
    </w:p>
    <w:p w14:paraId="46B60FC2" w14:textId="68DBB66F" w:rsidR="00630D20" w:rsidRPr="00630D20" w:rsidRDefault="00630D20" w:rsidP="00630D20">
      <w:pPr>
        <w:pStyle w:val="Normlnweb"/>
        <w:shd w:val="clear" w:color="auto" w:fill="FFFFFF"/>
        <w:spacing w:after="120"/>
        <w:rPr>
          <w:rFonts w:ascii="Arial" w:hAnsi="Arial" w:cs="Arial"/>
          <w:sz w:val="20"/>
          <w:szCs w:val="20"/>
        </w:rPr>
      </w:pPr>
      <w:r w:rsidRPr="00630D20">
        <w:rPr>
          <w:rFonts w:ascii="Arial" w:hAnsi="Arial" w:cs="Arial"/>
          <w:sz w:val="20"/>
          <w:szCs w:val="20"/>
        </w:rPr>
        <w:t xml:space="preserve">Opatření je plněno převážně </w:t>
      </w:r>
      <w:r w:rsidRPr="005D3BDC">
        <w:rPr>
          <w:rFonts w:ascii="Arial" w:hAnsi="Arial" w:cs="Arial"/>
          <w:bCs/>
          <w:sz w:val="20"/>
          <w:szCs w:val="20"/>
        </w:rPr>
        <w:t xml:space="preserve">klíčovou aktivitou </w:t>
      </w:r>
      <w:r w:rsidRPr="005D3BDC">
        <w:rPr>
          <w:rFonts w:ascii="Arial" w:hAnsi="Arial" w:cs="Arial"/>
          <w:bCs/>
          <w:noProof/>
          <w:sz w:val="20"/>
          <w:szCs w:val="20"/>
        </w:rPr>
        <w:t>Poskytování NRP pro děti se specifickými potřebami</w:t>
      </w:r>
      <w:r w:rsidRPr="005D3BDC">
        <w:rPr>
          <w:rFonts w:ascii="Arial" w:hAnsi="Arial" w:cs="Arial"/>
          <w:noProof/>
          <w:sz w:val="20"/>
          <w:szCs w:val="20"/>
        </w:rPr>
        <w:t>. Protože jsou aktivity projektu vzájemně provázané</w:t>
      </w:r>
      <w:r w:rsidRPr="00630D20">
        <w:rPr>
          <w:rFonts w:ascii="Arial" w:hAnsi="Arial" w:cs="Arial"/>
          <w:noProof/>
          <w:sz w:val="20"/>
          <w:szCs w:val="20"/>
        </w:rPr>
        <w:t>, uvádíme stručný přehled</w:t>
      </w:r>
      <w:r w:rsidR="007E4475">
        <w:rPr>
          <w:rFonts w:ascii="Arial" w:hAnsi="Arial" w:cs="Arial"/>
          <w:sz w:val="20"/>
          <w:szCs w:val="20"/>
        </w:rPr>
        <w:t>, co bylo realizováno i </w:t>
      </w:r>
      <w:r w:rsidRPr="00630D20">
        <w:rPr>
          <w:rFonts w:ascii="Arial" w:hAnsi="Arial" w:cs="Arial"/>
          <w:sz w:val="20"/>
          <w:szCs w:val="20"/>
        </w:rPr>
        <w:t>v rámci ostatních aktivit a vztahuje se k danému opatření:</w:t>
      </w:r>
    </w:p>
    <w:p w14:paraId="51875F6D" w14:textId="77777777" w:rsidR="00630D20" w:rsidRPr="00630D20" w:rsidRDefault="00630D20" w:rsidP="00630D20">
      <w:pPr>
        <w:pStyle w:val="Nadpis1"/>
        <w:numPr>
          <w:ilvl w:val="0"/>
          <w:numId w:val="0"/>
        </w:numPr>
        <w:pBdr>
          <w:bottom w:val="none" w:sz="0" w:space="0" w:color="auto"/>
        </w:pBdr>
        <w:spacing w:after="120"/>
        <w:rPr>
          <w:noProof/>
          <w:color w:val="auto"/>
          <w:sz w:val="20"/>
          <w:szCs w:val="20"/>
        </w:rPr>
      </w:pPr>
      <w:r w:rsidRPr="00630D20">
        <w:rPr>
          <w:noProof/>
          <w:color w:val="auto"/>
          <w:sz w:val="20"/>
          <w:szCs w:val="20"/>
        </w:rPr>
        <w:t>Klíčová aktivita 1 – Standardizace postupů odborného posuzování zájemců o NRP</w:t>
      </w:r>
    </w:p>
    <w:p w14:paraId="5164C7F1" w14:textId="77777777" w:rsidR="00630D20" w:rsidRPr="00630D20" w:rsidRDefault="00630D20" w:rsidP="00630D20">
      <w:pPr>
        <w:rPr>
          <w:rFonts w:cs="Arial"/>
          <w:sz w:val="20"/>
          <w:szCs w:val="20"/>
        </w:rPr>
      </w:pPr>
      <w:bookmarkStart w:id="31" w:name="_Hlk132116218"/>
      <w:r w:rsidRPr="00630D20">
        <w:rPr>
          <w:rFonts w:cs="Arial"/>
          <w:sz w:val="20"/>
          <w:szCs w:val="20"/>
        </w:rPr>
        <w:t xml:space="preserve">Definování kompetencí náhradních rodičů a způsob jejich posuzování (tzn. kompetenční model) – byl vytvořen interní dokument s přehledem jednotlivých kompetencí a třech úrovní jejich vývoje. </w:t>
      </w:r>
    </w:p>
    <w:p w14:paraId="22573F3F" w14:textId="77777777" w:rsidR="00630D20" w:rsidRPr="00630D20" w:rsidRDefault="00630D20" w:rsidP="00630D20">
      <w:pPr>
        <w:shd w:val="clear" w:color="auto" w:fill="FFFFFF" w:themeFill="background1"/>
        <w:rPr>
          <w:rFonts w:cs="Arial"/>
          <w:sz w:val="20"/>
          <w:szCs w:val="20"/>
        </w:rPr>
      </w:pPr>
      <w:r w:rsidRPr="00630D20">
        <w:rPr>
          <w:rFonts w:cs="Arial"/>
          <w:sz w:val="20"/>
          <w:szCs w:val="20"/>
        </w:rPr>
        <w:t>24. 10. 2023 se uskutečnila mezinárodní on-line konference „Hledání nových cest ve zprostředkování NRP“</w:t>
      </w:r>
      <w:r w:rsidRPr="00630D20">
        <w:rPr>
          <w:rFonts w:cs="Arial"/>
          <w:b/>
          <w:bCs/>
          <w:sz w:val="20"/>
          <w:szCs w:val="20"/>
        </w:rPr>
        <w:t xml:space="preserve"> </w:t>
      </w:r>
      <w:r w:rsidRPr="00630D20">
        <w:rPr>
          <w:rFonts w:cs="Arial"/>
          <w:sz w:val="20"/>
          <w:szCs w:val="20"/>
        </w:rPr>
        <w:t xml:space="preserve">určená pracovníkům krajských úřadů, doprovázejících organizací, OÚ ORP. Na konferenci se </w:t>
      </w:r>
      <w:r w:rsidRPr="00630D20">
        <w:rPr>
          <w:rFonts w:cs="Arial"/>
          <w:sz w:val="20"/>
          <w:szCs w:val="20"/>
          <w:shd w:val="clear" w:color="auto" w:fill="FFFFFF" w:themeFill="background1"/>
        </w:rPr>
        <w:t>přihlásilo cca 267 zástupců všech</w:t>
      </w:r>
      <w:r w:rsidRPr="00630D20">
        <w:rPr>
          <w:rFonts w:cs="Arial"/>
          <w:sz w:val="20"/>
          <w:szCs w:val="20"/>
        </w:rPr>
        <w:t xml:space="preserve"> cílových skupin, po celou dobu trvání konference bylo on-line přihlášeno 248–260 účastníků. Konference byla evaluována – odpovědělo 74 účastníků; zpětná vazba byla velmi kladná.</w:t>
      </w:r>
    </w:p>
    <w:bookmarkEnd w:id="31"/>
    <w:p w14:paraId="08220D6F" w14:textId="77777777" w:rsidR="00630D20" w:rsidRPr="00630D20" w:rsidRDefault="00630D20" w:rsidP="00630D20">
      <w:pPr>
        <w:pStyle w:val="Nadpis1"/>
        <w:numPr>
          <w:ilvl w:val="0"/>
          <w:numId w:val="0"/>
        </w:numPr>
        <w:pBdr>
          <w:bottom w:val="none" w:sz="0" w:space="0" w:color="auto"/>
        </w:pBdr>
        <w:spacing w:after="120"/>
        <w:rPr>
          <w:color w:val="auto"/>
          <w:sz w:val="20"/>
          <w:szCs w:val="20"/>
        </w:rPr>
      </w:pPr>
      <w:r w:rsidRPr="00630D20">
        <w:rPr>
          <w:color w:val="auto"/>
          <w:sz w:val="20"/>
          <w:szCs w:val="20"/>
        </w:rPr>
        <w:t>Klíčová aktivita 2 – Standardizace evidence zájemců o NRP a evidence dětí, kterým je třeba zprostředkovat NRP</w:t>
      </w:r>
    </w:p>
    <w:p w14:paraId="1D6A21FC" w14:textId="62BA06C1" w:rsidR="00630D20" w:rsidRPr="00630D20" w:rsidRDefault="00630D20" w:rsidP="00630D20">
      <w:pPr>
        <w:tabs>
          <w:tab w:val="num" w:pos="1440"/>
        </w:tabs>
        <w:rPr>
          <w:rFonts w:cs="Arial"/>
          <w:sz w:val="20"/>
          <w:szCs w:val="20"/>
        </w:rPr>
      </w:pPr>
      <w:r w:rsidRPr="00630D20">
        <w:rPr>
          <w:rFonts w:cs="Arial"/>
          <w:sz w:val="20"/>
          <w:szCs w:val="20"/>
        </w:rPr>
        <w:t xml:space="preserve">Došlo ke </w:t>
      </w:r>
      <w:r w:rsidRPr="005D3BDC">
        <w:rPr>
          <w:rFonts w:cs="Arial"/>
          <w:sz w:val="20"/>
          <w:szCs w:val="20"/>
        </w:rPr>
        <w:t>zpracování sdílených seznamů žadatelů o dlouhodobou pěstounskou péči (</w:t>
      </w:r>
      <w:r w:rsidRPr="00630D20">
        <w:rPr>
          <w:rFonts w:cs="Arial"/>
          <w:sz w:val="20"/>
          <w:szCs w:val="20"/>
        </w:rPr>
        <w:t>od září 2023), které provizorně nahrazují absenci jednotné PC databáze. Díky tomu</w:t>
      </w:r>
      <w:r w:rsidR="007E4475">
        <w:rPr>
          <w:rFonts w:cs="Arial"/>
          <w:sz w:val="20"/>
          <w:szCs w:val="20"/>
        </w:rPr>
        <w:t xml:space="preserve"> dochází ke sdílení informací o </w:t>
      </w:r>
      <w:r w:rsidRPr="00630D20">
        <w:rPr>
          <w:rFonts w:cs="Arial"/>
          <w:sz w:val="20"/>
          <w:szCs w:val="20"/>
        </w:rPr>
        <w:t>pěstounech mezi MPSV a krajskými úřady. Cílem tohoto „provizorního“ avšak efektivního řešení je zlepšit a podpořit rychlost a efektivitu mezikrajové spolupráce pracovišť sociálně-právní ochrany dětí krajských úřadů při vyhledávání náhradní rodiny (pěstounské péče) u dětí, které se ocitají mimo svou rodinu a jsou v evidenci dětí vedených krajskými úřady. Ze stejného důvodu došlo ke konci roku 2023 k </w:t>
      </w:r>
      <w:r w:rsidRPr="005D3BDC">
        <w:rPr>
          <w:rFonts w:cs="Arial"/>
          <w:sz w:val="20"/>
          <w:szCs w:val="20"/>
        </w:rPr>
        <w:t>vytvoření sdíleného seznamu pěstounů na přechodnou dobu v ČR</w:t>
      </w:r>
      <w:r w:rsidRPr="00630D20">
        <w:rPr>
          <w:rFonts w:cs="Arial"/>
          <w:sz w:val="20"/>
          <w:szCs w:val="20"/>
        </w:rPr>
        <w:t xml:space="preserve"> (zavedení do praxe od 1.</w:t>
      </w:r>
      <w:r w:rsidR="005D3BDC">
        <w:rPr>
          <w:rFonts w:cs="Arial"/>
          <w:sz w:val="20"/>
          <w:szCs w:val="20"/>
        </w:rPr>
        <w:t xml:space="preserve"> </w:t>
      </w:r>
      <w:r w:rsidRPr="00630D20">
        <w:rPr>
          <w:rFonts w:cs="Arial"/>
          <w:sz w:val="20"/>
          <w:szCs w:val="20"/>
        </w:rPr>
        <w:t>2. 2024).</w:t>
      </w:r>
    </w:p>
    <w:p w14:paraId="0BA67F0A" w14:textId="77777777" w:rsidR="00630D20" w:rsidRPr="00630D20" w:rsidRDefault="00630D20" w:rsidP="00630D20">
      <w:pPr>
        <w:tabs>
          <w:tab w:val="num" w:pos="1440"/>
        </w:tabs>
        <w:rPr>
          <w:rFonts w:cs="Arial"/>
          <w:sz w:val="20"/>
          <w:szCs w:val="20"/>
        </w:rPr>
      </w:pPr>
      <w:r w:rsidRPr="00630D20">
        <w:rPr>
          <w:rFonts w:cs="Arial"/>
          <w:sz w:val="20"/>
          <w:szCs w:val="20"/>
        </w:rPr>
        <w:t>Tyto seznamy přinášení rovněž cenné statistické a evidenční údaje, včetně přehledu, kolik je v ČR pěstounů, kteří nabízejí pomoc dětem s postižením.</w:t>
      </w:r>
    </w:p>
    <w:p w14:paraId="0D6468D8" w14:textId="77777777" w:rsidR="00630D20" w:rsidRPr="00630D20" w:rsidRDefault="00630D20" w:rsidP="00630D20">
      <w:pPr>
        <w:pStyle w:val="Nadpis1"/>
        <w:numPr>
          <w:ilvl w:val="0"/>
          <w:numId w:val="0"/>
        </w:numPr>
        <w:pBdr>
          <w:bottom w:val="none" w:sz="0" w:space="0" w:color="auto"/>
        </w:pBdr>
        <w:spacing w:after="120"/>
        <w:rPr>
          <w:noProof/>
          <w:color w:val="auto"/>
          <w:sz w:val="20"/>
          <w:szCs w:val="20"/>
        </w:rPr>
      </w:pPr>
      <w:r w:rsidRPr="00630D20">
        <w:rPr>
          <w:color w:val="auto"/>
          <w:sz w:val="20"/>
          <w:szCs w:val="20"/>
        </w:rPr>
        <w:t xml:space="preserve">Klíčová aktivita č. 3 – </w:t>
      </w:r>
      <w:r w:rsidRPr="00630D20">
        <w:rPr>
          <w:noProof/>
          <w:color w:val="auto"/>
          <w:sz w:val="20"/>
          <w:szCs w:val="20"/>
        </w:rPr>
        <w:t>Párování v NRP</w:t>
      </w:r>
    </w:p>
    <w:p w14:paraId="6016E183" w14:textId="77777777" w:rsidR="00630D20" w:rsidRPr="00630D20" w:rsidRDefault="00630D20" w:rsidP="00630D20">
      <w:pPr>
        <w:rPr>
          <w:rFonts w:cs="Arial"/>
          <w:sz w:val="20"/>
          <w:szCs w:val="20"/>
        </w:rPr>
      </w:pPr>
      <w:r w:rsidRPr="008B405F">
        <w:rPr>
          <w:rFonts w:cs="Arial"/>
          <w:sz w:val="20"/>
          <w:szCs w:val="20"/>
        </w:rPr>
        <w:t>Revizní setkání při neúspěšně zprostředkované či předčasně ukončené NRP dle potřeb krajského úřadu</w:t>
      </w:r>
      <w:r w:rsidRPr="00630D20">
        <w:rPr>
          <w:rFonts w:cs="Arial"/>
          <w:sz w:val="20"/>
          <w:szCs w:val="20"/>
        </w:rPr>
        <w:t xml:space="preserve"> - v rámci projektu je zajištěna bezplatná facilitace, svolání revizního setkání a zpracování zápisu, který obsahuje doporučení k těm fázím procesu NRP, kde jeho účastníci viděli rizika či mezery. Revizní setkání mají jasnou strukturu, která může být oporou pro jednotlivé kroky krajských úřadů při párování dítěte se žadateli. Důležité je i pracovat na participaci dětí. Z toho důvodu byl zpracován a odpilotován dopis dítěti, kterého se revizní setkání týká. Smyslem dopisu je děti o svolání a cíli revizního setkání informovat, nabídnout jim osobní účast na setkání či možnost zaslat vzkaz. Dopis je graficky upraven tak, aby dítě zaujal.</w:t>
      </w:r>
    </w:p>
    <w:p w14:paraId="68D63D86" w14:textId="77777777" w:rsidR="00630D20" w:rsidRPr="00630D20" w:rsidRDefault="00630D20" w:rsidP="00630D20">
      <w:pPr>
        <w:pStyle w:val="Nadpis1"/>
        <w:numPr>
          <w:ilvl w:val="0"/>
          <w:numId w:val="0"/>
        </w:numPr>
        <w:pBdr>
          <w:bottom w:val="none" w:sz="0" w:space="0" w:color="auto"/>
        </w:pBdr>
        <w:spacing w:after="120"/>
        <w:rPr>
          <w:noProof/>
          <w:color w:val="auto"/>
          <w:sz w:val="20"/>
          <w:szCs w:val="20"/>
        </w:rPr>
      </w:pPr>
      <w:r w:rsidRPr="00630D20">
        <w:rPr>
          <w:color w:val="auto"/>
          <w:sz w:val="20"/>
          <w:szCs w:val="20"/>
        </w:rPr>
        <w:t xml:space="preserve">Klíčová aktivita č. 4 – </w:t>
      </w:r>
      <w:r w:rsidRPr="00630D20">
        <w:rPr>
          <w:noProof/>
          <w:color w:val="auto"/>
          <w:sz w:val="20"/>
          <w:szCs w:val="20"/>
        </w:rPr>
        <w:t>Poskytování NRP pro děti se specifickými potřebami</w:t>
      </w:r>
    </w:p>
    <w:p w14:paraId="7E031CD6" w14:textId="5B666483" w:rsidR="00630D20" w:rsidRPr="00630D20" w:rsidRDefault="00630D20" w:rsidP="00630D20">
      <w:pPr>
        <w:rPr>
          <w:rFonts w:cs="Arial"/>
          <w:sz w:val="20"/>
          <w:szCs w:val="20"/>
        </w:rPr>
      </w:pPr>
      <w:r w:rsidRPr="00630D20">
        <w:rPr>
          <w:rFonts w:cs="Arial"/>
          <w:sz w:val="20"/>
          <w:szCs w:val="20"/>
        </w:rPr>
        <w:t xml:space="preserve">Ve sledovaném období byla založena </w:t>
      </w:r>
      <w:r w:rsidRPr="005A4913">
        <w:rPr>
          <w:rFonts w:cs="Arial"/>
          <w:sz w:val="20"/>
          <w:szCs w:val="20"/>
        </w:rPr>
        <w:t>Pracovní skupina MPSV na podporu pěstounů a kampaňových aktivit, která se schází 3x ročně se zástupci všech krajů (je počítáno</w:t>
      </w:r>
      <w:r w:rsidRPr="00630D20">
        <w:rPr>
          <w:rFonts w:cs="Arial"/>
          <w:sz w:val="20"/>
          <w:szCs w:val="20"/>
        </w:rPr>
        <w:t xml:space="preserve">, že její činnost a frekvence </w:t>
      </w:r>
      <w:r w:rsidRPr="00630D20">
        <w:rPr>
          <w:rFonts w:cs="Arial"/>
          <w:sz w:val="20"/>
          <w:szCs w:val="20"/>
        </w:rPr>
        <w:lastRenderedPageBreak/>
        <w:t>setkávání bude pokračovat i v dalších letech). Krajské úřady jsou v rámci ní podporovány v kampaňových aktivitách k vyhledávání náhradních rodičů, a to zejm</w:t>
      </w:r>
      <w:r w:rsidR="007E4475">
        <w:rPr>
          <w:rFonts w:cs="Arial"/>
          <w:sz w:val="20"/>
          <w:szCs w:val="20"/>
        </w:rPr>
        <w:t>éna sdílením svých zkušeností a </w:t>
      </w:r>
      <w:r w:rsidRPr="00630D20">
        <w:rPr>
          <w:rFonts w:cs="Arial"/>
          <w:sz w:val="20"/>
          <w:szCs w:val="20"/>
        </w:rPr>
        <w:t>podpory role pracovních skupin a krajských koordinátorů kampaní.</w:t>
      </w:r>
    </w:p>
    <w:p w14:paraId="587631CE" w14:textId="592CD9C3" w:rsidR="00630D20" w:rsidRPr="00630D20" w:rsidRDefault="00630D20" w:rsidP="00630D20">
      <w:pPr>
        <w:rPr>
          <w:rFonts w:cs="Arial"/>
          <w:sz w:val="20"/>
          <w:szCs w:val="20"/>
        </w:rPr>
      </w:pPr>
      <w:r w:rsidRPr="006564B3">
        <w:rPr>
          <w:rFonts w:cs="Arial"/>
          <w:sz w:val="20"/>
          <w:szCs w:val="20"/>
        </w:rPr>
        <w:t>Realizace individuálních náborů</w:t>
      </w:r>
      <w:r w:rsidRPr="00630D20">
        <w:rPr>
          <w:rFonts w:cs="Arial"/>
          <w:sz w:val="20"/>
          <w:szCs w:val="20"/>
        </w:rPr>
        <w:t xml:space="preserve"> - metodické vedení krajů ve vyhledávání náhradních rodin v případech, kde se to dlouhodobě nedaří a to formou tzv. individuálních náborů (vymýšlení strategie pro hledání náhradní rodiny pro konkrétní dítě, kde již jiné obvyklé cesty nebyly úspěšné – vytvoření anony</w:t>
      </w:r>
      <w:r w:rsidR="005A4913">
        <w:rPr>
          <w:rFonts w:cs="Arial"/>
          <w:sz w:val="20"/>
          <w:szCs w:val="20"/>
        </w:rPr>
        <w:t xml:space="preserve">mizovaného medailonku o dítěti </w:t>
      </w:r>
      <w:r w:rsidRPr="00630D20">
        <w:rPr>
          <w:rFonts w:cs="Arial"/>
          <w:sz w:val="20"/>
          <w:szCs w:val="20"/>
        </w:rPr>
        <w:t xml:space="preserve">a jeho umístění na webovou stránku a hledání náhradní rodiny přes sociální sítě). Tímto způsobem se výrazně zvyšuje </w:t>
      </w:r>
      <w:r w:rsidR="007E4475">
        <w:rPr>
          <w:rFonts w:cs="Arial"/>
          <w:sz w:val="20"/>
          <w:szCs w:val="20"/>
        </w:rPr>
        <w:t>možnost vyhledat náhradní rodinu</w:t>
      </w:r>
      <w:r w:rsidRPr="00630D20">
        <w:rPr>
          <w:rFonts w:cs="Arial"/>
          <w:sz w:val="20"/>
          <w:szCs w:val="20"/>
        </w:rPr>
        <w:t xml:space="preserve"> pro děti s postižením. Obdobně jako u revizního setkání je i u individuálních náborů uplatňované prvky dětské participace. MPSV rovněž vytvořilo evidenci individuálních náborů v ČR (Přehled uveřejnění individuálních náborů v ČR), která sleduje za cíl informovat pracovníky krajských úřadů o proběhlých individuálních náborech a zároveň evidovat jejich úspěšnost (v</w:t>
      </w:r>
      <w:r w:rsidR="007C49CB">
        <w:rPr>
          <w:rFonts w:cs="Arial"/>
          <w:sz w:val="20"/>
          <w:szCs w:val="20"/>
        </w:rPr>
        <w:t xml:space="preserve"> roce 2023 bylo ve spolupráci s </w:t>
      </w:r>
      <w:r w:rsidRPr="00630D20">
        <w:rPr>
          <w:rFonts w:cs="Arial"/>
          <w:sz w:val="20"/>
          <w:szCs w:val="20"/>
        </w:rPr>
        <w:t>dalšími dvěma organizacemi realizováno 24 individuálních náborů pro 29 dětí).</w:t>
      </w:r>
    </w:p>
    <w:p w14:paraId="4961939D" w14:textId="77777777" w:rsidR="00630D20" w:rsidRPr="00630D20" w:rsidRDefault="00630D20" w:rsidP="00630D20">
      <w:pPr>
        <w:pStyle w:val="Nadpis1"/>
        <w:numPr>
          <w:ilvl w:val="0"/>
          <w:numId w:val="0"/>
        </w:numPr>
        <w:pBdr>
          <w:bottom w:val="none" w:sz="0" w:space="0" w:color="auto"/>
        </w:pBdr>
        <w:spacing w:after="120"/>
        <w:rPr>
          <w:color w:val="auto"/>
          <w:sz w:val="20"/>
          <w:szCs w:val="20"/>
        </w:rPr>
      </w:pPr>
      <w:r w:rsidRPr="00630D20">
        <w:rPr>
          <w:color w:val="auto"/>
          <w:sz w:val="20"/>
          <w:szCs w:val="20"/>
        </w:rPr>
        <w:t>Klíčová aktivita č. 6 – Osvětové aktivity pro posílení zájmu o výkon NRP a na podporu standardizace systému NRP</w:t>
      </w:r>
    </w:p>
    <w:p w14:paraId="3F68B777" w14:textId="77777777" w:rsidR="00630D20" w:rsidRPr="00630D20" w:rsidRDefault="00630D20" w:rsidP="00630D20">
      <w:pPr>
        <w:rPr>
          <w:rFonts w:cs="Arial"/>
          <w:sz w:val="20"/>
          <w:szCs w:val="20"/>
        </w:rPr>
      </w:pPr>
      <w:r w:rsidRPr="006564B3">
        <w:rPr>
          <w:rFonts w:cs="Arial"/>
          <w:sz w:val="20"/>
          <w:szCs w:val="20"/>
        </w:rPr>
        <w:t>Příprava a vysílání dokumentární série Plné hnízdo</w:t>
      </w:r>
      <w:r w:rsidRPr="00630D20">
        <w:rPr>
          <w:rFonts w:cs="Arial"/>
          <w:sz w:val="20"/>
          <w:szCs w:val="20"/>
        </w:rPr>
        <w:t xml:space="preserve"> - od listopadu 2022 poskytovalo vedení odd. </w:t>
      </w:r>
      <w:proofErr w:type="gramStart"/>
      <w:r w:rsidRPr="00630D20">
        <w:rPr>
          <w:rFonts w:cs="Arial"/>
          <w:sz w:val="20"/>
          <w:szCs w:val="20"/>
        </w:rPr>
        <w:t>koncepce</w:t>
      </w:r>
      <w:proofErr w:type="gramEnd"/>
      <w:r w:rsidRPr="00630D20">
        <w:rPr>
          <w:rFonts w:cs="Arial"/>
          <w:sz w:val="20"/>
          <w:szCs w:val="20"/>
        </w:rPr>
        <w:t xml:space="preserve"> náhradní rodinné péče pravidelné odborné konzultace ČT Brno při tvorbě dokumentárního cyklu Plné hnízdo. Cyklus vypráví o životě pěstounských rodin v jednotlivých krajích. Vysílání bylo zahájeno 1. února s frekvencí 1x týdně a bylo ukončeno 3. 5. 2023. Pracovníci projektu zajišťovali obsluhu podpůrné telefonní linky, a to i po ukončení cyklu, jelikož je seriál nadále dostupný on-line. </w:t>
      </w:r>
    </w:p>
    <w:p w14:paraId="2F532A5F" w14:textId="77777777" w:rsidR="00630D20" w:rsidRPr="00630D20" w:rsidRDefault="00630D20" w:rsidP="00630D20">
      <w:pPr>
        <w:rPr>
          <w:rFonts w:cs="Arial"/>
          <w:sz w:val="20"/>
          <w:szCs w:val="20"/>
        </w:rPr>
      </w:pPr>
      <w:r w:rsidRPr="00630D20">
        <w:rPr>
          <w:rFonts w:cs="Arial"/>
          <w:sz w:val="20"/>
          <w:szCs w:val="20"/>
        </w:rPr>
        <w:t xml:space="preserve">K podpoře nejen projektových aktivit začal být v roce </w:t>
      </w:r>
      <w:r w:rsidRPr="006564B3">
        <w:rPr>
          <w:rFonts w:cs="Arial"/>
          <w:sz w:val="20"/>
          <w:szCs w:val="20"/>
        </w:rPr>
        <w:t>2023 využíván facebook MPSV a webové stránky s tématikou náhradní rodinné péče – budinpestoun.cz. Oboje</w:t>
      </w:r>
      <w:r w:rsidRPr="00630D20">
        <w:rPr>
          <w:rFonts w:cs="Arial"/>
          <w:sz w:val="20"/>
          <w:szCs w:val="20"/>
        </w:rPr>
        <w:t xml:space="preserve"> platformy slouží k informování veřejnosti o aktuálním dění v dané oblasti.</w:t>
      </w:r>
    </w:p>
    <w:p w14:paraId="248D45B2" w14:textId="7CFF6DF4" w:rsidR="00630D20" w:rsidRPr="00630D20" w:rsidRDefault="00630D20" w:rsidP="00630D20">
      <w:pPr>
        <w:rPr>
          <w:rFonts w:cs="Arial"/>
          <w:sz w:val="20"/>
          <w:szCs w:val="20"/>
        </w:rPr>
      </w:pPr>
      <w:r w:rsidRPr="00630D20">
        <w:rPr>
          <w:rFonts w:cs="Arial"/>
          <w:sz w:val="20"/>
          <w:szCs w:val="20"/>
        </w:rPr>
        <w:t xml:space="preserve">Také je potřeba zmínit roli MPSV v podpoře transformace stávajících pobytových zařízení pro děti. V letošním roce, bylo vyhlášeno několik výzev z ESF. Dne 30. 1. 2024 výzva č. 063 </w:t>
      </w:r>
      <w:hyperlink r:id="rId93" w:history="1">
        <w:r w:rsidRPr="00630D20">
          <w:rPr>
            <w:rStyle w:val="Hypertextovodkaz"/>
            <w:rFonts w:cs="Arial"/>
            <w:sz w:val="20"/>
            <w:szCs w:val="20"/>
          </w:rPr>
          <w:t>Výzva 063 OPZ+ - www.esfcr.cz</w:t>
        </w:r>
      </w:hyperlink>
      <w:r>
        <w:rPr>
          <w:rFonts w:cs="Arial"/>
          <w:sz w:val="20"/>
          <w:szCs w:val="20"/>
        </w:rPr>
        <w:t xml:space="preserve">, která je mimo jiné určena </w:t>
      </w:r>
      <w:r w:rsidRPr="00630D20">
        <w:rPr>
          <w:rFonts w:cs="Arial"/>
          <w:sz w:val="20"/>
          <w:szCs w:val="20"/>
        </w:rPr>
        <w:t>k podpoře návazných služeb komunitního charakteru, které jsou zapojeny do transformačního procesu a k rozvoji a podpoře</w:t>
      </w:r>
      <w:r>
        <w:rPr>
          <w:rFonts w:cs="Arial"/>
          <w:sz w:val="20"/>
          <w:szCs w:val="20"/>
        </w:rPr>
        <w:t xml:space="preserve"> systému náhradní rodinné péče </w:t>
      </w:r>
      <w:r w:rsidRPr="00630D20">
        <w:rPr>
          <w:rFonts w:cs="Arial"/>
          <w:sz w:val="20"/>
          <w:szCs w:val="20"/>
        </w:rPr>
        <w:t>v daném kraji. Dále jde o dvě výzvy z Národního plánu obnovy na transformaci pobytových služeb pro ohrožené děti, které mimo jiné nabízí možnost transformace domovů pro osoby se zdravotním postižením.</w:t>
      </w:r>
    </w:p>
    <w:p w14:paraId="5AB78691" w14:textId="77777777" w:rsidR="00630D20" w:rsidRPr="00630D20" w:rsidRDefault="007C49CB" w:rsidP="00630D20">
      <w:pPr>
        <w:rPr>
          <w:rStyle w:val="Hypertextovodkaz"/>
          <w:rFonts w:cs="Arial"/>
          <w:sz w:val="20"/>
          <w:szCs w:val="20"/>
        </w:rPr>
      </w:pPr>
      <w:hyperlink r:id="rId94" w:history="1">
        <w:r w:rsidR="00630D20" w:rsidRPr="00630D20">
          <w:rPr>
            <w:rStyle w:val="Hypertextovodkaz"/>
            <w:rFonts w:cs="Arial"/>
            <w:sz w:val="20"/>
            <w:szCs w:val="20"/>
          </w:rPr>
          <w:t>Výzva č. 31_24_113 Rozvoj a modernizace služeb komunitního typu pro ohrožené děti - vybudování a renovace infrastruktury pobytové péče o děti (mpsv.cz)</w:t>
        </w:r>
      </w:hyperlink>
    </w:p>
    <w:p w14:paraId="6B64C87A" w14:textId="0CE54567" w:rsidR="00630D20" w:rsidRPr="00630D20" w:rsidRDefault="007C49CB" w:rsidP="00630D20">
      <w:pPr>
        <w:rPr>
          <w:rFonts w:cs="Arial"/>
          <w:color w:val="0563C1" w:themeColor="hyperlink"/>
          <w:sz w:val="20"/>
          <w:szCs w:val="20"/>
          <w:u w:val="single"/>
        </w:rPr>
      </w:pPr>
      <w:hyperlink r:id="rId95" w:history="1">
        <w:r w:rsidR="00630D20" w:rsidRPr="00630D20">
          <w:rPr>
            <w:rStyle w:val="Hypertextovodkaz"/>
            <w:rFonts w:cs="Arial"/>
            <w:sz w:val="20"/>
            <w:szCs w:val="20"/>
          </w:rPr>
          <w:t>Výzva č. 31_24_114 Rozvoj a modernizace služeb komunitního typu pro ohrožené děti - bytové jednotky (mpsv.cz)</w:t>
        </w:r>
      </w:hyperlink>
    </w:p>
    <w:p w14:paraId="141893AD" w14:textId="6C078E11" w:rsidR="004C05CC" w:rsidRPr="00630D20" w:rsidRDefault="004C05CC" w:rsidP="00630D20">
      <w:pPr>
        <w:keepNext/>
        <w:tabs>
          <w:tab w:val="left" w:pos="720"/>
        </w:tabs>
        <w:rPr>
          <w:rFonts w:cs="Arial"/>
          <w:b/>
          <w:bCs/>
          <w:sz w:val="20"/>
          <w:szCs w:val="20"/>
          <w:lang w:eastAsia="cs-CZ"/>
        </w:rPr>
      </w:pPr>
      <w:r w:rsidRPr="00630D20">
        <w:rPr>
          <w:rFonts w:cs="Arial"/>
          <w:b/>
          <w:bCs/>
          <w:sz w:val="20"/>
          <w:szCs w:val="20"/>
          <w:lang w:eastAsia="cs-CZ"/>
        </w:rPr>
        <w:t>STANOVISKO K PLNĚNÍ:</w:t>
      </w:r>
      <w:r w:rsidR="00CC4D01" w:rsidRPr="00630D20">
        <w:rPr>
          <w:rFonts w:cs="Arial"/>
          <w:b/>
          <w:bCs/>
          <w:sz w:val="20"/>
          <w:szCs w:val="20"/>
          <w:lang w:eastAsia="cs-CZ"/>
        </w:rPr>
        <w:t xml:space="preserve"> Plněno.</w:t>
      </w:r>
    </w:p>
    <w:p w14:paraId="6E30688C" w14:textId="77777777" w:rsidR="004C05CC" w:rsidRPr="00060BF2" w:rsidRDefault="004C05CC" w:rsidP="00060BF2">
      <w:pPr>
        <w:rPr>
          <w:rFonts w:cs="Arial"/>
          <w:sz w:val="20"/>
          <w:szCs w:val="20"/>
        </w:rPr>
      </w:pPr>
    </w:p>
    <w:p w14:paraId="40581BA1" w14:textId="42E65AA2" w:rsidR="00F17E74" w:rsidRPr="00831152" w:rsidRDefault="00F17E74" w:rsidP="00F17E74">
      <w:pPr>
        <w:rPr>
          <w:rFonts w:cs="Arial"/>
          <w:szCs w:val="20"/>
        </w:rPr>
      </w:pPr>
      <w:r w:rsidRPr="0035060D">
        <w:rPr>
          <w:rFonts w:cs="Arial"/>
          <w:bCs/>
          <w:szCs w:val="20"/>
        </w:rPr>
        <w:t xml:space="preserve">Opatření </w:t>
      </w:r>
      <w:r>
        <w:rPr>
          <w:rFonts w:cs="Arial"/>
          <w:bCs/>
          <w:szCs w:val="20"/>
        </w:rPr>
        <w:t>7</w:t>
      </w:r>
      <w:r>
        <w:rPr>
          <w:rFonts w:cs="Arial"/>
          <w:szCs w:val="20"/>
        </w:rPr>
        <w:t xml:space="preserve">.1.2 </w:t>
      </w:r>
      <w:r w:rsidRPr="00831152">
        <w:rPr>
          <w:rFonts w:cs="Arial"/>
          <w:szCs w:val="20"/>
        </w:rPr>
        <w:t>Rozvíjet další programy na podporu návratu dítěte se zdravotním postižením do</w:t>
      </w:r>
      <w:r>
        <w:rPr>
          <w:rFonts w:cs="Arial"/>
          <w:szCs w:val="20"/>
        </w:rPr>
        <w:t> </w:t>
      </w:r>
      <w:r w:rsidR="0072375D">
        <w:rPr>
          <w:rFonts w:cs="Arial"/>
          <w:szCs w:val="20"/>
        </w:rPr>
        <w:t>původní rodiny.</w:t>
      </w:r>
    </w:p>
    <w:p w14:paraId="0F28C07D" w14:textId="77777777" w:rsidR="00F17E74" w:rsidRPr="00831152" w:rsidRDefault="00F17E74" w:rsidP="00F17E74">
      <w:pPr>
        <w:rPr>
          <w:rFonts w:cs="Arial"/>
          <w:szCs w:val="20"/>
        </w:rPr>
      </w:pPr>
      <w:r w:rsidRPr="00831152">
        <w:rPr>
          <w:rFonts w:cs="Arial"/>
          <w:szCs w:val="20"/>
        </w:rPr>
        <w:t>Termín: průběžně</w:t>
      </w:r>
    </w:p>
    <w:p w14:paraId="296D3C73" w14:textId="77777777" w:rsidR="00F17E74" w:rsidRPr="00831152" w:rsidRDefault="00F17E74" w:rsidP="00FE3BFF">
      <w:pPr>
        <w:rPr>
          <w:rFonts w:cs="Arial"/>
          <w:szCs w:val="20"/>
        </w:rPr>
      </w:pPr>
      <w:r w:rsidRPr="00831152">
        <w:rPr>
          <w:rFonts w:cs="Arial"/>
          <w:szCs w:val="20"/>
        </w:rPr>
        <w:t>Gestor: MPSV</w:t>
      </w:r>
    </w:p>
    <w:p w14:paraId="5EB4D4BA" w14:textId="58C29E6E" w:rsidR="00F17E74" w:rsidRDefault="00F17E74" w:rsidP="00FE3BFF">
      <w:pPr>
        <w:rPr>
          <w:rFonts w:cs="Arial"/>
          <w:szCs w:val="20"/>
        </w:rPr>
      </w:pPr>
      <w:r w:rsidRPr="00171029">
        <w:rPr>
          <w:rFonts w:cs="Arial"/>
          <w:szCs w:val="20"/>
        </w:rPr>
        <w:t>Indikátor:</w:t>
      </w:r>
      <w:r>
        <w:rPr>
          <w:rFonts w:cs="Arial"/>
          <w:szCs w:val="20"/>
        </w:rPr>
        <w:t xml:space="preserve"> </w:t>
      </w:r>
      <w:r w:rsidRPr="007A148F">
        <w:rPr>
          <w:rFonts w:cs="Arial"/>
          <w:szCs w:val="20"/>
        </w:rPr>
        <w:t>V daném období byly realizovány uvedené programy</w:t>
      </w:r>
      <w:r>
        <w:rPr>
          <w:rFonts w:cs="Arial"/>
          <w:szCs w:val="20"/>
        </w:rPr>
        <w:t>.</w:t>
      </w:r>
    </w:p>
    <w:p w14:paraId="3D44B61B" w14:textId="77777777" w:rsidR="00FE3BFF" w:rsidRPr="00165F0E" w:rsidRDefault="00FE3BFF" w:rsidP="00165F0E">
      <w:pPr>
        <w:rPr>
          <w:rFonts w:cs="Arial"/>
          <w:sz w:val="20"/>
          <w:szCs w:val="20"/>
        </w:rPr>
      </w:pPr>
    </w:p>
    <w:p w14:paraId="782D874B" w14:textId="09B7F10B" w:rsidR="0005054D" w:rsidRPr="00990EDF" w:rsidRDefault="0005054D" w:rsidP="00990EDF">
      <w:pPr>
        <w:keepNext/>
        <w:tabs>
          <w:tab w:val="left" w:pos="720"/>
        </w:tabs>
        <w:rPr>
          <w:rFonts w:cs="Arial"/>
          <w:b/>
          <w:bCs/>
          <w:sz w:val="20"/>
          <w:szCs w:val="20"/>
          <w:lang w:eastAsia="cs-CZ"/>
        </w:rPr>
      </w:pPr>
      <w:r w:rsidRPr="00990EDF">
        <w:rPr>
          <w:rFonts w:cs="Arial"/>
          <w:b/>
          <w:bCs/>
          <w:sz w:val="20"/>
          <w:szCs w:val="20"/>
          <w:lang w:eastAsia="cs-CZ"/>
        </w:rPr>
        <w:t>PLNĚNÍ MPSV:</w:t>
      </w:r>
    </w:p>
    <w:p w14:paraId="54B019E8" w14:textId="77777777" w:rsidR="00990EDF" w:rsidRPr="00990EDF" w:rsidRDefault="00990EDF" w:rsidP="00990EDF">
      <w:pPr>
        <w:rPr>
          <w:rFonts w:cs="Arial"/>
          <w:bCs/>
          <w:sz w:val="20"/>
          <w:szCs w:val="20"/>
        </w:rPr>
      </w:pPr>
      <w:r w:rsidRPr="00990EDF">
        <w:rPr>
          <w:rFonts w:cs="Arial"/>
          <w:sz w:val="20"/>
          <w:szCs w:val="20"/>
        </w:rPr>
        <w:t xml:space="preserve">V roce 2023 byly zahájeny práce na nové právní úpravě v oblasti ochrany dětí a podpoře rodin. Byly definovány hlavní problémy a okruh právní úpravy, proběhla veřejná prezentace závěrů analytické fáze a předpokládaných opatření. Součástí těchto procesů byla i výzva široké odborné veřejnosti k zapojení se do pracovních skupin a konzultačních procesů (reagovalo přes 200 organizací a jednotlivců). V rámci činnosti pracovních skupin došlo k projednání hlavních principů nové právní úpravy. </w:t>
      </w:r>
    </w:p>
    <w:p w14:paraId="02DEC4BC" w14:textId="7044252C" w:rsidR="00990EDF" w:rsidRPr="00990EDF" w:rsidRDefault="00990EDF" w:rsidP="00990EDF">
      <w:pPr>
        <w:shd w:val="clear" w:color="auto" w:fill="FFFFFF"/>
        <w:rPr>
          <w:rFonts w:eastAsia="Times New Roman" w:cs="Arial"/>
          <w:sz w:val="20"/>
          <w:szCs w:val="20"/>
          <w:lang w:eastAsia="cs-CZ"/>
        </w:rPr>
      </w:pPr>
      <w:r w:rsidRPr="00990EDF">
        <w:rPr>
          <w:rFonts w:cs="Arial"/>
          <w:sz w:val="20"/>
          <w:szCs w:val="20"/>
        </w:rPr>
        <w:lastRenderedPageBreak/>
        <w:t xml:space="preserve">V lednu 2023 zahájil činnost projekt MPSV </w:t>
      </w:r>
      <w:r w:rsidRPr="00AF1E1C">
        <w:rPr>
          <w:rFonts w:cs="Arial"/>
          <w:b/>
          <w:bCs/>
          <w:sz w:val="20"/>
          <w:szCs w:val="20"/>
        </w:rPr>
        <w:t>„</w:t>
      </w:r>
      <w:r w:rsidRPr="00AF1E1C">
        <w:rPr>
          <w:rFonts w:cs="Arial"/>
          <w:iCs/>
          <w:sz w:val="20"/>
          <w:szCs w:val="20"/>
        </w:rPr>
        <w:t>Sjednocení přístupu k ohroženým dětem</w:t>
      </w:r>
      <w:r w:rsidRPr="00AF1E1C">
        <w:rPr>
          <w:rFonts w:cs="Arial"/>
          <w:b/>
          <w:bCs/>
          <w:iCs/>
          <w:sz w:val="20"/>
          <w:szCs w:val="20"/>
        </w:rPr>
        <w:t>“</w:t>
      </w:r>
      <w:r w:rsidRPr="00AF1E1C">
        <w:rPr>
          <w:rFonts w:cs="Arial"/>
          <w:sz w:val="20"/>
          <w:szCs w:val="20"/>
        </w:rPr>
        <w:t>,</w:t>
      </w:r>
      <w:r w:rsidRPr="00990EDF">
        <w:rPr>
          <w:rFonts w:cs="Arial"/>
          <w:sz w:val="20"/>
          <w:szCs w:val="20"/>
        </w:rPr>
        <w:t xml:space="preserve"> který bude </w:t>
      </w:r>
      <w:r w:rsidRPr="00990EDF">
        <w:rPr>
          <w:rFonts w:eastAsia="Times New Roman" w:cs="Arial"/>
          <w:sz w:val="20"/>
          <w:szCs w:val="20"/>
          <w:shd w:val="clear" w:color="auto" w:fill="FFFFFF"/>
          <w:lang w:eastAsia="cs-CZ"/>
        </w:rPr>
        <w:t>realizován do 31. 12. 2025.</w:t>
      </w:r>
      <w:r w:rsidRPr="00990EDF">
        <w:rPr>
          <w:rFonts w:eastAsia="Times New Roman" w:cs="Arial"/>
          <w:b/>
          <w:bCs/>
          <w:sz w:val="20"/>
          <w:szCs w:val="20"/>
          <w:shd w:val="clear" w:color="auto" w:fill="FFFFFF"/>
          <w:lang w:eastAsia="cs-CZ"/>
        </w:rPr>
        <w:t xml:space="preserve"> </w:t>
      </w:r>
      <w:r w:rsidRPr="00990EDF">
        <w:rPr>
          <w:rFonts w:eastAsia="Times New Roman" w:cs="Arial"/>
          <w:sz w:val="20"/>
          <w:szCs w:val="20"/>
          <w:shd w:val="clear" w:color="auto" w:fill="FFFFFF"/>
          <w:lang w:eastAsia="cs-CZ"/>
        </w:rPr>
        <w:t>Jeho</w:t>
      </w:r>
      <w:r w:rsidRPr="00990EDF">
        <w:rPr>
          <w:rFonts w:eastAsia="Times New Roman" w:cs="Arial"/>
          <w:b/>
          <w:bCs/>
          <w:sz w:val="20"/>
          <w:szCs w:val="20"/>
          <w:shd w:val="clear" w:color="auto" w:fill="FFFFFF"/>
          <w:lang w:eastAsia="cs-CZ"/>
        </w:rPr>
        <w:t xml:space="preserve"> </w:t>
      </w:r>
      <w:r w:rsidRPr="00990EDF">
        <w:rPr>
          <w:rFonts w:eastAsia="Times New Roman" w:cs="Arial"/>
          <w:sz w:val="20"/>
          <w:szCs w:val="20"/>
          <w:lang w:eastAsia="cs-CZ"/>
        </w:rPr>
        <w:t>předmětem je vytvořit pod</w:t>
      </w:r>
      <w:r w:rsidR="007C49CB">
        <w:rPr>
          <w:rFonts w:eastAsia="Times New Roman" w:cs="Arial"/>
          <w:sz w:val="20"/>
          <w:szCs w:val="20"/>
          <w:lang w:eastAsia="cs-CZ"/>
        </w:rPr>
        <w:t>mínky pro sjednocení přístupu k </w:t>
      </w:r>
      <w:r w:rsidRPr="00990EDF">
        <w:rPr>
          <w:rFonts w:eastAsia="Times New Roman" w:cs="Arial"/>
          <w:sz w:val="20"/>
          <w:szCs w:val="20"/>
          <w:lang w:eastAsia="cs-CZ"/>
        </w:rPr>
        <w:t xml:space="preserve">ohroženým dětem nastavením optimálního modelu fungování klíčových aktérů systému. Zvláštní pozornost je věnována možnostem rozvoje participace dětí v rozhodovacích procesech systému SPOD a rozvoji funkčního systému profesní podpory pro pracovníky </w:t>
      </w:r>
      <w:proofErr w:type="gramStart"/>
      <w:r w:rsidRPr="00990EDF">
        <w:rPr>
          <w:rFonts w:eastAsia="Times New Roman" w:cs="Arial"/>
          <w:sz w:val="20"/>
          <w:szCs w:val="20"/>
          <w:lang w:eastAsia="cs-CZ"/>
        </w:rPr>
        <w:t>SPOD</w:t>
      </w:r>
      <w:proofErr w:type="gramEnd"/>
      <w:r w:rsidRPr="00990EDF">
        <w:rPr>
          <w:rFonts w:eastAsia="Times New Roman" w:cs="Arial"/>
          <w:sz w:val="20"/>
          <w:szCs w:val="20"/>
          <w:lang w:eastAsia="cs-CZ"/>
        </w:rPr>
        <w:t xml:space="preserve">. Cílem projektu je mimo jiné vytvořit podmínky pro sjednocení přístupu k ohroženým dětem nastavením základních standardizovaných postupů a procesů spolupráce napříč resorty včetně návrhu dlouhodobé komunikační strategie týkající se témat zahrnutých do Národní strategie ochrany práv dětí 2021-2029 se zaměřením na odbornou i laickou veřejnost. </w:t>
      </w:r>
    </w:p>
    <w:p w14:paraId="372DFF8B" w14:textId="76163F98" w:rsidR="00990EDF" w:rsidRPr="00990EDF" w:rsidRDefault="00990EDF" w:rsidP="00990EDF">
      <w:pPr>
        <w:shd w:val="clear" w:color="auto" w:fill="FFFFFF"/>
        <w:rPr>
          <w:rFonts w:cs="Arial"/>
          <w:sz w:val="20"/>
          <w:szCs w:val="20"/>
        </w:rPr>
      </w:pPr>
      <w:r w:rsidRPr="00990EDF">
        <w:rPr>
          <w:rFonts w:eastAsia="Times New Roman" w:cs="Arial"/>
          <w:sz w:val="20"/>
          <w:szCs w:val="20"/>
          <w:lang w:eastAsia="cs-CZ"/>
        </w:rPr>
        <w:t xml:space="preserve">Jednotlivé klíčové aktivity ve vzájemné interakci reagují na aktuální situaci a směřují </w:t>
      </w:r>
      <w:r w:rsidRPr="00990EDF">
        <w:rPr>
          <w:rFonts w:cs="Arial"/>
          <w:sz w:val="20"/>
          <w:szCs w:val="20"/>
        </w:rPr>
        <w:t>k posílení kompetencí OSPOD v práci s ohroženými dětmi a rodinami a rovněž k posílení sítě podpůrných služeb pro rodiny a děti. Pracovníkům OSPOD je nabízena kontinuální podpora prostřednictvím metodických konzultací jednotlivých případů ohrožených dětí a rovněž platí stálá nabídka praktických online i prezenčních workshopů (např. Vyhodnocování a Individuální plán ochrany dítěte s postižením), které jsou OSPOD hojně využívány (během realizace od roku 2020 proškoleno přes 1600 osob). Pravidelné vzdělávání pracovníků OSPOD je nezbytnou součástí posilování a rozvoje jejich kompetencí při práci s ohroženými dětmi. Děti s postižením vyžadují specifický přístup a znalosti a na pracovníky OSPOD jsou tak kladeny zvýšené nároky s ohledem na jejich vzdělávání tak, aby byla následně dětem poskytnuta efektivní podpora adekvátní jejich aktuální situaci a nárokům na péči. Další aktivity MPSV jsou pak směřovány na situaci dětí s postižením umístěným v pobytových zařízeních, kdy v rámci roku 2023 došlo k několika cíleným přehodnocením aktuální situac</w:t>
      </w:r>
      <w:r w:rsidR="007C49CB">
        <w:rPr>
          <w:rFonts w:cs="Arial"/>
          <w:sz w:val="20"/>
          <w:szCs w:val="20"/>
        </w:rPr>
        <w:t>e a </w:t>
      </w:r>
      <w:r w:rsidRPr="00990EDF">
        <w:rPr>
          <w:rFonts w:cs="Arial"/>
          <w:sz w:val="20"/>
          <w:szCs w:val="20"/>
        </w:rPr>
        <w:t xml:space="preserve">nastavených individuálních plánů ochrany (IPOD). </w:t>
      </w:r>
    </w:p>
    <w:p w14:paraId="7AB14785" w14:textId="7EF3EF8E" w:rsidR="00990EDF" w:rsidRPr="00990EDF" w:rsidRDefault="00990EDF" w:rsidP="00990EDF">
      <w:pPr>
        <w:shd w:val="clear" w:color="auto" w:fill="FFFFFF"/>
        <w:rPr>
          <w:rFonts w:cs="Arial"/>
          <w:sz w:val="20"/>
          <w:szCs w:val="20"/>
        </w:rPr>
      </w:pPr>
      <w:r w:rsidRPr="00990EDF">
        <w:rPr>
          <w:rFonts w:cs="Arial"/>
          <w:sz w:val="20"/>
          <w:szCs w:val="20"/>
        </w:rPr>
        <w:t>MPSV v roce 2023 zorganizovalo několik setkání se zástupci soci</w:t>
      </w:r>
      <w:r w:rsidR="007C49CB">
        <w:rPr>
          <w:rFonts w:cs="Arial"/>
          <w:sz w:val="20"/>
          <w:szCs w:val="20"/>
        </w:rPr>
        <w:t>álních odborů krajských úřadů a </w:t>
      </w:r>
      <w:r w:rsidRPr="00990EDF">
        <w:rPr>
          <w:rFonts w:cs="Arial"/>
          <w:sz w:val="20"/>
          <w:szCs w:val="20"/>
        </w:rPr>
        <w:t>zjišťovalo konkrétní situaci a záměry v zajištění péče o děti umístěné</w:t>
      </w:r>
      <w:r w:rsidR="007C49CB">
        <w:rPr>
          <w:rFonts w:cs="Arial"/>
          <w:sz w:val="20"/>
          <w:szCs w:val="20"/>
        </w:rPr>
        <w:t xml:space="preserve"> v DD3 s cílem získat přehled o </w:t>
      </w:r>
      <w:r w:rsidRPr="00990EDF">
        <w:rPr>
          <w:rFonts w:cs="Arial"/>
          <w:sz w:val="20"/>
          <w:szCs w:val="20"/>
        </w:rPr>
        <w:t>aktuálních potřebách krajů s nabídkou metodické konzultace jednotlivých případů dětí (včetně dětí s postižením). Hlavním cílem je i nadále bezpečný návrat dětí do vlastní rodiny, dále úsilí o nalezení náhradních pečovatelů a pro určitý počet dětí bude nutné vyhledat péči v jiném typu zařízení. Veškeré varianty řešení aktuální situace dětí vyžadují cílené přehodnocení jejich potřeb, v případě dětí s postižením pak zaměření pozornosti na specifické potřeby cílové skupiny dětí a rovněž intenzivní podporu pečovatelů, aby mohlo dojít k bezpečnému přechodu do rodinného prostředí.</w:t>
      </w:r>
    </w:p>
    <w:p w14:paraId="70A6E545" w14:textId="6D4A3C9A" w:rsidR="00990EDF" w:rsidRPr="00990EDF" w:rsidRDefault="00990EDF" w:rsidP="00990EDF">
      <w:pPr>
        <w:shd w:val="clear" w:color="auto" w:fill="FFFFFF"/>
        <w:rPr>
          <w:rFonts w:cs="Arial"/>
          <w:sz w:val="20"/>
          <w:szCs w:val="20"/>
        </w:rPr>
      </w:pPr>
      <w:r w:rsidRPr="00990EDF">
        <w:rPr>
          <w:rFonts w:cs="Arial"/>
          <w:sz w:val="20"/>
          <w:szCs w:val="20"/>
        </w:rPr>
        <w:t>V rámci projektu MPSV rovněž došlo k sestavení několikadenního výcvikového modulu pro pracovníky OSPOD zaměřeného na vzdělávání v tématu rodičovských kompetencí (detekce, analýza, podpora atd.). Výcvik bude realizován v roce 2024.</w:t>
      </w:r>
    </w:p>
    <w:p w14:paraId="3A8FD61D" w14:textId="111DF460" w:rsidR="0005054D" w:rsidRPr="00990EDF" w:rsidRDefault="0005054D" w:rsidP="00990EDF">
      <w:pPr>
        <w:keepNext/>
        <w:tabs>
          <w:tab w:val="left" w:pos="720"/>
        </w:tabs>
        <w:rPr>
          <w:rFonts w:cs="Arial"/>
          <w:b/>
          <w:bCs/>
          <w:sz w:val="20"/>
          <w:szCs w:val="20"/>
          <w:lang w:eastAsia="cs-CZ"/>
        </w:rPr>
      </w:pPr>
      <w:r w:rsidRPr="00990EDF">
        <w:rPr>
          <w:rFonts w:cs="Arial"/>
          <w:b/>
          <w:bCs/>
          <w:sz w:val="20"/>
          <w:szCs w:val="20"/>
          <w:lang w:eastAsia="cs-CZ"/>
        </w:rPr>
        <w:t>STANOVISKO K PLNĚNÍ:</w:t>
      </w:r>
      <w:r w:rsidR="006232D1" w:rsidRPr="00990EDF">
        <w:rPr>
          <w:rFonts w:cs="Arial"/>
          <w:b/>
          <w:bCs/>
          <w:sz w:val="20"/>
          <w:szCs w:val="20"/>
          <w:lang w:eastAsia="cs-CZ"/>
        </w:rPr>
        <w:t xml:space="preserve"> Plněno.</w:t>
      </w:r>
    </w:p>
    <w:p w14:paraId="2A7CBA66" w14:textId="77777777" w:rsidR="0005054D" w:rsidRPr="00990EDF" w:rsidRDefault="0005054D" w:rsidP="00990EDF">
      <w:pPr>
        <w:rPr>
          <w:rFonts w:cs="Arial"/>
          <w:sz w:val="20"/>
          <w:szCs w:val="20"/>
        </w:rPr>
      </w:pPr>
    </w:p>
    <w:p w14:paraId="5A51D250" w14:textId="77777777" w:rsidR="00F17E74" w:rsidRPr="00831152" w:rsidRDefault="00F17E74" w:rsidP="00FE3BFF">
      <w:pPr>
        <w:rPr>
          <w:rFonts w:cs="Arial"/>
          <w:b/>
          <w:bCs/>
          <w:szCs w:val="20"/>
        </w:rPr>
      </w:pPr>
      <w:r>
        <w:rPr>
          <w:rFonts w:cs="Arial"/>
          <w:b/>
          <w:bCs/>
          <w:szCs w:val="20"/>
        </w:rPr>
        <w:t xml:space="preserve">7.2 </w:t>
      </w:r>
      <w:r w:rsidRPr="00831152">
        <w:rPr>
          <w:rFonts w:cs="Arial"/>
          <w:b/>
          <w:bCs/>
          <w:szCs w:val="20"/>
        </w:rPr>
        <w:t xml:space="preserve">Cíl: </w:t>
      </w:r>
      <w:r w:rsidRPr="002D3B01">
        <w:rPr>
          <w:rFonts w:eastAsia="Calibri" w:cs="Arial"/>
          <w:b/>
          <w:bCs/>
          <w:szCs w:val="20"/>
        </w:rPr>
        <w:t>Zajištění</w:t>
      </w:r>
      <w:r w:rsidRPr="00831152">
        <w:rPr>
          <w:rFonts w:cs="Arial"/>
          <w:b/>
          <w:szCs w:val="20"/>
        </w:rPr>
        <w:t xml:space="preserve"> podmínek pro samostatný život </w:t>
      </w:r>
      <w:r w:rsidRPr="00831152">
        <w:rPr>
          <w:rFonts w:cs="Arial"/>
          <w:b/>
          <w:bCs/>
          <w:szCs w:val="20"/>
        </w:rPr>
        <w:t xml:space="preserve">mladých </w:t>
      </w:r>
      <w:r>
        <w:rPr>
          <w:rFonts w:cs="Arial"/>
          <w:b/>
          <w:bCs/>
          <w:szCs w:val="20"/>
        </w:rPr>
        <w:t>osob se zdravotním postižením, které</w:t>
      </w:r>
      <w:r w:rsidRPr="00831152">
        <w:rPr>
          <w:rFonts w:cs="Arial"/>
          <w:b/>
          <w:bCs/>
          <w:szCs w:val="20"/>
        </w:rPr>
        <w:t xml:space="preserve"> opouštějí institucionální zařízení.</w:t>
      </w:r>
    </w:p>
    <w:p w14:paraId="25ED30D0" w14:textId="77777777" w:rsidR="00F17E74" w:rsidRPr="00831152" w:rsidRDefault="00F17E74" w:rsidP="00F17E74">
      <w:pPr>
        <w:rPr>
          <w:rFonts w:cs="Arial"/>
          <w:szCs w:val="20"/>
        </w:rPr>
      </w:pPr>
      <w:r w:rsidRPr="0035060D">
        <w:rPr>
          <w:rFonts w:cs="Arial"/>
          <w:bCs/>
          <w:szCs w:val="20"/>
        </w:rPr>
        <w:t xml:space="preserve">Opatření </w:t>
      </w:r>
      <w:r>
        <w:rPr>
          <w:rFonts w:cs="Arial"/>
          <w:bCs/>
          <w:szCs w:val="20"/>
        </w:rPr>
        <w:t>7</w:t>
      </w:r>
      <w:r>
        <w:rPr>
          <w:rFonts w:cs="Arial"/>
          <w:szCs w:val="20"/>
        </w:rPr>
        <w:t xml:space="preserve">.2.1 </w:t>
      </w:r>
      <w:r w:rsidRPr="00831152">
        <w:rPr>
          <w:rFonts w:cs="Arial"/>
          <w:szCs w:val="20"/>
        </w:rPr>
        <w:t xml:space="preserve">Realizovat programy na podporu samostatného života mladých </w:t>
      </w:r>
      <w:r>
        <w:rPr>
          <w:rFonts w:cs="Arial"/>
          <w:szCs w:val="20"/>
        </w:rPr>
        <w:t>osob</w:t>
      </w:r>
      <w:r w:rsidRPr="00831152">
        <w:rPr>
          <w:rFonts w:cs="Arial"/>
          <w:szCs w:val="20"/>
        </w:rPr>
        <w:t xml:space="preserve"> se</w:t>
      </w:r>
      <w:r w:rsidR="006B3285">
        <w:rPr>
          <w:rFonts w:cs="Arial"/>
          <w:szCs w:val="20"/>
        </w:rPr>
        <w:t> </w:t>
      </w:r>
      <w:r w:rsidRPr="00831152">
        <w:rPr>
          <w:rFonts w:cs="Arial"/>
          <w:szCs w:val="20"/>
        </w:rPr>
        <w:t>zdravotním postižením, kte</w:t>
      </w:r>
      <w:r w:rsidR="00363F76">
        <w:rPr>
          <w:rFonts w:cs="Arial"/>
          <w:szCs w:val="20"/>
        </w:rPr>
        <w:t>ré</w:t>
      </w:r>
      <w:r w:rsidRPr="00831152">
        <w:rPr>
          <w:rFonts w:cs="Arial"/>
          <w:szCs w:val="20"/>
        </w:rPr>
        <w:t xml:space="preserve"> opouštějí po nabytí zletilosti či po ukončení přípravy na</w:t>
      </w:r>
      <w:r w:rsidR="006B3285">
        <w:rPr>
          <w:rFonts w:cs="Arial"/>
          <w:szCs w:val="20"/>
        </w:rPr>
        <w:t> </w:t>
      </w:r>
      <w:r w:rsidRPr="00831152">
        <w:rPr>
          <w:rFonts w:cs="Arial"/>
          <w:szCs w:val="20"/>
        </w:rPr>
        <w:t>budoucí povolání institucionální zařízení.</w:t>
      </w:r>
    </w:p>
    <w:p w14:paraId="17765F3A" w14:textId="77777777" w:rsidR="00F17E74" w:rsidRPr="00831152" w:rsidRDefault="00F17E74" w:rsidP="00F17E74">
      <w:pPr>
        <w:rPr>
          <w:rFonts w:cs="Arial"/>
          <w:szCs w:val="20"/>
        </w:rPr>
      </w:pPr>
      <w:r w:rsidRPr="00831152">
        <w:rPr>
          <w:rFonts w:cs="Arial"/>
          <w:szCs w:val="20"/>
        </w:rPr>
        <w:t>Termín: průběžně</w:t>
      </w:r>
    </w:p>
    <w:p w14:paraId="332FE85F" w14:textId="77777777" w:rsidR="00F17E74" w:rsidRPr="00831152" w:rsidRDefault="00F17E74" w:rsidP="00F17E74">
      <w:pPr>
        <w:rPr>
          <w:rFonts w:cs="Arial"/>
          <w:szCs w:val="20"/>
        </w:rPr>
      </w:pPr>
      <w:r w:rsidRPr="00831152">
        <w:rPr>
          <w:rFonts w:cs="Arial"/>
          <w:szCs w:val="20"/>
        </w:rPr>
        <w:t>Gestor: MPSV</w:t>
      </w:r>
    </w:p>
    <w:p w14:paraId="4FF2561C" w14:textId="1731E71D" w:rsidR="00F17E74" w:rsidRDefault="00F17E74" w:rsidP="00B07F5B">
      <w:pPr>
        <w:rPr>
          <w:rFonts w:cs="Arial"/>
          <w:szCs w:val="20"/>
        </w:rPr>
      </w:pPr>
      <w:r w:rsidRPr="00171029">
        <w:rPr>
          <w:rFonts w:cs="Arial"/>
          <w:szCs w:val="20"/>
        </w:rPr>
        <w:t>Indikátor:</w:t>
      </w:r>
      <w:r w:rsidRPr="007A148F">
        <w:rPr>
          <w:rFonts w:cs="Arial"/>
          <w:szCs w:val="20"/>
        </w:rPr>
        <w:t xml:space="preserve"> V daném období byly realizovány uvedené programy</w:t>
      </w:r>
      <w:r>
        <w:rPr>
          <w:rFonts w:cs="Arial"/>
          <w:szCs w:val="20"/>
        </w:rPr>
        <w:t>.</w:t>
      </w:r>
    </w:p>
    <w:p w14:paraId="707C0C70" w14:textId="77777777" w:rsidR="00B07F5B" w:rsidRPr="00CF7F53" w:rsidRDefault="00B07F5B" w:rsidP="00CF7F53">
      <w:pPr>
        <w:rPr>
          <w:rFonts w:cs="Arial"/>
          <w:sz w:val="20"/>
          <w:szCs w:val="20"/>
        </w:rPr>
      </w:pPr>
    </w:p>
    <w:p w14:paraId="281D39CB" w14:textId="78FFFBFB" w:rsidR="001B03BD" w:rsidRPr="00CF7F53" w:rsidRDefault="001B03BD" w:rsidP="00CF7F53">
      <w:pPr>
        <w:keepNext/>
        <w:tabs>
          <w:tab w:val="left" w:pos="720"/>
        </w:tabs>
        <w:rPr>
          <w:rFonts w:cs="Arial"/>
          <w:b/>
          <w:bCs/>
          <w:sz w:val="20"/>
          <w:szCs w:val="20"/>
          <w:lang w:eastAsia="cs-CZ"/>
        </w:rPr>
      </w:pPr>
      <w:r w:rsidRPr="00CF7F53">
        <w:rPr>
          <w:rFonts w:cs="Arial"/>
          <w:b/>
          <w:bCs/>
          <w:sz w:val="20"/>
          <w:szCs w:val="20"/>
          <w:lang w:eastAsia="cs-CZ"/>
        </w:rPr>
        <w:t>PLNĚNÍ MPSV:</w:t>
      </w:r>
    </w:p>
    <w:p w14:paraId="6822C78E" w14:textId="77777777" w:rsidR="00CF7F53" w:rsidRPr="00CF7F53" w:rsidRDefault="00CF7F53" w:rsidP="00CF7F53">
      <w:pPr>
        <w:tabs>
          <w:tab w:val="left" w:pos="720"/>
        </w:tabs>
        <w:rPr>
          <w:rFonts w:cs="Arial"/>
          <w:bCs/>
          <w:sz w:val="20"/>
          <w:szCs w:val="20"/>
        </w:rPr>
      </w:pPr>
      <w:r w:rsidRPr="00CF7F53">
        <w:rPr>
          <w:rFonts w:cs="Arial"/>
          <w:sz w:val="20"/>
          <w:szCs w:val="20"/>
        </w:rPr>
        <w:t xml:space="preserve">Po nabytí účinnosti novely zákona č. 359/1999 Sb., o sociálně-právní ochraně dětí (zákon č. 363/2021 Sb.), která zavedla tzv. zaopatřovací příspěvek pro mladé dospělé odcházející z náhradní péče, který je nově poskytován jako opakovaná měsíční dávka a dále jednorázová dávka při ukončení nezaopatřenosti (zejm. studia), tj. od 1. 1. 2022, naplňuje MPSV toto opatření </w:t>
      </w:r>
      <w:r w:rsidRPr="00CF7F53">
        <w:rPr>
          <w:rFonts w:cs="Arial"/>
          <w:bCs/>
          <w:sz w:val="20"/>
          <w:szCs w:val="20"/>
        </w:rPr>
        <w:t>prostřednictvím metodického vedení krajských úřadů v oblasti náhradní rodinné péče.</w:t>
      </w:r>
    </w:p>
    <w:p w14:paraId="194E72B9" w14:textId="77777777" w:rsidR="00CF7F53" w:rsidRPr="00CF7F53" w:rsidRDefault="00CF7F53" w:rsidP="00CF7F53">
      <w:pPr>
        <w:tabs>
          <w:tab w:val="left" w:pos="720"/>
        </w:tabs>
        <w:rPr>
          <w:rFonts w:cs="Arial"/>
          <w:sz w:val="20"/>
          <w:szCs w:val="20"/>
        </w:rPr>
      </w:pPr>
      <w:r w:rsidRPr="00CF7F53">
        <w:rPr>
          <w:rFonts w:cs="Arial"/>
          <w:sz w:val="20"/>
          <w:szCs w:val="20"/>
        </w:rPr>
        <w:lastRenderedPageBreak/>
        <w:t xml:space="preserve">Pozornost je věnována především spolupráci OSPOD se sociálním kurátorem obecního úřadu obce s rozšířenou působností při vypracování individuálního plánu „mladého dospělého“, který sociální kurátor vypracovává s mladým dospělým a navazuje na </w:t>
      </w:r>
      <w:r w:rsidRPr="00CF7F53">
        <w:rPr>
          <w:rStyle w:val="Zdraznn"/>
          <w:rFonts w:cs="Arial"/>
          <w:i w:val="0"/>
          <w:iCs w:val="0"/>
          <w:sz w:val="20"/>
          <w:szCs w:val="20"/>
          <w:shd w:val="clear" w:color="auto" w:fill="FFFFFF"/>
        </w:rPr>
        <w:t>individuální</w:t>
      </w:r>
      <w:r w:rsidRPr="00CF7F53">
        <w:rPr>
          <w:rFonts w:cs="Arial"/>
          <w:i/>
          <w:iCs/>
          <w:sz w:val="20"/>
          <w:szCs w:val="20"/>
          <w:shd w:val="clear" w:color="auto" w:fill="FFFFFF"/>
        </w:rPr>
        <w:t> </w:t>
      </w:r>
      <w:r w:rsidRPr="00CF7F53">
        <w:rPr>
          <w:rFonts w:cs="Arial"/>
          <w:sz w:val="20"/>
          <w:szCs w:val="20"/>
          <w:shd w:val="clear" w:color="auto" w:fill="FFFFFF"/>
        </w:rPr>
        <w:t>plán ochrany dítěte</w:t>
      </w:r>
      <w:r w:rsidRPr="00CF7F53">
        <w:rPr>
          <w:rFonts w:cs="Arial"/>
          <w:sz w:val="20"/>
          <w:szCs w:val="20"/>
        </w:rPr>
        <w:t xml:space="preserve"> (IPOD).</w:t>
      </w:r>
    </w:p>
    <w:p w14:paraId="0F72B875" w14:textId="29279710" w:rsidR="00CF7F53" w:rsidRPr="00CF7F53" w:rsidRDefault="00CF7F53" w:rsidP="00CF7F53">
      <w:pPr>
        <w:tabs>
          <w:tab w:val="left" w:pos="720"/>
        </w:tabs>
        <w:rPr>
          <w:rFonts w:cs="Arial"/>
          <w:color w:val="000000" w:themeColor="text1"/>
          <w:sz w:val="20"/>
          <w:szCs w:val="20"/>
        </w:rPr>
      </w:pPr>
      <w:r w:rsidRPr="00CF7F53">
        <w:rPr>
          <w:rFonts w:cs="Arial"/>
          <w:color w:val="000000" w:themeColor="text1"/>
          <w:sz w:val="20"/>
          <w:szCs w:val="20"/>
        </w:rPr>
        <w:t>Od roku 2020 jsou rovněž realizovány praktické online workshopy zaměřené mimo jiné na vyhodnocování situace dítěte vyrůstajícího v pobytovém zařízení (včetně DOZP). Obsahem vzdělávání je rozvíjet kompetence pracovníků OSPOD v rámci analýzy potřeb dětí a dospívajících osob tak, aby nebyla opomíjena příprava na samostatný život mimo zařízení.</w:t>
      </w:r>
    </w:p>
    <w:p w14:paraId="7B88478C" w14:textId="3CBEC7CC" w:rsidR="001B03BD" w:rsidRDefault="001B03BD" w:rsidP="00CF7F53">
      <w:pPr>
        <w:rPr>
          <w:rFonts w:cs="Arial"/>
          <w:bCs/>
          <w:sz w:val="20"/>
          <w:szCs w:val="20"/>
        </w:rPr>
      </w:pPr>
      <w:r w:rsidRPr="00CF7F53">
        <w:rPr>
          <w:rFonts w:cs="Arial"/>
          <w:b/>
          <w:bCs/>
          <w:sz w:val="20"/>
          <w:szCs w:val="20"/>
          <w:lang w:eastAsia="cs-CZ"/>
        </w:rPr>
        <w:t>STANOVISKO K PLNĚNÍ:</w:t>
      </w:r>
      <w:r w:rsidR="003E4194" w:rsidRPr="00CF7F53">
        <w:rPr>
          <w:rFonts w:cs="Arial"/>
          <w:bCs/>
          <w:sz w:val="20"/>
          <w:szCs w:val="20"/>
        </w:rPr>
        <w:t xml:space="preserve"> </w:t>
      </w:r>
      <w:r w:rsidR="009D6925" w:rsidRPr="00CF7F53">
        <w:rPr>
          <w:rFonts w:cs="Arial"/>
          <w:b/>
          <w:bCs/>
          <w:sz w:val="20"/>
          <w:szCs w:val="20"/>
        </w:rPr>
        <w:t>Plněno.</w:t>
      </w:r>
      <w:r w:rsidR="00C73431" w:rsidRPr="00CF7F53">
        <w:rPr>
          <w:rFonts w:cs="Arial"/>
          <w:bCs/>
          <w:sz w:val="20"/>
          <w:szCs w:val="20"/>
        </w:rPr>
        <w:t xml:space="preserve"> </w:t>
      </w:r>
    </w:p>
    <w:p w14:paraId="7E03A689" w14:textId="77777777" w:rsidR="00CF7F53" w:rsidRPr="00CF7F53" w:rsidRDefault="00CF7F53" w:rsidP="00CF7F53">
      <w:pPr>
        <w:rPr>
          <w:rFonts w:cs="Arial"/>
          <w:b/>
          <w:bCs/>
          <w:sz w:val="20"/>
          <w:szCs w:val="20"/>
        </w:rPr>
      </w:pPr>
    </w:p>
    <w:p w14:paraId="5FE66C17" w14:textId="6FC00A5C" w:rsidR="001A7CD5" w:rsidRPr="009806D0" w:rsidRDefault="001A7CD5" w:rsidP="00CF7F53">
      <w:pPr>
        <w:rPr>
          <w:rFonts w:cs="Arial"/>
          <w:b/>
          <w:szCs w:val="20"/>
        </w:rPr>
      </w:pPr>
      <w:r>
        <w:rPr>
          <w:rFonts w:cs="Arial"/>
          <w:b/>
          <w:szCs w:val="20"/>
        </w:rPr>
        <w:t xml:space="preserve">7.3 </w:t>
      </w:r>
      <w:r w:rsidRPr="009806D0">
        <w:rPr>
          <w:rFonts w:cs="Arial"/>
          <w:b/>
          <w:szCs w:val="20"/>
        </w:rPr>
        <w:t>Cíl</w:t>
      </w:r>
      <w:r>
        <w:rPr>
          <w:rFonts w:cs="Arial"/>
          <w:b/>
          <w:szCs w:val="20"/>
        </w:rPr>
        <w:t xml:space="preserve">: Zajištění </w:t>
      </w:r>
      <w:r w:rsidRPr="002D3B01">
        <w:rPr>
          <w:rFonts w:eastAsia="Calibri" w:cs="Arial"/>
          <w:b/>
          <w:bCs/>
          <w:szCs w:val="20"/>
        </w:rPr>
        <w:t>dodržování</w:t>
      </w:r>
      <w:r>
        <w:rPr>
          <w:rFonts w:cs="Arial"/>
          <w:b/>
          <w:szCs w:val="20"/>
        </w:rPr>
        <w:t xml:space="preserve"> práva </w:t>
      </w:r>
      <w:r w:rsidRPr="00496714">
        <w:rPr>
          <w:rFonts w:cs="Arial"/>
          <w:b/>
          <w:szCs w:val="20"/>
        </w:rPr>
        <w:t>osob s omezenou svéprávností</w:t>
      </w:r>
      <w:r w:rsidRPr="00496714">
        <w:rPr>
          <w:rFonts w:cs="Arial"/>
          <w:szCs w:val="20"/>
        </w:rPr>
        <w:t xml:space="preserve"> </w:t>
      </w:r>
      <w:r w:rsidRPr="00496714">
        <w:rPr>
          <w:rFonts w:cs="Arial"/>
          <w:b/>
          <w:szCs w:val="20"/>
        </w:rPr>
        <w:t>na rodinný život</w:t>
      </w:r>
      <w:r>
        <w:rPr>
          <w:rFonts w:cs="Arial"/>
          <w:b/>
          <w:szCs w:val="20"/>
        </w:rPr>
        <w:t>.</w:t>
      </w:r>
    </w:p>
    <w:p w14:paraId="6087F954" w14:textId="77777777" w:rsidR="001A7CD5" w:rsidRPr="00831152" w:rsidRDefault="001A7CD5" w:rsidP="001A7CD5">
      <w:pPr>
        <w:rPr>
          <w:rFonts w:cs="Arial"/>
          <w:szCs w:val="20"/>
        </w:rPr>
      </w:pPr>
      <w:r w:rsidRPr="0035060D">
        <w:rPr>
          <w:rFonts w:cs="Arial"/>
          <w:bCs/>
          <w:szCs w:val="20"/>
        </w:rPr>
        <w:t xml:space="preserve">Opatření </w:t>
      </w:r>
      <w:r>
        <w:rPr>
          <w:rFonts w:cs="Arial"/>
          <w:szCs w:val="20"/>
        </w:rPr>
        <w:t>7.3</w:t>
      </w:r>
      <w:r w:rsidRPr="0035060D">
        <w:rPr>
          <w:rFonts w:cs="Arial"/>
          <w:szCs w:val="20"/>
        </w:rPr>
        <w:t>.</w:t>
      </w:r>
      <w:r>
        <w:rPr>
          <w:rFonts w:cs="Arial"/>
          <w:szCs w:val="20"/>
        </w:rPr>
        <w:t>1</w:t>
      </w:r>
      <w:r w:rsidRPr="0035060D">
        <w:rPr>
          <w:rFonts w:cs="Arial"/>
          <w:szCs w:val="20"/>
        </w:rPr>
        <w:t xml:space="preserve"> </w:t>
      </w:r>
      <w:r w:rsidRPr="00831152">
        <w:rPr>
          <w:rFonts w:cs="Arial"/>
          <w:szCs w:val="20"/>
        </w:rPr>
        <w:t>Provést analýzu právní úpravy práva na rodinný život u osob s omezenou svéprávností z hlediska Úmluvy</w:t>
      </w:r>
      <w:r>
        <w:rPr>
          <w:rFonts w:cs="Arial"/>
          <w:szCs w:val="20"/>
        </w:rPr>
        <w:t xml:space="preserve"> OSN o právech osob se zdravotním postižením</w:t>
      </w:r>
      <w:r w:rsidRPr="00831152">
        <w:rPr>
          <w:rFonts w:cs="Arial"/>
          <w:szCs w:val="20"/>
        </w:rPr>
        <w:t xml:space="preserve"> a v případě potřeby navrhnout odpovídající legislativní změny.</w:t>
      </w:r>
    </w:p>
    <w:p w14:paraId="5B74FE3B" w14:textId="672A0CB3" w:rsidR="001A7CD5" w:rsidRPr="00831152" w:rsidRDefault="00AC6745" w:rsidP="001A7CD5">
      <w:pPr>
        <w:rPr>
          <w:rFonts w:cs="Arial"/>
          <w:szCs w:val="20"/>
        </w:rPr>
      </w:pPr>
      <w:r>
        <w:rPr>
          <w:rFonts w:cs="Arial"/>
          <w:szCs w:val="20"/>
        </w:rPr>
        <w:t xml:space="preserve">Termín: </w:t>
      </w:r>
      <w:proofErr w:type="gramStart"/>
      <w:r>
        <w:rPr>
          <w:rFonts w:cs="Arial"/>
          <w:szCs w:val="20"/>
        </w:rPr>
        <w:t>31.12.2023</w:t>
      </w:r>
      <w:proofErr w:type="gramEnd"/>
    </w:p>
    <w:p w14:paraId="3249FACC" w14:textId="77777777" w:rsidR="001A7CD5" w:rsidRPr="00831152" w:rsidRDefault="001A7CD5" w:rsidP="001A7CD5">
      <w:pPr>
        <w:rPr>
          <w:rFonts w:cs="Arial"/>
          <w:szCs w:val="20"/>
        </w:rPr>
      </w:pPr>
      <w:r w:rsidRPr="00831152">
        <w:rPr>
          <w:rFonts w:cs="Arial"/>
          <w:szCs w:val="20"/>
        </w:rPr>
        <w:t>Gestor: MPSV</w:t>
      </w:r>
    </w:p>
    <w:p w14:paraId="5B272406" w14:textId="77777777" w:rsidR="001A7CD5" w:rsidRPr="0057756D" w:rsidRDefault="001A7CD5" w:rsidP="001A7CD5">
      <w:pPr>
        <w:spacing w:after="480"/>
        <w:rPr>
          <w:rFonts w:cs="Arial"/>
          <w:szCs w:val="20"/>
        </w:rPr>
      </w:pPr>
      <w:r w:rsidRPr="00831152">
        <w:rPr>
          <w:rFonts w:cs="Arial"/>
          <w:szCs w:val="20"/>
        </w:rPr>
        <w:t xml:space="preserve">Indikátor: </w:t>
      </w:r>
      <w:r>
        <w:rPr>
          <w:rFonts w:cs="Arial"/>
          <w:szCs w:val="20"/>
        </w:rPr>
        <w:t>Byla z</w:t>
      </w:r>
      <w:r w:rsidRPr="00831152">
        <w:rPr>
          <w:rFonts w:cs="Arial"/>
          <w:szCs w:val="20"/>
        </w:rPr>
        <w:t>pracov</w:t>
      </w:r>
      <w:r>
        <w:rPr>
          <w:rFonts w:cs="Arial"/>
          <w:szCs w:val="20"/>
        </w:rPr>
        <w:t xml:space="preserve">ána uvedená </w:t>
      </w:r>
      <w:r w:rsidRPr="00831152">
        <w:rPr>
          <w:rFonts w:cs="Arial"/>
          <w:szCs w:val="20"/>
        </w:rPr>
        <w:t>anal</w:t>
      </w:r>
      <w:r>
        <w:rPr>
          <w:rFonts w:cs="Arial"/>
          <w:szCs w:val="20"/>
        </w:rPr>
        <w:t>ýza</w:t>
      </w:r>
      <w:r w:rsidRPr="00831152">
        <w:rPr>
          <w:rFonts w:cs="Arial"/>
          <w:szCs w:val="20"/>
        </w:rPr>
        <w:t>.</w:t>
      </w:r>
    </w:p>
    <w:p w14:paraId="12749867" w14:textId="18291D49" w:rsidR="00751119" w:rsidRPr="00137F9D" w:rsidRDefault="00751119" w:rsidP="008521D6">
      <w:pPr>
        <w:keepNext/>
        <w:tabs>
          <w:tab w:val="left" w:pos="720"/>
        </w:tabs>
        <w:rPr>
          <w:rFonts w:cs="Arial"/>
          <w:b/>
          <w:bCs/>
          <w:sz w:val="20"/>
          <w:szCs w:val="20"/>
          <w:lang w:eastAsia="cs-CZ"/>
        </w:rPr>
      </w:pPr>
      <w:r w:rsidRPr="00137F9D">
        <w:rPr>
          <w:rFonts w:cs="Arial"/>
          <w:b/>
          <w:bCs/>
          <w:sz w:val="20"/>
          <w:szCs w:val="20"/>
          <w:lang w:eastAsia="cs-CZ"/>
        </w:rPr>
        <w:t>PLNĚNÍ MPSV:</w:t>
      </w:r>
    </w:p>
    <w:p w14:paraId="7C554B44" w14:textId="075CE09A" w:rsidR="00137F9D" w:rsidRPr="00137F9D" w:rsidRDefault="00137F9D" w:rsidP="00137F9D">
      <w:pPr>
        <w:rPr>
          <w:rFonts w:cs="Arial"/>
          <w:sz w:val="20"/>
          <w:szCs w:val="20"/>
        </w:rPr>
      </w:pPr>
      <w:r w:rsidRPr="00137F9D">
        <w:rPr>
          <w:rFonts w:cs="Arial"/>
          <w:sz w:val="20"/>
          <w:szCs w:val="20"/>
        </w:rPr>
        <w:t>S ohledem na nedostatek finančních prostředků nedošlo k zadání a realizaci uvedené analýzy.</w:t>
      </w:r>
    </w:p>
    <w:p w14:paraId="21633E1D" w14:textId="64D550EA" w:rsidR="001A7CD5" w:rsidRPr="008521D6" w:rsidRDefault="0046459A" w:rsidP="008521D6">
      <w:pPr>
        <w:rPr>
          <w:rFonts w:cs="Arial"/>
          <w:b/>
          <w:bCs/>
          <w:sz w:val="20"/>
          <w:szCs w:val="20"/>
        </w:rPr>
      </w:pPr>
      <w:r w:rsidRPr="00137F9D">
        <w:rPr>
          <w:rFonts w:cs="Arial"/>
          <w:b/>
          <w:bCs/>
          <w:sz w:val="20"/>
          <w:szCs w:val="20"/>
          <w:lang w:eastAsia="cs-CZ"/>
        </w:rPr>
        <w:t>STANOVISKO K </w:t>
      </w:r>
      <w:r w:rsidRPr="00A11288">
        <w:rPr>
          <w:rFonts w:cs="Arial"/>
          <w:b/>
          <w:bCs/>
          <w:sz w:val="20"/>
          <w:szCs w:val="20"/>
          <w:lang w:eastAsia="cs-CZ"/>
        </w:rPr>
        <w:t>PLNĚNÍ: Nesplněno.</w:t>
      </w:r>
      <w:r w:rsidR="006B2C0F" w:rsidRPr="00A11288">
        <w:rPr>
          <w:rFonts w:cs="Arial"/>
          <w:b/>
          <w:bCs/>
          <w:sz w:val="20"/>
          <w:szCs w:val="20"/>
          <w:lang w:eastAsia="cs-CZ"/>
        </w:rPr>
        <w:t xml:space="preserve"> Nav</w:t>
      </w:r>
      <w:r w:rsidR="00921E74" w:rsidRPr="00A11288">
        <w:rPr>
          <w:rFonts w:cs="Arial"/>
          <w:b/>
          <w:bCs/>
          <w:sz w:val="20"/>
          <w:szCs w:val="20"/>
          <w:lang w:eastAsia="cs-CZ"/>
        </w:rPr>
        <w:t xml:space="preserve">ržen posun termínu do </w:t>
      </w:r>
      <w:proofErr w:type="gramStart"/>
      <w:r w:rsidR="00921E74" w:rsidRPr="00A11288">
        <w:rPr>
          <w:rFonts w:cs="Arial"/>
          <w:b/>
          <w:bCs/>
          <w:sz w:val="20"/>
          <w:szCs w:val="20"/>
          <w:lang w:eastAsia="cs-CZ"/>
        </w:rPr>
        <w:t>31.12.2024</w:t>
      </w:r>
      <w:proofErr w:type="gramEnd"/>
      <w:r w:rsidR="006B2C0F" w:rsidRPr="00A11288">
        <w:rPr>
          <w:rFonts w:cs="Arial"/>
          <w:b/>
          <w:bCs/>
          <w:sz w:val="20"/>
          <w:szCs w:val="20"/>
          <w:lang w:eastAsia="cs-CZ"/>
        </w:rPr>
        <w:t>.</w:t>
      </w:r>
    </w:p>
    <w:p w14:paraId="48F76D49" w14:textId="77777777" w:rsidR="002F2D3A" w:rsidRPr="008521D6" w:rsidRDefault="002F2D3A" w:rsidP="008521D6">
      <w:pPr>
        <w:rPr>
          <w:rFonts w:cs="Arial"/>
          <w:bCs/>
          <w:sz w:val="20"/>
          <w:szCs w:val="20"/>
        </w:rPr>
      </w:pPr>
    </w:p>
    <w:p w14:paraId="70734D43" w14:textId="56AF9295" w:rsidR="00F17E74" w:rsidRPr="001127FE" w:rsidRDefault="00544214" w:rsidP="004F2659">
      <w:pPr>
        <w:pStyle w:val="Nadpis2"/>
        <w:numPr>
          <w:ilvl w:val="0"/>
          <w:numId w:val="0"/>
        </w:numPr>
        <w:spacing w:before="0" w:after="120"/>
        <w:ind w:left="576" w:hanging="576"/>
      </w:pPr>
      <w:bookmarkStart w:id="32" w:name="_Toc38548793"/>
      <w:bookmarkStart w:id="33" w:name="_Toc38828890"/>
      <w:bookmarkStart w:id="34" w:name="_Toc101957896"/>
      <w:r w:rsidRPr="001A5E6F">
        <w:t>Oblast č. 8</w:t>
      </w:r>
      <w:r w:rsidR="00B345A2" w:rsidRPr="001A5E6F">
        <w:t>:</w:t>
      </w:r>
      <w:r w:rsidRPr="001A5E6F">
        <w:t xml:space="preserve"> </w:t>
      </w:r>
      <w:r w:rsidR="00F17E74" w:rsidRPr="001A5E6F">
        <w:t>Vzdělávání a školství</w:t>
      </w:r>
      <w:bookmarkEnd w:id="32"/>
      <w:bookmarkEnd w:id="33"/>
      <w:bookmarkEnd w:id="34"/>
    </w:p>
    <w:p w14:paraId="39FB2D13" w14:textId="3EE0A62B" w:rsidR="00F17E74" w:rsidRPr="00096E3B" w:rsidRDefault="0014605A" w:rsidP="004F2659">
      <w:pPr>
        <w:rPr>
          <w:rFonts w:cs="Arial"/>
          <w:bCs/>
          <w:sz w:val="20"/>
          <w:szCs w:val="20"/>
        </w:rPr>
      </w:pPr>
      <w:r>
        <w:rPr>
          <w:rFonts w:cs="Arial"/>
          <w:bCs/>
          <w:sz w:val="20"/>
          <w:szCs w:val="20"/>
        </w:rPr>
        <w:t>Oblast č. 8 se věnuje právu</w:t>
      </w:r>
      <w:r w:rsidR="00F17E74" w:rsidRPr="00096E3B">
        <w:rPr>
          <w:rFonts w:cs="Arial"/>
          <w:bCs/>
          <w:sz w:val="20"/>
          <w:szCs w:val="20"/>
        </w:rPr>
        <w:t xml:space="preserve"> na vzdělání bez diskriminace a na základě rovných příležitostí, což mimo jiné znamená podporovat inkluzivní vzdělávání, poskytovat přiměřenou úpravu a pomoc podle individuálních potřeb, aby osoby se zdravotním postižením mohly plně rozvíjet svůj potenciál, nadání a kreativitu a účinně se zapojily do života společnosti.</w:t>
      </w:r>
    </w:p>
    <w:p w14:paraId="73FD1375" w14:textId="78B9D588" w:rsidR="00F17E74" w:rsidRPr="00096E3B" w:rsidRDefault="00F17E74" w:rsidP="004F2659">
      <w:pPr>
        <w:rPr>
          <w:rFonts w:cs="Arial"/>
          <w:sz w:val="20"/>
          <w:szCs w:val="20"/>
        </w:rPr>
      </w:pPr>
      <w:r w:rsidRPr="00096E3B">
        <w:rPr>
          <w:rFonts w:cs="Arial"/>
          <w:sz w:val="20"/>
          <w:szCs w:val="20"/>
        </w:rPr>
        <w:t xml:space="preserve">V rámci systému </w:t>
      </w:r>
      <w:r w:rsidRPr="00096E3B">
        <w:rPr>
          <w:rFonts w:cs="Arial"/>
          <w:bCs/>
          <w:sz w:val="20"/>
          <w:szCs w:val="20"/>
        </w:rPr>
        <w:t>inkluzivního vzdělávání</w:t>
      </w:r>
      <w:r w:rsidRPr="00096E3B">
        <w:rPr>
          <w:rFonts w:cs="Arial"/>
          <w:sz w:val="20"/>
          <w:szCs w:val="20"/>
        </w:rPr>
        <w:t xml:space="preserve"> jsou uplatňována podpůrná opatření tak, aby byla zajištěna rovnost v přístupu ke vzdělávání na všech úrovních škol pro každé dítě, </w:t>
      </w:r>
      <w:r w:rsidRPr="000A37B3">
        <w:rPr>
          <w:rFonts w:cs="Arial"/>
          <w:sz w:val="20"/>
          <w:szCs w:val="20"/>
        </w:rPr>
        <w:t>žáka či</w:t>
      </w:r>
      <w:r w:rsidR="00985651" w:rsidRPr="000A37B3">
        <w:rPr>
          <w:rFonts w:cs="Arial"/>
          <w:sz w:val="20"/>
          <w:szCs w:val="20"/>
        </w:rPr>
        <w:t> </w:t>
      </w:r>
      <w:r w:rsidRPr="000A37B3">
        <w:rPr>
          <w:rFonts w:cs="Arial"/>
          <w:sz w:val="20"/>
          <w:szCs w:val="20"/>
        </w:rPr>
        <w:t xml:space="preserve">studenta. </w:t>
      </w:r>
    </w:p>
    <w:p w14:paraId="4EE05C60" w14:textId="4F001D14" w:rsidR="00F17E74" w:rsidRPr="00096E3B" w:rsidRDefault="0014605A" w:rsidP="004F2659">
      <w:pPr>
        <w:rPr>
          <w:rFonts w:cs="Arial"/>
          <w:sz w:val="20"/>
          <w:szCs w:val="20"/>
        </w:rPr>
      </w:pPr>
      <w:r>
        <w:rPr>
          <w:bCs/>
          <w:sz w:val="20"/>
          <w:szCs w:val="20"/>
        </w:rPr>
        <w:t xml:space="preserve">Je nezbytné se </w:t>
      </w:r>
      <w:r w:rsidR="00F17E74" w:rsidRPr="00096E3B">
        <w:rPr>
          <w:bCs/>
          <w:sz w:val="20"/>
          <w:szCs w:val="20"/>
        </w:rPr>
        <w:t>systematicky zabývat osvětou, podporovat projekty</w:t>
      </w:r>
      <w:r w:rsidR="00992207">
        <w:rPr>
          <w:bCs/>
          <w:sz w:val="20"/>
          <w:szCs w:val="20"/>
        </w:rPr>
        <w:t xml:space="preserve"> osvětlující pozitiva inkluze a </w:t>
      </w:r>
      <w:r w:rsidR="00F17E74" w:rsidRPr="00096E3B">
        <w:rPr>
          <w:bCs/>
          <w:sz w:val="20"/>
          <w:szCs w:val="20"/>
        </w:rPr>
        <w:t>vytvářet ve společnosti klima respektující právo na vzdělávání všech osob bez rozdílu</w:t>
      </w:r>
      <w:r>
        <w:rPr>
          <w:bCs/>
          <w:sz w:val="20"/>
          <w:szCs w:val="20"/>
        </w:rPr>
        <w:t>.</w:t>
      </w:r>
      <w:r w:rsidR="00F17E74" w:rsidRPr="00096E3B">
        <w:rPr>
          <w:bCs/>
          <w:sz w:val="20"/>
          <w:szCs w:val="20"/>
        </w:rPr>
        <w:t xml:space="preserve"> </w:t>
      </w:r>
    </w:p>
    <w:p w14:paraId="3E34FB7F" w14:textId="49AE7B5D" w:rsidR="000B6608" w:rsidRPr="00885396" w:rsidRDefault="00F17E74" w:rsidP="00C2266B">
      <w:pPr>
        <w:rPr>
          <w:rFonts w:cs="Arial"/>
          <w:sz w:val="20"/>
          <w:szCs w:val="20"/>
        </w:rPr>
      </w:pPr>
      <w:r w:rsidRPr="00096E3B">
        <w:rPr>
          <w:rFonts w:cs="Arial"/>
          <w:sz w:val="20"/>
          <w:szCs w:val="20"/>
        </w:rPr>
        <w:t xml:space="preserve">V oblasti </w:t>
      </w:r>
      <w:r w:rsidRPr="00096E3B">
        <w:rPr>
          <w:rFonts w:cs="Arial"/>
          <w:bCs/>
          <w:sz w:val="20"/>
          <w:szCs w:val="20"/>
        </w:rPr>
        <w:t>vysokého školství</w:t>
      </w:r>
      <w:r w:rsidRPr="00096E3B">
        <w:rPr>
          <w:rFonts w:cs="Arial"/>
          <w:sz w:val="20"/>
          <w:szCs w:val="20"/>
        </w:rPr>
        <w:t xml:space="preserve"> by měl být na úrovni všech strategických dokumentů a právních předpisů dodržován princip rovných příležitostí osob se zdravotním postižením. Otevřenost vysokého školství je třeba podporovat v průběhu celé studijní dráhy, tedy v rámci přístupu ke</w:t>
      </w:r>
      <w:r w:rsidR="004942B7" w:rsidRPr="00096E3B">
        <w:rPr>
          <w:rFonts w:cs="Arial"/>
          <w:sz w:val="20"/>
          <w:szCs w:val="20"/>
        </w:rPr>
        <w:t> </w:t>
      </w:r>
      <w:r w:rsidRPr="00096E3B">
        <w:rPr>
          <w:rFonts w:cs="Arial"/>
          <w:sz w:val="20"/>
          <w:szCs w:val="20"/>
        </w:rPr>
        <w:t>vzdělávání, během studia, ale také v úspěšnosti dokončení studia. Inkluzivní prostředí vysokých škol je třeba podporovat financováním zvýšených nákladů vysokých škol zpřístupňujících studium osobám se specifickými potřebami, investičním programem na</w:t>
      </w:r>
      <w:r w:rsidR="004942B7" w:rsidRPr="00096E3B">
        <w:rPr>
          <w:rFonts w:cs="Arial"/>
          <w:sz w:val="20"/>
          <w:szCs w:val="20"/>
        </w:rPr>
        <w:t> </w:t>
      </w:r>
      <w:r w:rsidRPr="00096E3B">
        <w:rPr>
          <w:rFonts w:cs="Arial"/>
          <w:sz w:val="20"/>
          <w:szCs w:val="20"/>
        </w:rPr>
        <w:t xml:space="preserve">rozvoj infrastruktury vysokých škol. </w:t>
      </w:r>
    </w:p>
    <w:p w14:paraId="5EAD7475" w14:textId="77777777" w:rsidR="008D5314" w:rsidRDefault="00885396" w:rsidP="008D5314">
      <w:pPr>
        <w:rPr>
          <w:rFonts w:eastAsia="Calibri" w:cs="Arial"/>
          <w:b/>
          <w:bCs/>
          <w:szCs w:val="20"/>
        </w:rPr>
      </w:pPr>
      <w:r>
        <w:rPr>
          <w:rFonts w:eastAsia="Calibri" w:cs="Arial"/>
          <w:b/>
          <w:bCs/>
          <w:szCs w:val="20"/>
        </w:rPr>
        <w:t xml:space="preserve">8.1 </w:t>
      </w:r>
      <w:r w:rsidRPr="0057756D">
        <w:rPr>
          <w:rFonts w:eastAsia="Calibri" w:cs="Arial"/>
          <w:b/>
          <w:bCs/>
          <w:szCs w:val="20"/>
        </w:rPr>
        <w:t>Cíl: Kvalitní práce školských poradenských zařízení, včetně zkrácení lhůty na</w:t>
      </w:r>
      <w:r>
        <w:rPr>
          <w:rFonts w:eastAsia="Calibri" w:cs="Arial"/>
          <w:b/>
          <w:bCs/>
          <w:szCs w:val="20"/>
        </w:rPr>
        <w:t> </w:t>
      </w:r>
      <w:r w:rsidRPr="0057756D">
        <w:rPr>
          <w:rFonts w:eastAsia="Calibri" w:cs="Arial"/>
          <w:b/>
          <w:bCs/>
          <w:szCs w:val="20"/>
        </w:rPr>
        <w:t xml:space="preserve">provedení vyšetření. </w:t>
      </w:r>
    </w:p>
    <w:p w14:paraId="4A85B952" w14:textId="5E222334" w:rsidR="008D5314" w:rsidRPr="008D5314" w:rsidRDefault="008D5314" w:rsidP="008D5314">
      <w:pPr>
        <w:rPr>
          <w:rFonts w:eastAsia="Calibri" w:cs="Arial"/>
          <w:b/>
          <w:bCs/>
          <w:szCs w:val="20"/>
        </w:rPr>
      </w:pPr>
      <w:r w:rsidRPr="0035060D">
        <w:rPr>
          <w:rFonts w:cs="Arial"/>
          <w:bCs/>
          <w:szCs w:val="20"/>
        </w:rPr>
        <w:t xml:space="preserve">Opatření </w:t>
      </w:r>
      <w:r>
        <w:rPr>
          <w:rFonts w:cs="Arial"/>
          <w:bCs/>
          <w:szCs w:val="20"/>
        </w:rPr>
        <w:t>8</w:t>
      </w:r>
      <w:r>
        <w:rPr>
          <w:rFonts w:cs="Arial"/>
          <w:szCs w:val="20"/>
        </w:rPr>
        <w:t xml:space="preserve">.1.1 </w:t>
      </w:r>
      <w:r w:rsidRPr="0057756D">
        <w:rPr>
          <w:rFonts w:cs="Arial"/>
          <w:bCs/>
          <w:szCs w:val="20"/>
        </w:rPr>
        <w:t xml:space="preserve">Standardizovat činnost a postupy práce pracovníků ve školských poradenských zařízeních a zajistit financování jimi poskytovaných poradenských služeb z prostředků státního rozpočtu tak, aby </w:t>
      </w:r>
    </w:p>
    <w:p w14:paraId="07235B54" w14:textId="77777777" w:rsidR="008D5314" w:rsidRPr="0026048F" w:rsidRDefault="008D5314" w:rsidP="006A1E1C">
      <w:pPr>
        <w:numPr>
          <w:ilvl w:val="0"/>
          <w:numId w:val="5"/>
        </w:numPr>
        <w:rPr>
          <w:rFonts w:cs="Arial"/>
          <w:bCs/>
          <w:szCs w:val="20"/>
        </w:rPr>
      </w:pPr>
      <w:r w:rsidRPr="0026048F">
        <w:rPr>
          <w:rFonts w:cs="Arial"/>
          <w:bCs/>
          <w:szCs w:val="20"/>
        </w:rPr>
        <w:t xml:space="preserve">byly dodržovány legislativně stanovené lhůty pro zahájení poskytování poradenské služby a vydání doporučení ve všech školských poradenských zařízeních, </w:t>
      </w:r>
    </w:p>
    <w:p w14:paraId="72736580" w14:textId="77777777" w:rsidR="008D5314" w:rsidRPr="0026048F" w:rsidRDefault="008D5314" w:rsidP="006A1E1C">
      <w:pPr>
        <w:numPr>
          <w:ilvl w:val="0"/>
          <w:numId w:val="5"/>
        </w:numPr>
        <w:rPr>
          <w:rFonts w:cs="Arial"/>
          <w:bCs/>
          <w:szCs w:val="20"/>
        </w:rPr>
      </w:pPr>
      <w:r w:rsidRPr="0026048F">
        <w:rPr>
          <w:rFonts w:cs="Arial"/>
          <w:bCs/>
          <w:szCs w:val="20"/>
        </w:rPr>
        <w:t xml:space="preserve">byla zajištěna dostupnost a vymahatelnost srovnatelně kvalitních školských poradenských služeb ve všech krajích ČR, </w:t>
      </w:r>
    </w:p>
    <w:p w14:paraId="5009E459" w14:textId="77777777" w:rsidR="008D5314" w:rsidRPr="0026048F" w:rsidRDefault="008D5314" w:rsidP="006A1E1C">
      <w:pPr>
        <w:numPr>
          <w:ilvl w:val="0"/>
          <w:numId w:val="5"/>
        </w:numPr>
        <w:rPr>
          <w:rFonts w:cs="Arial"/>
          <w:bCs/>
          <w:szCs w:val="20"/>
        </w:rPr>
      </w:pPr>
      <w:r w:rsidRPr="0026048F">
        <w:rPr>
          <w:rFonts w:cs="Arial"/>
          <w:bCs/>
          <w:szCs w:val="20"/>
        </w:rPr>
        <w:lastRenderedPageBreak/>
        <w:t xml:space="preserve">mohla být prováděna pravidelná přímá metodická podpora ve školách a školských zařízeních při zavádění a realizaci podpůrných opatření ve vzdělávání včetně metodické podpory asistentů pedagoga, </w:t>
      </w:r>
    </w:p>
    <w:p w14:paraId="268A061F" w14:textId="77777777" w:rsidR="008D5314" w:rsidRPr="0026048F" w:rsidRDefault="008D5314" w:rsidP="006A1E1C">
      <w:pPr>
        <w:numPr>
          <w:ilvl w:val="0"/>
          <w:numId w:val="5"/>
        </w:numPr>
        <w:rPr>
          <w:rFonts w:cs="Arial"/>
          <w:bCs/>
          <w:szCs w:val="20"/>
        </w:rPr>
      </w:pPr>
      <w:r w:rsidRPr="0026048F">
        <w:rPr>
          <w:rFonts w:cs="Arial"/>
          <w:szCs w:val="20"/>
        </w:rPr>
        <w:t>byl zajištěn jednotný systém posuzování sp</w:t>
      </w:r>
      <w:r>
        <w:rPr>
          <w:rFonts w:cs="Arial"/>
          <w:szCs w:val="20"/>
        </w:rPr>
        <w:t>eciálních vzdělávacích potřeb a </w:t>
      </w:r>
      <w:r w:rsidRPr="0026048F">
        <w:rPr>
          <w:rFonts w:cs="Arial"/>
          <w:szCs w:val="20"/>
        </w:rPr>
        <w:t>stanovování druhů a stupňů podpůrných opatření (dle druhu znevýhodnění podle § 16 odst. 9 zákona č. 561/2004 Sb.</w:t>
      </w:r>
      <w:r>
        <w:rPr>
          <w:rFonts w:cs="Arial"/>
          <w:szCs w:val="20"/>
        </w:rPr>
        <w:t>,</w:t>
      </w:r>
      <w:r w:rsidRPr="0026048F">
        <w:rPr>
          <w:rFonts w:cs="Arial"/>
          <w:szCs w:val="20"/>
        </w:rPr>
        <w:t xml:space="preserve"> o předškolním, základním, středním, vyšším odborném a jiném vzdělávání (školský zákon), ve znění pozdějších předpisů</w:t>
      </w:r>
      <w:r>
        <w:rPr>
          <w:rFonts w:cs="Arial"/>
          <w:szCs w:val="20"/>
        </w:rPr>
        <w:t>,</w:t>
      </w:r>
      <w:r w:rsidRPr="0026048F">
        <w:rPr>
          <w:rFonts w:cs="Arial"/>
          <w:szCs w:val="20"/>
        </w:rPr>
        <w:t xml:space="preserve"> </w:t>
      </w:r>
      <w:r w:rsidRPr="0026048F">
        <w:rPr>
          <w:rFonts w:cs="Arial"/>
          <w:bCs/>
          <w:szCs w:val="20"/>
        </w:rPr>
        <w:t xml:space="preserve">a Mezinárodní klasifikace funkčních schopností, disability a zdraví) ve školských poradenských zařízeních. </w:t>
      </w:r>
      <w:r>
        <w:rPr>
          <w:rFonts w:cs="Arial"/>
          <w:bCs/>
          <w:szCs w:val="20"/>
        </w:rPr>
        <w:t>Zajistit jednotnou metodiku pro </w:t>
      </w:r>
      <w:r w:rsidRPr="0026048F">
        <w:rPr>
          <w:rFonts w:cs="Arial"/>
          <w:bCs/>
          <w:szCs w:val="20"/>
        </w:rPr>
        <w:t>stanovování druhů a stupňů podpůrných opatření pro všechna školská poradenská zařízení, kter</w:t>
      </w:r>
      <w:r>
        <w:rPr>
          <w:rFonts w:cs="Arial"/>
          <w:bCs/>
          <w:szCs w:val="20"/>
        </w:rPr>
        <w:t>á</w:t>
      </w:r>
      <w:r w:rsidRPr="0026048F">
        <w:rPr>
          <w:rFonts w:cs="Arial"/>
          <w:bCs/>
          <w:szCs w:val="20"/>
        </w:rPr>
        <w:t xml:space="preserve"> poskytují slu</w:t>
      </w:r>
      <w:r>
        <w:rPr>
          <w:rFonts w:cs="Arial"/>
          <w:bCs/>
          <w:szCs w:val="20"/>
        </w:rPr>
        <w:t>žby dětem, žákům a studentům se </w:t>
      </w:r>
      <w:r w:rsidRPr="0026048F">
        <w:rPr>
          <w:rFonts w:cs="Arial"/>
          <w:bCs/>
          <w:szCs w:val="20"/>
        </w:rPr>
        <w:t>zdravotním postižením.</w:t>
      </w:r>
    </w:p>
    <w:p w14:paraId="18199A4C" w14:textId="77777777" w:rsidR="008D5314" w:rsidRPr="0057756D" w:rsidRDefault="008D5314" w:rsidP="008D5314">
      <w:pPr>
        <w:rPr>
          <w:rFonts w:eastAsia="Calibri" w:cs="Arial"/>
          <w:szCs w:val="20"/>
        </w:rPr>
      </w:pPr>
      <w:r>
        <w:rPr>
          <w:rFonts w:eastAsia="Calibri" w:cs="Arial"/>
          <w:szCs w:val="20"/>
        </w:rPr>
        <w:t xml:space="preserve">Termín: </w:t>
      </w:r>
      <w:proofErr w:type="gramStart"/>
      <w:r>
        <w:rPr>
          <w:rFonts w:eastAsia="Calibri" w:cs="Arial"/>
          <w:szCs w:val="20"/>
        </w:rPr>
        <w:t>31.12.2023</w:t>
      </w:r>
      <w:proofErr w:type="gramEnd"/>
    </w:p>
    <w:p w14:paraId="29411094" w14:textId="77777777" w:rsidR="008D5314" w:rsidRDefault="008D5314" w:rsidP="00C47D75">
      <w:pPr>
        <w:rPr>
          <w:rFonts w:eastAsia="Calibri" w:cs="Arial"/>
          <w:szCs w:val="20"/>
        </w:rPr>
      </w:pPr>
      <w:r w:rsidRPr="0057756D">
        <w:rPr>
          <w:rFonts w:eastAsia="Calibri" w:cs="Arial"/>
          <w:szCs w:val="20"/>
        </w:rPr>
        <w:t>Gestor: MŠMT</w:t>
      </w:r>
      <w:r>
        <w:rPr>
          <w:rFonts w:eastAsia="Calibri" w:cs="Arial"/>
          <w:szCs w:val="20"/>
        </w:rPr>
        <w:t>, ČŠI</w:t>
      </w:r>
    </w:p>
    <w:p w14:paraId="4025D5BB" w14:textId="77777777" w:rsidR="008D5314" w:rsidRPr="000B33C7" w:rsidRDefault="008D5314" w:rsidP="00C47D75">
      <w:pPr>
        <w:keepNext/>
        <w:rPr>
          <w:rFonts w:cs="Arial"/>
          <w:szCs w:val="20"/>
        </w:rPr>
      </w:pPr>
      <w:r w:rsidRPr="00831152">
        <w:rPr>
          <w:rFonts w:cs="Arial"/>
          <w:szCs w:val="20"/>
        </w:rPr>
        <w:t>Indikátor:</w:t>
      </w:r>
      <w:r>
        <w:rPr>
          <w:rFonts w:cs="Arial"/>
          <w:szCs w:val="20"/>
        </w:rPr>
        <w:t xml:space="preserve"> Byly nastaveny standardy a zajištěno financování poradenských služeb dle uvedených požadavků.</w:t>
      </w:r>
    </w:p>
    <w:p w14:paraId="7EB8DE8D" w14:textId="77777777" w:rsidR="006E6F93" w:rsidRDefault="006E6F93" w:rsidP="00A224F7">
      <w:pPr>
        <w:tabs>
          <w:tab w:val="left" w:pos="720"/>
        </w:tabs>
        <w:rPr>
          <w:rFonts w:cs="Arial"/>
          <w:b/>
          <w:bCs/>
          <w:sz w:val="20"/>
          <w:szCs w:val="20"/>
          <w:lang w:eastAsia="cs-CZ"/>
        </w:rPr>
      </w:pPr>
    </w:p>
    <w:p w14:paraId="16ADA8E4" w14:textId="77777777" w:rsidR="00B460F6" w:rsidRDefault="00347924" w:rsidP="00B460F6">
      <w:pPr>
        <w:tabs>
          <w:tab w:val="left" w:pos="720"/>
        </w:tabs>
        <w:rPr>
          <w:rFonts w:cs="Arial"/>
          <w:b/>
          <w:bCs/>
          <w:sz w:val="20"/>
          <w:szCs w:val="20"/>
          <w:lang w:eastAsia="cs-CZ"/>
        </w:rPr>
      </w:pPr>
      <w:r w:rsidRPr="00E74D75">
        <w:rPr>
          <w:rFonts w:cs="Arial"/>
          <w:b/>
          <w:bCs/>
          <w:sz w:val="20"/>
          <w:szCs w:val="20"/>
          <w:lang w:eastAsia="cs-CZ"/>
        </w:rPr>
        <w:t xml:space="preserve">PLNĚNÍ </w:t>
      </w:r>
      <w:r w:rsidR="006E6F93" w:rsidRPr="00E74D75">
        <w:rPr>
          <w:rFonts w:cs="Arial"/>
          <w:b/>
          <w:bCs/>
          <w:sz w:val="20"/>
          <w:szCs w:val="20"/>
          <w:lang w:eastAsia="cs-CZ"/>
        </w:rPr>
        <w:t>MŠMT</w:t>
      </w:r>
      <w:r w:rsidR="00A224F7" w:rsidRPr="00E74D75">
        <w:rPr>
          <w:rFonts w:cs="Arial"/>
          <w:b/>
          <w:bCs/>
          <w:sz w:val="20"/>
          <w:szCs w:val="20"/>
          <w:lang w:eastAsia="cs-CZ"/>
        </w:rPr>
        <w:t>:</w:t>
      </w:r>
      <w:r w:rsidR="00C35486" w:rsidRPr="00E74D75">
        <w:rPr>
          <w:rFonts w:cs="Arial"/>
          <w:b/>
          <w:bCs/>
          <w:sz w:val="20"/>
          <w:szCs w:val="20"/>
          <w:lang w:eastAsia="cs-CZ"/>
        </w:rPr>
        <w:t xml:space="preserve"> </w:t>
      </w:r>
    </w:p>
    <w:p w14:paraId="06D0D156" w14:textId="4B67F65F" w:rsidR="00B460F6" w:rsidRDefault="00937CDB" w:rsidP="00B460F6">
      <w:pPr>
        <w:tabs>
          <w:tab w:val="left" w:pos="720"/>
        </w:tabs>
        <w:rPr>
          <w:rStyle w:val="normaltextrun"/>
          <w:rFonts w:cs="Arial"/>
          <w:b/>
          <w:bCs/>
          <w:sz w:val="20"/>
          <w:szCs w:val="20"/>
          <w:lang w:eastAsia="cs-CZ"/>
        </w:rPr>
      </w:pPr>
      <w:r w:rsidRPr="00E74D75">
        <w:rPr>
          <w:rFonts w:cs="Arial"/>
          <w:sz w:val="20"/>
          <w:szCs w:val="20"/>
        </w:rPr>
        <w:t xml:space="preserve">MŠMT připravuje novelu školského zákona, jejímž cílem je </w:t>
      </w:r>
      <w:r w:rsidRPr="00E74D75">
        <w:rPr>
          <w:rStyle w:val="normaltextrun"/>
          <w:color w:val="000000"/>
          <w:sz w:val="20"/>
          <w:szCs w:val="20"/>
          <w:bdr w:val="none" w:sz="0" w:space="0" w:color="auto" w:frame="1"/>
        </w:rPr>
        <w:t>zkvalitnit poradenský systém a zajistit inkluzivnější prostředí ve školách. Novela se zaměřuje</w:t>
      </w:r>
      <w:r w:rsidRPr="00E74D75">
        <w:rPr>
          <w:rFonts w:cs="Arial"/>
          <w:sz w:val="20"/>
          <w:szCs w:val="20"/>
        </w:rPr>
        <w:t xml:space="preserve"> mj. na </w:t>
      </w:r>
      <w:r w:rsidRPr="00E74D75">
        <w:rPr>
          <w:rStyle w:val="normaltextrun"/>
          <w:color w:val="000000"/>
          <w:sz w:val="20"/>
          <w:szCs w:val="20"/>
          <w:shd w:val="clear" w:color="auto" w:fill="FFFFFF"/>
        </w:rPr>
        <w:t>definování typů školských poradenských zařízení a jimi poskytovaných činností na úrovni zákona, ukotvení povinnosti základních a středních škol zajistit činnosti školního poradenského pracoviště, institucionalizaci podpůrných pedagogických pozic (školního psychologa a školního speciálního pedagoga)</w:t>
      </w:r>
      <w:r w:rsidR="00992207">
        <w:rPr>
          <w:rStyle w:val="normaltextrun"/>
          <w:color w:val="000000"/>
          <w:sz w:val="20"/>
          <w:szCs w:val="20"/>
          <w:shd w:val="clear" w:color="auto" w:fill="FFFFFF"/>
        </w:rPr>
        <w:t xml:space="preserve"> v běžných základních školách a </w:t>
      </w:r>
      <w:r w:rsidRPr="00E74D75">
        <w:rPr>
          <w:rStyle w:val="normaltextrun"/>
          <w:color w:val="000000"/>
          <w:sz w:val="20"/>
          <w:szCs w:val="20"/>
          <w:shd w:val="clear" w:color="auto" w:fill="FFFFFF"/>
        </w:rPr>
        <w:t>nastavení spádovosti pedagogicko-psychologických poraden za účelem metodického vedení základních škol a zajišťování sdílených podpůrných pedagogických pozic běžným základním školám s 20 – 179 žáky. </w:t>
      </w:r>
      <w:r w:rsidRPr="00E74D75">
        <w:rPr>
          <w:rStyle w:val="normaltextrun"/>
          <w:color w:val="000000"/>
          <w:sz w:val="20"/>
          <w:szCs w:val="20"/>
          <w:bdr w:val="none" w:sz="0" w:space="0" w:color="auto" w:frame="1"/>
        </w:rPr>
        <w:t xml:space="preserve">Krajům bude nově dána povinnost zajistit podmínky pro poskytování poradenských služeb školských poradenských zařízení. </w:t>
      </w:r>
      <w:r w:rsidRPr="00E74D75">
        <w:rPr>
          <w:rStyle w:val="normaltextrun"/>
          <w:color w:val="000000"/>
          <w:sz w:val="20"/>
          <w:szCs w:val="20"/>
          <w:shd w:val="clear" w:color="auto" w:fill="FFFFFF"/>
        </w:rPr>
        <w:t>Účelem návrhu novely školského zákona a prováděcích právních předpisů, které na něj navážou, je rovněž zajistit provázanost poradenského systému.</w:t>
      </w:r>
    </w:p>
    <w:p w14:paraId="57FAB6A6" w14:textId="77777777" w:rsidR="00B460F6" w:rsidRDefault="00937CDB" w:rsidP="00B460F6">
      <w:pPr>
        <w:tabs>
          <w:tab w:val="left" w:pos="720"/>
        </w:tabs>
        <w:rPr>
          <w:rFonts w:cs="Arial"/>
          <w:b/>
          <w:bCs/>
          <w:sz w:val="20"/>
          <w:szCs w:val="20"/>
          <w:lang w:eastAsia="cs-CZ"/>
        </w:rPr>
      </w:pPr>
      <w:r w:rsidRPr="00E74D75">
        <w:rPr>
          <w:rStyle w:val="normaltextrun"/>
          <w:color w:val="000000"/>
          <w:sz w:val="20"/>
          <w:szCs w:val="20"/>
          <w:bdr w:val="none" w:sz="0" w:space="0" w:color="auto" w:frame="1"/>
        </w:rPr>
        <w:t xml:space="preserve">Možnost institucionalizovat školní psychology a školní speciální pedagogy bude spojena také s většími příležitostmi pro profesionalizaci odborníků vykonávajících tyto pozice a odbřemenění </w:t>
      </w:r>
      <w:r w:rsidRPr="00E74D75">
        <w:rPr>
          <w:rStyle w:val="normaltextrun"/>
          <w:color w:val="000000"/>
          <w:sz w:val="20"/>
          <w:szCs w:val="20"/>
          <w:shd w:val="clear" w:color="auto" w:fill="FFFFFF"/>
        </w:rPr>
        <w:t>pracovníků školských poradenských zařízení, jejichž některé činnosti budou moci převzít – nastavování podpůrných opatření 1. stupně a jejich systematické vyhodnocování, což může vést k předcházení vyhledání poradenské pomoci školských poradenských zařízení, depistáže žáků, poskytování metodické pomoci pedagogickým pracovníkům školy apod. Přidanou hodnotou je tedy i vytvoření časových rezerv a snížení administrativní zátěže pracovníků školských poradenských zařízení na mj. dodržování lhůt, práci přímo ve školách a školských zařízeních,  zajišťování metodické podpory a supervizí pracovníků školních poradenských pracovišť, pro individuální intervence s klienty, vzdělávání ve využívání inovativních diagnostických nástrojů. Specifikace činností zajišťovaných pracovníky školního poradenského pracoviště bude upravena v prováděcím právním předpisu, vyhlášce č. 72/2005 Sb.</w:t>
      </w:r>
      <w:r w:rsidRPr="00E74D75">
        <w:rPr>
          <w:rStyle w:val="eop"/>
          <w:color w:val="000000"/>
          <w:sz w:val="20"/>
          <w:szCs w:val="20"/>
          <w:shd w:val="clear" w:color="auto" w:fill="FFFFFF"/>
        </w:rPr>
        <w:t>, o poskytování poradenských služeb ve školách a školských poradenských zařízeních, ve znění pozdějších předpisů (dále jen „vyhláška č. 72/2005 Sb.“).</w:t>
      </w:r>
    </w:p>
    <w:p w14:paraId="5B13C7C4" w14:textId="77777777" w:rsidR="00B460F6" w:rsidRDefault="00937CDB" w:rsidP="00B460F6">
      <w:pPr>
        <w:tabs>
          <w:tab w:val="left" w:pos="720"/>
        </w:tabs>
        <w:rPr>
          <w:rFonts w:cs="Arial"/>
          <w:b/>
          <w:bCs/>
          <w:sz w:val="20"/>
          <w:szCs w:val="20"/>
          <w:lang w:eastAsia="cs-CZ"/>
        </w:rPr>
      </w:pPr>
      <w:r w:rsidRPr="00E74D75">
        <w:rPr>
          <w:rFonts w:cs="Arial"/>
          <w:sz w:val="20"/>
          <w:szCs w:val="20"/>
        </w:rPr>
        <w:t>Zároveň bude zajištěna podpora škol s vyšším zastoupením žáků ze znevýhodněného sociokulturního prostředí a komplexní podpora profesního rozvoje psychologů, speciálních pedagogů, případně dalších pracovníků školských poradenských zařízení v práci s diagnostickými nástroji a v intervenčních postupech a metodách, včetně intervize a supervize.</w:t>
      </w:r>
    </w:p>
    <w:p w14:paraId="57285F89" w14:textId="226EB56E" w:rsidR="00B460F6" w:rsidRDefault="00937CDB" w:rsidP="00B460F6">
      <w:pPr>
        <w:tabs>
          <w:tab w:val="left" w:pos="720"/>
        </w:tabs>
        <w:rPr>
          <w:rFonts w:cs="Arial"/>
          <w:b/>
          <w:bCs/>
          <w:sz w:val="20"/>
          <w:szCs w:val="20"/>
          <w:lang w:eastAsia="cs-CZ"/>
        </w:rPr>
      </w:pPr>
      <w:r w:rsidRPr="00E74D75">
        <w:rPr>
          <w:rStyle w:val="normaltextrun"/>
          <w:color w:val="000000"/>
          <w:sz w:val="20"/>
          <w:szCs w:val="20"/>
          <w:shd w:val="clear" w:color="auto" w:fill="FFFFFF"/>
        </w:rPr>
        <w:t>Ve vyhlášce č. 27/2016 Sb., o vzdělávání žáků se speciálními vzdělávacími potřebami a žáků nadaných, ve znění pozdějších předpisů (dále jen „vyhláška č. 27/2016 Sb.“), vzhledem ke skutečnosti, že jednotlivé stupně podpůrných opatření jsou v příloze č. 1, části A vydefinovány velmi nejednoznačně, dojde ke zpřesnění popisů konkrétních stupňů podpůrných opatření tak, aby bylo zcela jasné, jakou míru podpory ve vzdělávání dítě, žák nebo student, který spadá do příslušného stupně, potřebuje.</w:t>
      </w:r>
    </w:p>
    <w:p w14:paraId="5C367CE9" w14:textId="40A6B988" w:rsidR="00A224F7" w:rsidRPr="0091434A" w:rsidRDefault="00A224F7" w:rsidP="00B460F6">
      <w:pPr>
        <w:tabs>
          <w:tab w:val="left" w:pos="720"/>
        </w:tabs>
        <w:rPr>
          <w:rFonts w:cs="Arial"/>
          <w:b/>
          <w:bCs/>
          <w:sz w:val="20"/>
          <w:szCs w:val="20"/>
          <w:lang w:eastAsia="cs-CZ"/>
        </w:rPr>
      </w:pPr>
      <w:r w:rsidRPr="00E74D75">
        <w:rPr>
          <w:rFonts w:cs="Arial"/>
          <w:b/>
          <w:bCs/>
          <w:sz w:val="20"/>
          <w:szCs w:val="20"/>
          <w:lang w:eastAsia="cs-CZ"/>
        </w:rPr>
        <w:t>STANOVISKO K PLNĚNÍ:</w:t>
      </w:r>
      <w:r w:rsidR="00937CDB" w:rsidRPr="00E74D75">
        <w:rPr>
          <w:rFonts w:cs="Arial"/>
          <w:b/>
          <w:bCs/>
          <w:sz w:val="20"/>
          <w:szCs w:val="20"/>
          <w:lang w:eastAsia="cs-CZ"/>
        </w:rPr>
        <w:t xml:space="preserve"> </w:t>
      </w:r>
      <w:r w:rsidR="00937CDB" w:rsidRPr="0023449E">
        <w:rPr>
          <w:rFonts w:cs="Arial"/>
          <w:b/>
          <w:bCs/>
          <w:sz w:val="20"/>
          <w:szCs w:val="20"/>
          <w:lang w:eastAsia="cs-CZ"/>
        </w:rPr>
        <w:t>Nesplněno.</w:t>
      </w:r>
      <w:r w:rsidR="009F29BD" w:rsidRPr="0023449E">
        <w:rPr>
          <w:rFonts w:cs="Arial"/>
          <w:b/>
          <w:bCs/>
          <w:sz w:val="20"/>
          <w:szCs w:val="20"/>
          <w:lang w:eastAsia="cs-CZ"/>
        </w:rPr>
        <w:t xml:space="preserve"> Navržen posun termínu do </w:t>
      </w:r>
      <w:proofErr w:type="gramStart"/>
      <w:r w:rsidR="009F29BD" w:rsidRPr="0023449E">
        <w:rPr>
          <w:rFonts w:cs="Arial"/>
          <w:b/>
          <w:bCs/>
          <w:sz w:val="20"/>
          <w:szCs w:val="20"/>
          <w:lang w:eastAsia="cs-CZ"/>
        </w:rPr>
        <w:t>31.12.2024</w:t>
      </w:r>
      <w:proofErr w:type="gramEnd"/>
      <w:r w:rsidR="009F29BD" w:rsidRPr="0023449E">
        <w:rPr>
          <w:rFonts w:cs="Arial"/>
          <w:b/>
          <w:bCs/>
          <w:sz w:val="20"/>
          <w:szCs w:val="20"/>
          <w:lang w:eastAsia="cs-CZ"/>
        </w:rPr>
        <w:t>.</w:t>
      </w:r>
    </w:p>
    <w:p w14:paraId="391030CA" w14:textId="146A670A" w:rsidR="00682830" w:rsidRDefault="00682830" w:rsidP="00C47D75">
      <w:pPr>
        <w:rPr>
          <w:rFonts w:cs="Arial"/>
          <w:szCs w:val="20"/>
        </w:rPr>
      </w:pPr>
    </w:p>
    <w:p w14:paraId="0951488C" w14:textId="19C86569" w:rsidR="00A224F7" w:rsidRPr="00E1557B" w:rsidRDefault="00A224F7" w:rsidP="00E1557B">
      <w:pPr>
        <w:tabs>
          <w:tab w:val="left" w:pos="720"/>
        </w:tabs>
        <w:rPr>
          <w:rFonts w:cs="Arial"/>
          <w:b/>
          <w:bCs/>
          <w:sz w:val="20"/>
          <w:szCs w:val="20"/>
          <w:lang w:eastAsia="cs-CZ"/>
        </w:rPr>
      </w:pPr>
      <w:r w:rsidRPr="00E1557B">
        <w:rPr>
          <w:rFonts w:cs="Arial"/>
          <w:b/>
          <w:bCs/>
          <w:sz w:val="20"/>
          <w:szCs w:val="20"/>
          <w:lang w:eastAsia="cs-CZ"/>
        </w:rPr>
        <w:t>PLNĚNÍ ČŠI:</w:t>
      </w:r>
      <w:r w:rsidR="00476D6C" w:rsidRPr="00E1557B">
        <w:rPr>
          <w:rFonts w:cs="Arial"/>
          <w:b/>
          <w:bCs/>
          <w:sz w:val="20"/>
          <w:szCs w:val="20"/>
          <w:lang w:eastAsia="cs-CZ"/>
        </w:rPr>
        <w:t xml:space="preserve"> </w:t>
      </w:r>
    </w:p>
    <w:p w14:paraId="047C68D3" w14:textId="75FAA2C2" w:rsidR="00E1557B" w:rsidRPr="00E1557B" w:rsidRDefault="00E1557B" w:rsidP="00E1557B">
      <w:pPr>
        <w:rPr>
          <w:rFonts w:eastAsia="Times New Roman" w:cs="Arial"/>
          <w:sz w:val="20"/>
          <w:szCs w:val="20"/>
          <w:lang w:eastAsia="cs-CZ"/>
        </w:rPr>
      </w:pPr>
      <w:r w:rsidRPr="00E1557B">
        <w:rPr>
          <w:rFonts w:eastAsia="Times New Roman" w:cs="Arial"/>
          <w:sz w:val="20"/>
          <w:szCs w:val="20"/>
          <w:lang w:eastAsia="cs-CZ"/>
        </w:rPr>
        <w:t>Realizace opatření 8.1.1 ze své podstaty nemůže náležet České školní inspekci, protože nespadá do okruhu jejích činností a Česká školní inspekce ani nedisponuje pravomocemi, které by realizaci umožnily; proto ve věci realizace opatření 8.1.1 nebylo (a nebude moci být) ze strany České školní inspekce nic podniknuto.</w:t>
      </w:r>
    </w:p>
    <w:p w14:paraId="50FF9B69" w14:textId="337CF2E8" w:rsidR="00A224F7" w:rsidRPr="00E1557B" w:rsidRDefault="00A224F7" w:rsidP="00E1557B">
      <w:pPr>
        <w:tabs>
          <w:tab w:val="left" w:pos="720"/>
        </w:tabs>
        <w:rPr>
          <w:rFonts w:cs="Arial"/>
          <w:b/>
          <w:bCs/>
          <w:sz w:val="20"/>
          <w:szCs w:val="20"/>
          <w:lang w:eastAsia="cs-CZ"/>
        </w:rPr>
      </w:pPr>
      <w:r w:rsidRPr="00E1557B">
        <w:rPr>
          <w:rFonts w:cs="Arial"/>
          <w:b/>
          <w:bCs/>
          <w:sz w:val="20"/>
          <w:szCs w:val="20"/>
          <w:lang w:eastAsia="cs-CZ"/>
        </w:rPr>
        <w:t>STANOVISKO K PLNĚNÍ:</w:t>
      </w:r>
      <w:r w:rsidR="00AD28B1" w:rsidRPr="00E1557B">
        <w:rPr>
          <w:rFonts w:cs="Arial"/>
          <w:b/>
          <w:bCs/>
          <w:sz w:val="20"/>
          <w:szCs w:val="20"/>
          <w:lang w:eastAsia="cs-CZ"/>
        </w:rPr>
        <w:t xml:space="preserve"> </w:t>
      </w:r>
      <w:r w:rsidR="00AD28B1" w:rsidRPr="0023449E">
        <w:rPr>
          <w:rFonts w:cs="Arial"/>
          <w:b/>
          <w:bCs/>
          <w:sz w:val="20"/>
          <w:szCs w:val="20"/>
          <w:lang w:eastAsia="cs-CZ"/>
        </w:rPr>
        <w:t>Nesplněno.</w:t>
      </w:r>
      <w:r w:rsidR="005F0CDC" w:rsidRPr="0023449E">
        <w:rPr>
          <w:rFonts w:cs="Arial"/>
          <w:b/>
          <w:bCs/>
          <w:sz w:val="20"/>
          <w:szCs w:val="20"/>
          <w:lang w:eastAsia="cs-CZ"/>
        </w:rPr>
        <w:t xml:space="preserve"> Navrženo vypuštění ČŠI jako gestora opatření.</w:t>
      </w:r>
    </w:p>
    <w:p w14:paraId="24BC56DC" w14:textId="0CBBFE14" w:rsidR="00EE2CC4" w:rsidRPr="0091434A" w:rsidRDefault="00EE2CC4" w:rsidP="0091434A">
      <w:pPr>
        <w:keepNext/>
        <w:tabs>
          <w:tab w:val="left" w:pos="720"/>
        </w:tabs>
        <w:rPr>
          <w:rFonts w:cs="Arial"/>
          <w:b/>
          <w:bCs/>
          <w:sz w:val="20"/>
          <w:szCs w:val="20"/>
          <w:lang w:eastAsia="cs-CZ"/>
        </w:rPr>
      </w:pPr>
    </w:p>
    <w:p w14:paraId="09B5C804" w14:textId="77777777" w:rsidR="00B639C9" w:rsidRDefault="00B639C9" w:rsidP="00B639C9">
      <w:pPr>
        <w:rPr>
          <w:rFonts w:eastAsia="Calibri" w:cs="Arial"/>
          <w:szCs w:val="20"/>
        </w:rPr>
      </w:pPr>
      <w:r w:rsidRPr="0035060D">
        <w:rPr>
          <w:rFonts w:cs="Arial"/>
          <w:bCs/>
          <w:szCs w:val="20"/>
        </w:rPr>
        <w:t xml:space="preserve">Opatření </w:t>
      </w:r>
      <w:r>
        <w:rPr>
          <w:rFonts w:cs="Arial"/>
          <w:bCs/>
          <w:szCs w:val="20"/>
        </w:rPr>
        <w:t>8</w:t>
      </w:r>
      <w:r>
        <w:rPr>
          <w:rFonts w:cs="Arial"/>
          <w:szCs w:val="20"/>
        </w:rPr>
        <w:t xml:space="preserve">.1.4 </w:t>
      </w:r>
      <w:r w:rsidRPr="005B0304">
        <w:rPr>
          <w:rFonts w:eastAsia="Calibri" w:cs="Arial"/>
          <w:szCs w:val="20"/>
        </w:rPr>
        <w:t xml:space="preserve">Vytvořit funkční systém pravidelné a ve všech krajích ČR dostupné supervizní podpory pracovníků školských poradenských zařízení </w:t>
      </w:r>
      <w:r>
        <w:rPr>
          <w:rFonts w:eastAsia="Calibri" w:cs="Arial"/>
          <w:szCs w:val="20"/>
        </w:rPr>
        <w:t xml:space="preserve">a zajistit jeho financování. </w:t>
      </w:r>
    </w:p>
    <w:p w14:paraId="1DC6F7DA" w14:textId="139EFCBF" w:rsidR="00B639C9" w:rsidRPr="0057756D" w:rsidRDefault="00B639C9" w:rsidP="00B639C9">
      <w:pPr>
        <w:rPr>
          <w:rFonts w:eastAsia="Calibri" w:cs="Arial"/>
          <w:szCs w:val="20"/>
        </w:rPr>
      </w:pPr>
      <w:r w:rsidRPr="0057756D">
        <w:rPr>
          <w:rFonts w:eastAsia="Calibri" w:cs="Arial"/>
          <w:szCs w:val="20"/>
        </w:rPr>
        <w:t xml:space="preserve">Termín: </w:t>
      </w:r>
      <w:proofErr w:type="gramStart"/>
      <w:r w:rsidRPr="0057756D">
        <w:rPr>
          <w:rFonts w:eastAsia="Calibri" w:cs="Arial"/>
          <w:szCs w:val="20"/>
        </w:rPr>
        <w:t>31.12</w:t>
      </w:r>
      <w:r w:rsidR="00497F09">
        <w:rPr>
          <w:rFonts w:eastAsia="Calibri" w:cs="Arial"/>
          <w:szCs w:val="20"/>
        </w:rPr>
        <w:t>.2023</w:t>
      </w:r>
      <w:proofErr w:type="gramEnd"/>
    </w:p>
    <w:p w14:paraId="751F3B16" w14:textId="77777777" w:rsidR="00B639C9" w:rsidRDefault="00B639C9" w:rsidP="00B639C9">
      <w:pPr>
        <w:rPr>
          <w:rFonts w:eastAsia="Calibri" w:cs="Arial"/>
          <w:szCs w:val="20"/>
        </w:rPr>
      </w:pPr>
      <w:r w:rsidRPr="0057756D">
        <w:rPr>
          <w:rFonts w:eastAsia="Calibri" w:cs="Arial"/>
          <w:szCs w:val="20"/>
        </w:rPr>
        <w:t>Gestor: MŠMT</w:t>
      </w:r>
    </w:p>
    <w:p w14:paraId="4A2AB37A" w14:textId="02964AA9" w:rsidR="00B639C9" w:rsidRDefault="00B639C9" w:rsidP="00B639C9">
      <w:pPr>
        <w:rPr>
          <w:rFonts w:cs="Arial"/>
          <w:szCs w:val="20"/>
        </w:rPr>
      </w:pPr>
      <w:r w:rsidRPr="00831152">
        <w:rPr>
          <w:rFonts w:cs="Arial"/>
          <w:szCs w:val="20"/>
        </w:rPr>
        <w:t>Indikátor:</w:t>
      </w:r>
      <w:r>
        <w:rPr>
          <w:rFonts w:cs="Arial"/>
          <w:szCs w:val="20"/>
        </w:rPr>
        <w:t xml:space="preserve"> Byla přijata opatření </w:t>
      </w:r>
      <w:proofErr w:type="gramStart"/>
      <w:r>
        <w:rPr>
          <w:rFonts w:cs="Arial"/>
          <w:szCs w:val="20"/>
        </w:rPr>
        <w:t>zajišťující</w:t>
      </w:r>
      <w:proofErr w:type="gramEnd"/>
      <w:r>
        <w:rPr>
          <w:rFonts w:cs="Arial"/>
          <w:szCs w:val="20"/>
        </w:rPr>
        <w:t xml:space="preserve"> supervizní podporu a její financování.</w:t>
      </w:r>
    </w:p>
    <w:p w14:paraId="43DC6A34" w14:textId="77777777" w:rsidR="00B639C9" w:rsidRDefault="00B639C9" w:rsidP="00B639C9">
      <w:pPr>
        <w:tabs>
          <w:tab w:val="left" w:pos="720"/>
        </w:tabs>
        <w:rPr>
          <w:rFonts w:cs="Arial"/>
          <w:b/>
          <w:bCs/>
          <w:sz w:val="20"/>
          <w:szCs w:val="20"/>
          <w:lang w:eastAsia="cs-CZ"/>
        </w:rPr>
      </w:pPr>
    </w:p>
    <w:p w14:paraId="2E0BFEBB" w14:textId="486CA57A" w:rsidR="00B639C9" w:rsidRPr="007861BF" w:rsidRDefault="00B639C9" w:rsidP="00446D15">
      <w:pPr>
        <w:tabs>
          <w:tab w:val="left" w:pos="720"/>
        </w:tabs>
        <w:rPr>
          <w:rFonts w:cs="Arial"/>
          <w:b/>
          <w:bCs/>
          <w:sz w:val="20"/>
          <w:szCs w:val="20"/>
          <w:lang w:eastAsia="cs-CZ"/>
        </w:rPr>
      </w:pPr>
      <w:r w:rsidRPr="007861BF">
        <w:rPr>
          <w:rFonts w:cs="Arial"/>
          <w:b/>
          <w:bCs/>
          <w:sz w:val="20"/>
          <w:szCs w:val="20"/>
          <w:lang w:eastAsia="cs-CZ"/>
        </w:rPr>
        <w:t>PLNĚNÍ MŠMT:</w:t>
      </w:r>
    </w:p>
    <w:p w14:paraId="764A02E6" w14:textId="0A28EFC5" w:rsidR="00A761F9" w:rsidRPr="00A761F9" w:rsidRDefault="00A761F9" w:rsidP="007861BF">
      <w:pPr>
        <w:rPr>
          <w:rFonts w:eastAsia="Calibri" w:cs="Arial"/>
          <w:sz w:val="20"/>
          <w:szCs w:val="20"/>
        </w:rPr>
      </w:pPr>
      <w:r w:rsidRPr="00A761F9">
        <w:rPr>
          <w:bCs/>
          <w:sz w:val="20"/>
          <w:szCs w:val="20"/>
        </w:rPr>
        <w:t>Supervizní podporu pro pracovníky ŠPZ je možné zajistit v projektech výzev OP JAK Šablony pro MŠ a ZŠ I a Šablony pro SŠ a VOŠ I. Projekty jsou v realizaci od roku 2022. V roce 2024 se plánuje vyhlášení navazujících výzev. Dále je možné v rámci výzvy OP JAK Akční plánování v území – IDZ vyhlášené v roce 2023 zajistit supervizní výcvik ze strany kraje v povinné aktivitě Zvýšení kvality poradenských služeb pro děti, žáky a studenty na úrovni kraje.</w:t>
      </w:r>
    </w:p>
    <w:p w14:paraId="5ABADEFA" w14:textId="09000842" w:rsidR="00B639C9" w:rsidRPr="007861BF" w:rsidRDefault="00B639C9" w:rsidP="00446D15">
      <w:pPr>
        <w:keepNext/>
        <w:tabs>
          <w:tab w:val="left" w:pos="720"/>
        </w:tabs>
        <w:rPr>
          <w:rFonts w:cs="Arial"/>
          <w:b/>
          <w:bCs/>
          <w:sz w:val="20"/>
          <w:szCs w:val="20"/>
          <w:lang w:eastAsia="cs-CZ"/>
        </w:rPr>
      </w:pPr>
      <w:r w:rsidRPr="007861BF">
        <w:rPr>
          <w:rFonts w:cs="Arial"/>
          <w:b/>
          <w:bCs/>
          <w:sz w:val="20"/>
          <w:szCs w:val="20"/>
          <w:lang w:eastAsia="cs-CZ"/>
        </w:rPr>
        <w:t xml:space="preserve">STANOVISKO K PLNĚNÍ: </w:t>
      </w:r>
      <w:r w:rsidR="00A761F9">
        <w:rPr>
          <w:rFonts w:cs="Arial"/>
          <w:b/>
          <w:bCs/>
          <w:sz w:val="20"/>
          <w:szCs w:val="20"/>
          <w:lang w:eastAsia="cs-CZ"/>
        </w:rPr>
        <w:t>S</w:t>
      </w:r>
      <w:r w:rsidR="00025431">
        <w:rPr>
          <w:rFonts w:cs="Arial"/>
          <w:b/>
          <w:bCs/>
          <w:sz w:val="20"/>
          <w:szCs w:val="20"/>
          <w:lang w:eastAsia="cs-CZ"/>
        </w:rPr>
        <w:t>plněno.</w:t>
      </w:r>
    </w:p>
    <w:p w14:paraId="204B2491" w14:textId="77777777" w:rsidR="00B639C9" w:rsidRPr="007861BF" w:rsidRDefault="00B639C9" w:rsidP="00446D15">
      <w:pPr>
        <w:keepNext/>
        <w:tabs>
          <w:tab w:val="left" w:pos="720"/>
        </w:tabs>
        <w:rPr>
          <w:rFonts w:cs="Arial"/>
          <w:b/>
          <w:bCs/>
          <w:sz w:val="20"/>
          <w:szCs w:val="20"/>
          <w:lang w:eastAsia="cs-CZ"/>
        </w:rPr>
      </w:pPr>
    </w:p>
    <w:p w14:paraId="3866146D" w14:textId="77777777" w:rsidR="00F17E74" w:rsidRPr="0057756D" w:rsidRDefault="00F17E74" w:rsidP="00F17E74">
      <w:pPr>
        <w:rPr>
          <w:rFonts w:eastAsia="Calibri" w:cs="Arial"/>
          <w:szCs w:val="20"/>
        </w:rPr>
      </w:pPr>
      <w:r w:rsidRPr="0035060D">
        <w:rPr>
          <w:rFonts w:cs="Arial"/>
          <w:bCs/>
          <w:szCs w:val="20"/>
        </w:rPr>
        <w:t xml:space="preserve">Opatření </w:t>
      </w:r>
      <w:r>
        <w:rPr>
          <w:rFonts w:cs="Arial"/>
          <w:bCs/>
          <w:szCs w:val="20"/>
        </w:rPr>
        <w:t>8</w:t>
      </w:r>
      <w:r>
        <w:rPr>
          <w:rFonts w:cs="Arial"/>
          <w:szCs w:val="20"/>
        </w:rPr>
        <w:t xml:space="preserve">.1.5 </w:t>
      </w:r>
      <w:r w:rsidRPr="0057756D">
        <w:rPr>
          <w:rFonts w:eastAsia="Calibri" w:cs="Arial"/>
          <w:szCs w:val="20"/>
        </w:rPr>
        <w:t>Vyhod</w:t>
      </w:r>
      <w:r w:rsidR="00E8443D">
        <w:rPr>
          <w:rFonts w:eastAsia="Calibri" w:cs="Arial"/>
          <w:szCs w:val="20"/>
        </w:rPr>
        <w:t>nocovat</w:t>
      </w:r>
      <w:r w:rsidRPr="0057756D">
        <w:rPr>
          <w:rFonts w:eastAsia="Calibri" w:cs="Arial"/>
          <w:szCs w:val="20"/>
        </w:rPr>
        <w:t xml:space="preserve"> efektivitu a přínos revizí probíhajících dle § 16b zákona č.</w:t>
      </w:r>
      <w:r w:rsidR="00294E87">
        <w:rPr>
          <w:rFonts w:eastAsia="Calibri" w:cs="Arial"/>
          <w:szCs w:val="20"/>
        </w:rPr>
        <w:t> </w:t>
      </w:r>
      <w:r w:rsidRPr="0057756D">
        <w:rPr>
          <w:rFonts w:eastAsia="Calibri" w:cs="Arial"/>
          <w:szCs w:val="20"/>
        </w:rPr>
        <w:t xml:space="preserve">561/2004 Sb., o předškolním, základním, středním, vyšším odborném a jiném vzdělávání (školský zákon), ve znění pozdějších předpisů. </w:t>
      </w:r>
    </w:p>
    <w:p w14:paraId="3F2A6CB2" w14:textId="77777777" w:rsidR="00F17E74" w:rsidRPr="0057756D" w:rsidRDefault="00F17E74" w:rsidP="00F17E74">
      <w:pPr>
        <w:rPr>
          <w:rFonts w:eastAsia="Calibri" w:cs="Arial"/>
          <w:szCs w:val="20"/>
        </w:rPr>
      </w:pPr>
      <w:r w:rsidRPr="0057756D">
        <w:rPr>
          <w:rFonts w:eastAsia="Calibri" w:cs="Arial"/>
          <w:szCs w:val="20"/>
        </w:rPr>
        <w:t>Termín: průběžně</w:t>
      </w:r>
    </w:p>
    <w:p w14:paraId="5998ACFF" w14:textId="77777777" w:rsidR="00F17E74" w:rsidRPr="0057756D" w:rsidRDefault="00F17E74" w:rsidP="00F17E74">
      <w:pPr>
        <w:rPr>
          <w:rFonts w:eastAsia="Calibri" w:cs="Arial"/>
          <w:szCs w:val="20"/>
        </w:rPr>
      </w:pPr>
      <w:r w:rsidRPr="0057756D">
        <w:rPr>
          <w:rFonts w:eastAsia="Calibri" w:cs="Arial"/>
          <w:szCs w:val="20"/>
        </w:rPr>
        <w:t>Gestor: MŠMT</w:t>
      </w:r>
    </w:p>
    <w:p w14:paraId="4A84A98C" w14:textId="1CD037A6" w:rsidR="001127FE" w:rsidRDefault="00F17E74" w:rsidP="00C14DA6">
      <w:pPr>
        <w:keepNext/>
        <w:rPr>
          <w:rFonts w:cs="Arial"/>
          <w:szCs w:val="20"/>
        </w:rPr>
      </w:pPr>
      <w:r w:rsidRPr="00831152">
        <w:rPr>
          <w:rFonts w:cs="Arial"/>
          <w:szCs w:val="20"/>
        </w:rPr>
        <w:t>Indikátor:</w:t>
      </w:r>
      <w:r>
        <w:rPr>
          <w:rFonts w:cs="Arial"/>
          <w:szCs w:val="20"/>
        </w:rPr>
        <w:t xml:space="preserve"> Byla podána zpráva o vyhodnocení efektivity a přínosu revizí dle uvedeného ustanovení.</w:t>
      </w:r>
    </w:p>
    <w:p w14:paraId="7AF3A960" w14:textId="77777777" w:rsidR="00C14DA6" w:rsidRDefault="00C14DA6" w:rsidP="00C14DA6">
      <w:pPr>
        <w:keepNext/>
        <w:rPr>
          <w:rFonts w:cs="Arial"/>
          <w:szCs w:val="20"/>
        </w:rPr>
      </w:pPr>
    </w:p>
    <w:p w14:paraId="6E407C7F" w14:textId="0C30FEE0" w:rsidR="00730C05" w:rsidRPr="00617541" w:rsidRDefault="00730C05" w:rsidP="00C14DA6">
      <w:pPr>
        <w:tabs>
          <w:tab w:val="left" w:pos="720"/>
        </w:tabs>
        <w:rPr>
          <w:rFonts w:cs="Arial"/>
          <w:b/>
          <w:bCs/>
          <w:sz w:val="20"/>
          <w:szCs w:val="20"/>
          <w:lang w:eastAsia="cs-CZ"/>
        </w:rPr>
      </w:pPr>
      <w:r w:rsidRPr="00617541">
        <w:rPr>
          <w:rFonts w:cs="Arial"/>
          <w:b/>
          <w:bCs/>
          <w:sz w:val="20"/>
          <w:szCs w:val="20"/>
          <w:lang w:eastAsia="cs-CZ"/>
        </w:rPr>
        <w:t>PLNĚNÍ MŠMT:</w:t>
      </w:r>
    </w:p>
    <w:p w14:paraId="04ACF939" w14:textId="77777777" w:rsidR="00617541" w:rsidRPr="00617541" w:rsidRDefault="00617541" w:rsidP="00617541">
      <w:pPr>
        <w:keepNext/>
        <w:rPr>
          <w:rFonts w:cs="Arial"/>
          <w:sz w:val="20"/>
          <w:szCs w:val="20"/>
        </w:rPr>
      </w:pPr>
      <w:r w:rsidRPr="00617541">
        <w:rPr>
          <w:rFonts w:cs="Arial"/>
          <w:sz w:val="20"/>
          <w:szCs w:val="20"/>
        </w:rPr>
        <w:t xml:space="preserve">Revizní pracoviště každoročně zpracovává analýzu své činnosti. Revizní činnost je ukotvena ve školském zákoně § 16b. Jedná se o odborný přezkum výstupů školských poradenských zařízení, konkrétně zpráv a doporučení. </w:t>
      </w:r>
    </w:p>
    <w:p w14:paraId="7AE1BE92" w14:textId="77777777" w:rsidR="00617541" w:rsidRPr="00617541" w:rsidRDefault="00617541" w:rsidP="00617541">
      <w:pPr>
        <w:keepNext/>
        <w:rPr>
          <w:rFonts w:cs="Arial"/>
          <w:sz w:val="20"/>
          <w:szCs w:val="20"/>
        </w:rPr>
      </w:pPr>
      <w:r w:rsidRPr="00617541">
        <w:rPr>
          <w:rFonts w:cs="Arial"/>
          <w:sz w:val="20"/>
          <w:szCs w:val="20"/>
        </w:rPr>
        <w:t xml:space="preserve">Za kalendářní rok 2023 přijalo Revizní pracoviště celkem 32 žádostí o revizi. Bylo vydáno 19 revizních zpráv, 4 zprávy školského poradenského zařízení a 8 doporučení školského poradenského zařízení, jimiž byly nahrazeny revidované dokumenty. Dále bylo vydáno 9 vyjádření k žádosti o revizi s návrhem řešení situace žadatele. Ve zbývajících 4 případech Revizní pracoviště akceptovalo stažení žádosti žadatelem. </w:t>
      </w:r>
    </w:p>
    <w:p w14:paraId="4018CF87" w14:textId="04703EFE" w:rsidR="00617541" w:rsidRPr="00617541" w:rsidRDefault="00617541" w:rsidP="00617541">
      <w:pPr>
        <w:keepNext/>
        <w:rPr>
          <w:rFonts w:cs="Arial"/>
          <w:sz w:val="20"/>
          <w:szCs w:val="20"/>
        </w:rPr>
      </w:pPr>
      <w:r w:rsidRPr="00617541">
        <w:rPr>
          <w:rFonts w:cs="Arial"/>
          <w:sz w:val="20"/>
          <w:szCs w:val="20"/>
        </w:rPr>
        <w:t>Důvody žádostí o revize byly různorodé a týkaly se širokého spektra žáků se speciálními vzdělávacími potřebami.</w:t>
      </w:r>
    </w:p>
    <w:p w14:paraId="65B5AF63" w14:textId="24A41479" w:rsidR="00730C05" w:rsidRPr="00617541" w:rsidRDefault="00730C05" w:rsidP="00C14DA6">
      <w:pPr>
        <w:keepNext/>
        <w:tabs>
          <w:tab w:val="left" w:pos="720"/>
        </w:tabs>
        <w:rPr>
          <w:rFonts w:cs="Arial"/>
          <w:b/>
          <w:bCs/>
          <w:sz w:val="20"/>
          <w:szCs w:val="20"/>
          <w:lang w:eastAsia="cs-CZ"/>
        </w:rPr>
      </w:pPr>
      <w:r w:rsidRPr="00617541">
        <w:rPr>
          <w:rFonts w:cs="Arial"/>
          <w:b/>
          <w:bCs/>
          <w:sz w:val="20"/>
          <w:szCs w:val="20"/>
          <w:lang w:eastAsia="cs-CZ"/>
        </w:rPr>
        <w:t>STANOVISKO K PLNĚNÍ:</w:t>
      </w:r>
      <w:r w:rsidR="009A32F1" w:rsidRPr="00617541">
        <w:rPr>
          <w:rFonts w:cs="Arial"/>
          <w:b/>
          <w:bCs/>
          <w:sz w:val="20"/>
          <w:szCs w:val="20"/>
          <w:lang w:eastAsia="cs-CZ"/>
        </w:rPr>
        <w:t xml:space="preserve"> Plněno.</w:t>
      </w:r>
    </w:p>
    <w:p w14:paraId="7DDBE969" w14:textId="77777777" w:rsidR="000B6608" w:rsidRPr="00A847D0" w:rsidRDefault="000B6608" w:rsidP="00C14DA6">
      <w:pPr>
        <w:keepNext/>
        <w:rPr>
          <w:rFonts w:cs="Arial"/>
          <w:sz w:val="20"/>
          <w:szCs w:val="20"/>
        </w:rPr>
      </w:pPr>
    </w:p>
    <w:p w14:paraId="78ACCA89" w14:textId="77777777" w:rsidR="00F17E74" w:rsidRPr="0057756D" w:rsidRDefault="00F17E74" w:rsidP="00C14DA6">
      <w:pPr>
        <w:rPr>
          <w:rFonts w:cs="Arial"/>
          <w:b/>
          <w:bCs/>
          <w:szCs w:val="20"/>
        </w:rPr>
      </w:pPr>
      <w:r>
        <w:rPr>
          <w:rFonts w:cs="Arial"/>
          <w:b/>
          <w:bCs/>
          <w:szCs w:val="20"/>
        </w:rPr>
        <w:t xml:space="preserve">8.2 </w:t>
      </w:r>
      <w:r w:rsidRPr="0057756D">
        <w:rPr>
          <w:rFonts w:cs="Arial"/>
          <w:b/>
          <w:bCs/>
          <w:szCs w:val="20"/>
        </w:rPr>
        <w:t xml:space="preserve">Cíl: Kvalitní </w:t>
      </w:r>
      <w:r w:rsidRPr="002D3B01">
        <w:rPr>
          <w:rFonts w:eastAsia="Calibri" w:cs="Arial"/>
          <w:b/>
          <w:bCs/>
          <w:szCs w:val="20"/>
        </w:rPr>
        <w:t>příprava</w:t>
      </w:r>
      <w:r w:rsidRPr="0057756D">
        <w:rPr>
          <w:rFonts w:cs="Arial"/>
          <w:b/>
          <w:bCs/>
          <w:szCs w:val="20"/>
        </w:rPr>
        <w:t xml:space="preserve"> a podpora všech pedagogických profesí při výuce dětí, žáků a</w:t>
      </w:r>
      <w:r>
        <w:rPr>
          <w:rFonts w:cs="Arial"/>
          <w:b/>
          <w:bCs/>
          <w:szCs w:val="20"/>
        </w:rPr>
        <w:t> </w:t>
      </w:r>
      <w:r w:rsidRPr="0057756D">
        <w:rPr>
          <w:rFonts w:cs="Arial"/>
          <w:b/>
          <w:bCs/>
          <w:szCs w:val="20"/>
        </w:rPr>
        <w:t xml:space="preserve">studentů se zdravotním postižením. </w:t>
      </w:r>
    </w:p>
    <w:p w14:paraId="769B8E2F" w14:textId="43F23598" w:rsidR="00F17E74" w:rsidRPr="003A11E6" w:rsidRDefault="00F17E74" w:rsidP="006B3285">
      <w:pPr>
        <w:keepNext/>
        <w:spacing w:before="120"/>
        <w:rPr>
          <w:rFonts w:cs="Arial"/>
          <w:szCs w:val="20"/>
        </w:rPr>
      </w:pPr>
      <w:r w:rsidRPr="003A11E6">
        <w:rPr>
          <w:rFonts w:cs="Arial"/>
          <w:bCs/>
          <w:szCs w:val="20"/>
        </w:rPr>
        <w:lastRenderedPageBreak/>
        <w:t>Opatření 8</w:t>
      </w:r>
      <w:r w:rsidRPr="003A11E6">
        <w:rPr>
          <w:rFonts w:cs="Arial"/>
          <w:szCs w:val="20"/>
        </w:rPr>
        <w:t>.2.1</w:t>
      </w:r>
      <w:r w:rsidRPr="003A11E6">
        <w:rPr>
          <w:rFonts w:cs="Arial"/>
          <w:iCs/>
          <w:szCs w:val="20"/>
        </w:rPr>
        <w:t xml:space="preserve"> V souvislosti s činností NAÚ </w:t>
      </w:r>
      <w:r w:rsidR="00543142" w:rsidRPr="003A11E6">
        <w:rPr>
          <w:rFonts w:cs="Arial"/>
          <w:iCs/>
          <w:szCs w:val="20"/>
        </w:rPr>
        <w:t>dbát na to</w:t>
      </w:r>
      <w:r w:rsidRPr="003A11E6">
        <w:rPr>
          <w:rFonts w:cs="Arial"/>
          <w:iCs/>
          <w:szCs w:val="20"/>
        </w:rPr>
        <w:t xml:space="preserve">, aby bylo během procesu akreditací posuzováno to, zda studijní programy připravující učitele z hlediska své náplně připravují absolventy i na práci s cílovou skupinou dětí </w:t>
      </w:r>
      <w:r w:rsidRPr="003A11E6">
        <w:rPr>
          <w:rFonts w:cs="Arial"/>
          <w:szCs w:val="20"/>
        </w:rPr>
        <w:t>nebo</w:t>
      </w:r>
      <w:r w:rsidRPr="003A11E6">
        <w:rPr>
          <w:rFonts w:cs="Arial"/>
          <w:iCs/>
          <w:szCs w:val="20"/>
        </w:rPr>
        <w:t xml:space="preserve"> žáků se SVP. </w:t>
      </w:r>
    </w:p>
    <w:p w14:paraId="48AAA027" w14:textId="77D3F85E" w:rsidR="00F17E74" w:rsidRPr="003A11E6" w:rsidRDefault="00F17E74" w:rsidP="00F17E74">
      <w:pPr>
        <w:rPr>
          <w:rFonts w:cs="Arial"/>
          <w:szCs w:val="20"/>
        </w:rPr>
      </w:pPr>
      <w:r w:rsidRPr="003A11E6">
        <w:rPr>
          <w:rFonts w:cs="Arial"/>
          <w:szCs w:val="20"/>
        </w:rPr>
        <w:t>Termín: průběžně</w:t>
      </w:r>
    </w:p>
    <w:p w14:paraId="1FCE5C95" w14:textId="77777777" w:rsidR="000C58FA" w:rsidRDefault="00F17E74" w:rsidP="00B31875">
      <w:pPr>
        <w:rPr>
          <w:rFonts w:cs="Arial"/>
          <w:szCs w:val="20"/>
        </w:rPr>
      </w:pPr>
      <w:r w:rsidRPr="003A11E6">
        <w:rPr>
          <w:rFonts w:cs="Arial"/>
          <w:szCs w:val="20"/>
        </w:rPr>
        <w:t>Gestor: MŠMT</w:t>
      </w:r>
    </w:p>
    <w:p w14:paraId="1DB76443" w14:textId="0F2B3C52" w:rsidR="00F17E74" w:rsidRDefault="00F17E74" w:rsidP="00B31875">
      <w:pPr>
        <w:rPr>
          <w:rFonts w:cs="Arial"/>
          <w:iCs/>
          <w:szCs w:val="20"/>
        </w:rPr>
      </w:pPr>
      <w:r w:rsidRPr="003A11E6">
        <w:rPr>
          <w:rFonts w:cs="Arial"/>
          <w:szCs w:val="20"/>
        </w:rPr>
        <w:t xml:space="preserve">Indikátor: </w:t>
      </w:r>
      <w:r w:rsidR="00543142" w:rsidRPr="003A11E6">
        <w:rPr>
          <w:rFonts w:cs="Arial"/>
          <w:szCs w:val="20"/>
        </w:rPr>
        <w:t>MŠMT v rámci procesu akreditace upozorňuje na skutečnost, že</w:t>
      </w:r>
      <w:r w:rsidR="00543142" w:rsidRPr="003A11E6">
        <w:rPr>
          <w:rFonts w:cs="Arial"/>
          <w:iCs/>
          <w:szCs w:val="20"/>
        </w:rPr>
        <w:t xml:space="preserve"> součástí studijních programů připravujících učitele musí být také studijní disciplíny připravující učitele pro působení s žáky se SVP.</w:t>
      </w:r>
    </w:p>
    <w:p w14:paraId="08B5BE8E" w14:textId="77777777" w:rsidR="00B31875" w:rsidRPr="004F567B" w:rsidRDefault="00B31875" w:rsidP="00B31875">
      <w:pPr>
        <w:rPr>
          <w:rFonts w:cs="Arial"/>
          <w:iCs/>
          <w:sz w:val="20"/>
          <w:szCs w:val="20"/>
        </w:rPr>
      </w:pPr>
    </w:p>
    <w:p w14:paraId="0F62F811" w14:textId="6FF97D3A" w:rsidR="005B433B" w:rsidRPr="00D75961" w:rsidRDefault="005B433B" w:rsidP="00B31875">
      <w:pPr>
        <w:tabs>
          <w:tab w:val="left" w:pos="720"/>
        </w:tabs>
        <w:rPr>
          <w:rFonts w:cs="Arial"/>
          <w:b/>
          <w:bCs/>
          <w:sz w:val="20"/>
          <w:szCs w:val="20"/>
          <w:lang w:eastAsia="cs-CZ"/>
        </w:rPr>
      </w:pPr>
      <w:r w:rsidRPr="00D75961">
        <w:rPr>
          <w:rFonts w:cs="Arial"/>
          <w:b/>
          <w:bCs/>
          <w:sz w:val="20"/>
          <w:szCs w:val="20"/>
          <w:lang w:eastAsia="cs-CZ"/>
        </w:rPr>
        <w:t>PLNĚNÍ MŠMT:</w:t>
      </w:r>
    </w:p>
    <w:p w14:paraId="5A28E908" w14:textId="2F7B24D3" w:rsidR="00D75961" w:rsidRPr="00D75961" w:rsidRDefault="00D75961" w:rsidP="00D75961">
      <w:pPr>
        <w:rPr>
          <w:rFonts w:cs="Arial"/>
          <w:sz w:val="20"/>
          <w:szCs w:val="20"/>
        </w:rPr>
      </w:pPr>
      <w:r w:rsidRPr="00D75961">
        <w:rPr>
          <w:rFonts w:cs="Arial"/>
          <w:sz w:val="20"/>
          <w:szCs w:val="20"/>
        </w:rPr>
        <w:t>MŠMT jako uznávací orgán ve smyslu § 78 odst. 6 a 7 zákona č. 111</w:t>
      </w:r>
      <w:r w:rsidR="00992207">
        <w:rPr>
          <w:rFonts w:cs="Arial"/>
          <w:sz w:val="20"/>
          <w:szCs w:val="20"/>
        </w:rPr>
        <w:t>/1998 Sb., o vysokých školách a </w:t>
      </w:r>
      <w:r w:rsidRPr="00D75961">
        <w:rPr>
          <w:rFonts w:cs="Arial"/>
          <w:sz w:val="20"/>
          <w:szCs w:val="20"/>
        </w:rPr>
        <w:t>o změně a doplnění dalších zákonů (zákon o vysokých školách), ve znění pozdějších předpisů, vydává stanovisko či povolení ke studijním programům, jejichž absolvováním se bezprostředně naplňují odborné předpoklady pro výkon regulovaného povolání pedagogického pracovníka. MŠMT posuzuje, zda absolventi daného studijního programu budou přip</w:t>
      </w:r>
      <w:r w:rsidR="00992207">
        <w:rPr>
          <w:rFonts w:cs="Arial"/>
          <w:sz w:val="20"/>
          <w:szCs w:val="20"/>
        </w:rPr>
        <w:t>raveni odpovídajícím způsobem k </w:t>
      </w:r>
      <w:r w:rsidRPr="00D75961">
        <w:rPr>
          <w:rFonts w:cs="Arial"/>
          <w:sz w:val="20"/>
          <w:szCs w:val="20"/>
        </w:rPr>
        <w:t>výkonu tohoto povolání. Takové souhlasné stanovisko či povolení je podmínkou pro udělení akreditace studijního programu.</w:t>
      </w:r>
    </w:p>
    <w:p w14:paraId="6E80B94F" w14:textId="3A28B4B6" w:rsidR="00D75961" w:rsidRPr="00D75961" w:rsidRDefault="00D75961" w:rsidP="00D75961">
      <w:pPr>
        <w:rPr>
          <w:rFonts w:cs="Arial"/>
          <w:sz w:val="20"/>
          <w:szCs w:val="20"/>
        </w:rPr>
      </w:pPr>
      <w:r w:rsidRPr="00D75961">
        <w:rPr>
          <w:rFonts w:cs="Arial"/>
          <w:sz w:val="20"/>
          <w:szCs w:val="20"/>
        </w:rPr>
        <w:t xml:space="preserve">MŠMT při vydání stanoviska postupuje v souladu s Rámcovými požadavky na studijní programy, jejichž absolvováním se získává odborná kvalifikace k výkonu regulovaných povolání pedagogických pracovníků. V rámci řízení o vydání souhlasného stanoviska MŠMT </w:t>
      </w:r>
      <w:r w:rsidR="00992207">
        <w:rPr>
          <w:rFonts w:cs="Arial"/>
          <w:sz w:val="20"/>
          <w:szCs w:val="20"/>
        </w:rPr>
        <w:t>vyhodnocuje i rozsah přípravy v </w:t>
      </w:r>
      <w:r w:rsidRPr="00D75961">
        <w:rPr>
          <w:rFonts w:cs="Arial"/>
          <w:sz w:val="20"/>
          <w:szCs w:val="20"/>
        </w:rPr>
        <w:t>oblasti pedagogicko-psychologické, respektive učitelské propedeutik</w:t>
      </w:r>
      <w:r w:rsidR="00992207">
        <w:rPr>
          <w:rFonts w:cs="Arial"/>
          <w:sz w:val="20"/>
          <w:szCs w:val="20"/>
        </w:rPr>
        <w:t>y, která zahrnuje, mimo jiné, i </w:t>
      </w:r>
      <w:r w:rsidRPr="00D75961">
        <w:rPr>
          <w:rFonts w:cs="Arial"/>
          <w:sz w:val="20"/>
          <w:szCs w:val="20"/>
        </w:rPr>
        <w:t xml:space="preserve">témata z psychologie, speciální pedagogiky či inkluzivní didaktiky. </w:t>
      </w:r>
    </w:p>
    <w:p w14:paraId="6BC267C1" w14:textId="30BE3099" w:rsidR="00D75961" w:rsidRPr="00D75961" w:rsidRDefault="00D75961" w:rsidP="00D75961">
      <w:pPr>
        <w:rPr>
          <w:rFonts w:cs="Arial"/>
          <w:sz w:val="20"/>
          <w:szCs w:val="20"/>
        </w:rPr>
      </w:pPr>
      <w:r w:rsidRPr="00D75961">
        <w:rPr>
          <w:rFonts w:cs="Arial"/>
          <w:sz w:val="20"/>
          <w:szCs w:val="20"/>
        </w:rPr>
        <w:t>MŠMT nyní finalizuje aktualizaci těchto Rámcových požadavků, na které participovaly zástupci všech fakult připravujících učitele. V rámci této aktualizace, která by měla být přijata vedením MŠMT na jaře tohoto roku, jsou specifikována konkrétní témata, která musí příprava pedagogických pracovníků obsahovat, a jejichž zahrnutí budou vysoké školy v žádosti o stanovisko či povolení k takovým studijním programům prokazovat. Mezi tato témata patří obsahově i příprava budoucích pedagogických pracovníků na práci se žáky se speciálními vzdělávacími potřebami a žáky nadanými. Práce s heterogenním kolektivem, tedy oblasti, jejichž zahrnutí přímo vyplývá z NPPRP. Po přijetí aktualizované verze Rámcových požadavků tedy bude posílen tlak na konkrétní zohlednění těchto témat do přípravy pedagogických pracovníků.</w:t>
      </w:r>
    </w:p>
    <w:p w14:paraId="6482690C" w14:textId="73059FFB" w:rsidR="005B433B" w:rsidRPr="00D75961" w:rsidRDefault="005B433B" w:rsidP="00B31875">
      <w:pPr>
        <w:keepNext/>
        <w:tabs>
          <w:tab w:val="left" w:pos="720"/>
        </w:tabs>
        <w:rPr>
          <w:rFonts w:cs="Arial"/>
          <w:b/>
          <w:bCs/>
          <w:sz w:val="20"/>
          <w:szCs w:val="20"/>
          <w:lang w:eastAsia="cs-CZ"/>
        </w:rPr>
      </w:pPr>
      <w:r w:rsidRPr="00D75961">
        <w:rPr>
          <w:rFonts w:cs="Arial"/>
          <w:b/>
          <w:bCs/>
          <w:sz w:val="20"/>
          <w:szCs w:val="20"/>
          <w:lang w:eastAsia="cs-CZ"/>
        </w:rPr>
        <w:t>STANOVISKO K PLNĚNÍ:</w:t>
      </w:r>
      <w:r w:rsidR="00717B81" w:rsidRPr="00D75961">
        <w:rPr>
          <w:rFonts w:cs="Arial"/>
          <w:b/>
          <w:bCs/>
          <w:sz w:val="20"/>
          <w:szCs w:val="20"/>
          <w:lang w:eastAsia="cs-CZ"/>
        </w:rPr>
        <w:t xml:space="preserve"> Plněno.</w:t>
      </w:r>
    </w:p>
    <w:p w14:paraId="68A0E1B6" w14:textId="77777777" w:rsidR="005B433B" w:rsidRPr="004F567B" w:rsidRDefault="005B433B" w:rsidP="00B31875">
      <w:pPr>
        <w:rPr>
          <w:rFonts w:cs="Arial"/>
          <w:sz w:val="20"/>
          <w:szCs w:val="20"/>
        </w:rPr>
      </w:pPr>
    </w:p>
    <w:p w14:paraId="1F8E26F3" w14:textId="77777777" w:rsidR="00F17E74" w:rsidRPr="0057756D" w:rsidRDefault="00F17E74" w:rsidP="00B31875">
      <w:pPr>
        <w:rPr>
          <w:rFonts w:eastAsia="Calibri" w:cs="Arial"/>
          <w:szCs w:val="20"/>
        </w:rPr>
      </w:pPr>
      <w:r w:rsidRPr="0035060D">
        <w:rPr>
          <w:rFonts w:cs="Arial"/>
          <w:bCs/>
          <w:szCs w:val="20"/>
        </w:rPr>
        <w:t xml:space="preserve">Opatření </w:t>
      </w:r>
      <w:r>
        <w:rPr>
          <w:rFonts w:cs="Arial"/>
          <w:bCs/>
          <w:szCs w:val="20"/>
        </w:rPr>
        <w:t>8</w:t>
      </w:r>
      <w:r>
        <w:rPr>
          <w:rFonts w:cs="Arial"/>
          <w:szCs w:val="20"/>
        </w:rPr>
        <w:t xml:space="preserve">.2.2 </w:t>
      </w:r>
      <w:r w:rsidRPr="0057756D">
        <w:rPr>
          <w:rFonts w:eastAsia="Calibri" w:cs="Arial"/>
          <w:szCs w:val="20"/>
        </w:rPr>
        <w:t xml:space="preserve">Podporovat rozvoj dalšího vzdělávání pedagogických pracovníků v oblasti vzdělávání dětí, žáků a studentů se zdravotním postižením v hlavním vzdělávacím proudu. </w:t>
      </w:r>
    </w:p>
    <w:p w14:paraId="2B78EC21" w14:textId="77777777" w:rsidR="00F17E74" w:rsidRPr="0057756D" w:rsidRDefault="00F17E74" w:rsidP="00B31875">
      <w:pPr>
        <w:rPr>
          <w:rFonts w:cs="Arial"/>
          <w:szCs w:val="20"/>
        </w:rPr>
      </w:pPr>
      <w:r w:rsidRPr="0057756D">
        <w:rPr>
          <w:rFonts w:cs="Arial"/>
          <w:szCs w:val="20"/>
        </w:rPr>
        <w:t>Termín: průběžně</w:t>
      </w:r>
    </w:p>
    <w:p w14:paraId="59077C23" w14:textId="77777777" w:rsidR="00F17E74" w:rsidRDefault="00F17E74" w:rsidP="00B31875">
      <w:pPr>
        <w:rPr>
          <w:rFonts w:cs="Arial"/>
          <w:szCs w:val="20"/>
        </w:rPr>
      </w:pPr>
      <w:r w:rsidRPr="0057756D">
        <w:rPr>
          <w:rFonts w:cs="Arial"/>
          <w:szCs w:val="20"/>
        </w:rPr>
        <w:t>Gestor: MŠMT</w:t>
      </w:r>
    </w:p>
    <w:p w14:paraId="0F3235DE" w14:textId="2F5A5273" w:rsidR="00F17E74" w:rsidRDefault="00F17E74" w:rsidP="00B31875">
      <w:pPr>
        <w:keepNext/>
        <w:rPr>
          <w:rFonts w:cs="Arial"/>
          <w:szCs w:val="20"/>
        </w:rPr>
      </w:pPr>
      <w:r w:rsidRPr="00831152">
        <w:rPr>
          <w:rFonts w:cs="Arial"/>
          <w:szCs w:val="20"/>
        </w:rPr>
        <w:t>Indikátor:</w:t>
      </w:r>
      <w:r w:rsidRPr="00496714">
        <w:rPr>
          <w:rFonts w:cs="Arial"/>
          <w:szCs w:val="20"/>
        </w:rPr>
        <w:t xml:space="preserve"> Ve sledovaném období se uskutečnily vzdělávací akce na uvedené téma.</w:t>
      </w:r>
    </w:p>
    <w:p w14:paraId="3719C7DD" w14:textId="77777777" w:rsidR="00B31875" w:rsidRPr="00754C23" w:rsidRDefault="00B31875" w:rsidP="00754C23">
      <w:pPr>
        <w:keepNext/>
        <w:rPr>
          <w:rFonts w:cs="Arial"/>
          <w:sz w:val="20"/>
          <w:szCs w:val="20"/>
        </w:rPr>
      </w:pPr>
    </w:p>
    <w:p w14:paraId="4AEDC483" w14:textId="3675B163" w:rsidR="00B902F3" w:rsidRPr="00431FB4" w:rsidRDefault="00B902F3" w:rsidP="00754C23">
      <w:pPr>
        <w:tabs>
          <w:tab w:val="left" w:pos="720"/>
        </w:tabs>
        <w:rPr>
          <w:rFonts w:cs="Arial"/>
          <w:b/>
          <w:bCs/>
          <w:sz w:val="20"/>
          <w:szCs w:val="20"/>
          <w:lang w:eastAsia="cs-CZ"/>
        </w:rPr>
      </w:pPr>
      <w:r w:rsidRPr="00431FB4">
        <w:rPr>
          <w:rFonts w:cs="Arial"/>
          <w:b/>
          <w:bCs/>
          <w:sz w:val="20"/>
          <w:szCs w:val="20"/>
          <w:lang w:eastAsia="cs-CZ"/>
        </w:rPr>
        <w:t>PLNĚNÍ MŠMT:</w:t>
      </w:r>
    </w:p>
    <w:p w14:paraId="0B8ED94D" w14:textId="77777777" w:rsidR="00431FB4" w:rsidRPr="00431FB4" w:rsidRDefault="00431FB4" w:rsidP="00431FB4">
      <w:pPr>
        <w:keepNext/>
        <w:rPr>
          <w:rFonts w:cs="Arial"/>
          <w:sz w:val="20"/>
          <w:szCs w:val="20"/>
        </w:rPr>
      </w:pPr>
      <w:r w:rsidRPr="00431FB4">
        <w:rPr>
          <w:rFonts w:cs="Arial"/>
          <w:sz w:val="20"/>
          <w:szCs w:val="20"/>
        </w:rPr>
        <w:t xml:space="preserve">NPI ČR v roce 2023 vzdělávání pedagogů zaměřil na inkluzivní pojetí práce s pestrou třídou, ve které jsou zapojeni i žáci s různými druhy znevýhodnění. Metodické materiály jsou dostupné zde </w:t>
      </w:r>
      <w:hyperlink r:id="rId96">
        <w:r w:rsidRPr="00431FB4">
          <w:rPr>
            <w:rStyle w:val="Hypertextovodkaz"/>
            <w:rFonts w:eastAsia="Arial" w:cs="Arial"/>
            <w:sz w:val="20"/>
            <w:szCs w:val="20"/>
          </w:rPr>
          <w:t>Jak na to v pestré třídě (npi.cz),</w:t>
        </w:r>
      </w:hyperlink>
      <w:r w:rsidRPr="00431FB4">
        <w:rPr>
          <w:rFonts w:cs="Arial"/>
          <w:sz w:val="20"/>
          <w:szCs w:val="20"/>
        </w:rPr>
        <w:t xml:space="preserve"> V kontextu metodických materiálů bylo realizováno vzdělávání v online formě i ve formě prezenčního vzdělávání v regionech na jednotlivých krajských pracovištích NPI ČR.  </w:t>
      </w:r>
    </w:p>
    <w:p w14:paraId="02331D3E" w14:textId="77777777" w:rsidR="00431FB4" w:rsidRPr="00431FB4" w:rsidRDefault="00431FB4" w:rsidP="00431FB4">
      <w:pPr>
        <w:rPr>
          <w:rFonts w:cs="Arial"/>
          <w:sz w:val="20"/>
          <w:szCs w:val="20"/>
        </w:rPr>
      </w:pPr>
      <w:r w:rsidRPr="00431FB4">
        <w:rPr>
          <w:rFonts w:cs="Arial"/>
          <w:sz w:val="20"/>
          <w:szCs w:val="20"/>
        </w:rPr>
        <w:t xml:space="preserve">Na webovém portálu </w:t>
      </w:r>
      <w:hyperlink r:id="rId97">
        <w:r w:rsidRPr="00431FB4">
          <w:rPr>
            <w:rStyle w:val="Hypertextovodkaz"/>
            <w:rFonts w:cs="Arial"/>
            <w:sz w:val="20"/>
            <w:szCs w:val="20"/>
          </w:rPr>
          <w:t>www.zapojmevsechny.cz</w:t>
        </w:r>
      </w:hyperlink>
      <w:r w:rsidRPr="00431FB4">
        <w:rPr>
          <w:rFonts w:cs="Arial"/>
          <w:sz w:val="20"/>
          <w:szCs w:val="20"/>
        </w:rPr>
        <w:t xml:space="preserve"> jsou dostupné materiály také v tématu vzdělávání žáků s různými druhy speciálně vzdělávacích potřeb.</w:t>
      </w:r>
    </w:p>
    <w:p w14:paraId="7DF584D3" w14:textId="77777777" w:rsidR="00431FB4" w:rsidRPr="00431FB4" w:rsidRDefault="00431FB4" w:rsidP="00431FB4">
      <w:pPr>
        <w:rPr>
          <w:rFonts w:cs="Arial"/>
          <w:sz w:val="20"/>
          <w:szCs w:val="20"/>
        </w:rPr>
      </w:pPr>
      <w:r w:rsidRPr="00431FB4">
        <w:rPr>
          <w:rFonts w:cs="Arial"/>
          <w:sz w:val="20"/>
          <w:szCs w:val="20"/>
        </w:rPr>
        <w:t xml:space="preserve">V rámci dalšího vzdělávání pedagogických pracovníků jsou nabízeny různorodé kurzy pro zlepšení práce s dětmi, žáky a studenty se zdravotním postižením v hlavním vzdělávacím proudu, a to v oblasti </w:t>
      </w:r>
      <w:r w:rsidRPr="00431FB4">
        <w:rPr>
          <w:rFonts w:cs="Arial"/>
          <w:sz w:val="20"/>
          <w:szCs w:val="20"/>
        </w:rPr>
        <w:lastRenderedPageBreak/>
        <w:t>diagnostiky a nastavování podpůrných opatření, vzdělávání pro začínající speciální pedagogy ve školních poradenských pracovištích/školských poradenských zařízeních aj.</w:t>
      </w:r>
    </w:p>
    <w:p w14:paraId="55DE565B" w14:textId="327320C6" w:rsidR="00431FB4" w:rsidRPr="00431FB4" w:rsidRDefault="00431FB4" w:rsidP="00431FB4">
      <w:pPr>
        <w:rPr>
          <w:rFonts w:cs="Arial"/>
          <w:sz w:val="20"/>
          <w:szCs w:val="20"/>
        </w:rPr>
      </w:pPr>
      <w:r w:rsidRPr="00431FB4">
        <w:rPr>
          <w:rFonts w:cs="Arial"/>
          <w:sz w:val="20"/>
          <w:szCs w:val="20"/>
        </w:rPr>
        <w:t>V rámci Operačního programu Jan Amos Komenský je možné v realizovaných projektech ve výzvách Šablony I a v rámci projektů vyhlášených výzev zaměřených na akční plánování v území podporovat vzdělávání pedagogických pracovníků včetně tématu vzdělávání dětí, žáků a studentů se zdravotním postižením v hlavním vzdělávacím proudu.</w:t>
      </w:r>
    </w:p>
    <w:p w14:paraId="60AED63B" w14:textId="4B09C7AD" w:rsidR="00B902F3" w:rsidRPr="00431FB4" w:rsidRDefault="00B902F3" w:rsidP="00754C23">
      <w:pPr>
        <w:keepNext/>
        <w:tabs>
          <w:tab w:val="left" w:pos="720"/>
        </w:tabs>
        <w:rPr>
          <w:rFonts w:cs="Arial"/>
          <w:b/>
          <w:bCs/>
          <w:sz w:val="20"/>
          <w:szCs w:val="20"/>
          <w:lang w:eastAsia="cs-CZ"/>
        </w:rPr>
      </w:pPr>
      <w:r w:rsidRPr="00431FB4">
        <w:rPr>
          <w:rFonts w:cs="Arial"/>
          <w:b/>
          <w:bCs/>
          <w:sz w:val="20"/>
          <w:szCs w:val="20"/>
          <w:lang w:eastAsia="cs-CZ"/>
        </w:rPr>
        <w:t>STANOVISKO K PLNĚNÍ:</w:t>
      </w:r>
      <w:r w:rsidR="00414E06" w:rsidRPr="00431FB4">
        <w:rPr>
          <w:rFonts w:cs="Arial"/>
          <w:b/>
          <w:bCs/>
          <w:sz w:val="20"/>
          <w:szCs w:val="20"/>
          <w:lang w:eastAsia="cs-CZ"/>
        </w:rPr>
        <w:t xml:space="preserve"> Plněno.</w:t>
      </w:r>
    </w:p>
    <w:p w14:paraId="5039A8B4" w14:textId="77777777" w:rsidR="00B902F3" w:rsidRPr="00754C23" w:rsidRDefault="00B902F3" w:rsidP="00754C23">
      <w:pPr>
        <w:keepNext/>
        <w:rPr>
          <w:rFonts w:cs="Arial"/>
          <w:sz w:val="20"/>
          <w:szCs w:val="20"/>
        </w:rPr>
      </w:pPr>
    </w:p>
    <w:p w14:paraId="14492F63" w14:textId="77777777" w:rsidR="00F17E74" w:rsidRDefault="00F17E74" w:rsidP="00DA5CC1">
      <w:pPr>
        <w:rPr>
          <w:rFonts w:eastAsia="Calibri" w:cs="Arial"/>
          <w:b/>
          <w:szCs w:val="20"/>
        </w:rPr>
      </w:pPr>
      <w:r>
        <w:rPr>
          <w:rFonts w:eastAsia="Calibri" w:cs="Arial"/>
          <w:b/>
          <w:szCs w:val="20"/>
        </w:rPr>
        <w:t xml:space="preserve">8.3 </w:t>
      </w:r>
      <w:r w:rsidRPr="0057756D">
        <w:rPr>
          <w:rFonts w:eastAsia="Calibri" w:cs="Arial"/>
          <w:b/>
          <w:szCs w:val="20"/>
        </w:rPr>
        <w:t xml:space="preserve">Cíl: Kvalitní vzdělávání dětí, žáků a studentů se zdravotním </w:t>
      </w:r>
      <w:r w:rsidRPr="005028CE">
        <w:rPr>
          <w:rFonts w:eastAsia="Calibri" w:cs="Arial"/>
          <w:b/>
          <w:szCs w:val="20"/>
        </w:rPr>
        <w:t xml:space="preserve">postižením zohledňující jejich </w:t>
      </w:r>
      <w:r w:rsidRPr="002D3B01">
        <w:rPr>
          <w:rFonts w:eastAsia="Calibri" w:cs="Arial"/>
          <w:b/>
          <w:bCs/>
          <w:szCs w:val="20"/>
        </w:rPr>
        <w:t>individuální</w:t>
      </w:r>
      <w:r w:rsidRPr="005028CE">
        <w:rPr>
          <w:rFonts w:eastAsia="Calibri" w:cs="Arial"/>
          <w:b/>
          <w:szCs w:val="20"/>
        </w:rPr>
        <w:t xml:space="preserve"> potřeby.</w:t>
      </w:r>
      <w:r w:rsidRPr="0057756D">
        <w:rPr>
          <w:rFonts w:eastAsia="Calibri" w:cs="Arial"/>
          <w:b/>
          <w:szCs w:val="20"/>
        </w:rPr>
        <w:t xml:space="preserve"> </w:t>
      </w:r>
    </w:p>
    <w:p w14:paraId="119D4137"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8</w:t>
      </w:r>
      <w:r>
        <w:rPr>
          <w:rFonts w:cs="Arial"/>
          <w:szCs w:val="20"/>
        </w:rPr>
        <w:t xml:space="preserve">.3.1 </w:t>
      </w:r>
      <w:r w:rsidRPr="0057756D">
        <w:rPr>
          <w:rFonts w:cs="Arial"/>
          <w:szCs w:val="20"/>
        </w:rPr>
        <w:t>Nastavit spolupráci rané péče s</w:t>
      </w:r>
      <w:r w:rsidR="00F61BE0">
        <w:rPr>
          <w:rFonts w:cs="Arial"/>
          <w:szCs w:val="20"/>
        </w:rPr>
        <w:t>e speciálně pedagogickými centry</w:t>
      </w:r>
      <w:r w:rsidRPr="0057756D">
        <w:rPr>
          <w:rFonts w:cs="Arial"/>
          <w:szCs w:val="20"/>
        </w:rPr>
        <w:t>, aby bylo docíleno větší provázanosti a</w:t>
      </w:r>
      <w:r w:rsidR="006B3285">
        <w:rPr>
          <w:rFonts w:cs="Arial"/>
          <w:szCs w:val="20"/>
        </w:rPr>
        <w:t> </w:t>
      </w:r>
      <w:r w:rsidRPr="0057756D">
        <w:rPr>
          <w:rFonts w:cs="Arial"/>
          <w:szCs w:val="20"/>
        </w:rPr>
        <w:t>plynulosti ve vzdělávání a rozvoji dítěte.</w:t>
      </w:r>
    </w:p>
    <w:p w14:paraId="58DB9EDD" w14:textId="7774018C" w:rsidR="00F17E74" w:rsidRPr="0057756D" w:rsidRDefault="007D0B16" w:rsidP="00F17E74">
      <w:pPr>
        <w:rPr>
          <w:rFonts w:cs="Arial"/>
          <w:szCs w:val="20"/>
        </w:rPr>
      </w:pPr>
      <w:r>
        <w:rPr>
          <w:rFonts w:cs="Arial"/>
          <w:szCs w:val="20"/>
        </w:rPr>
        <w:t xml:space="preserve">Termín: </w:t>
      </w:r>
      <w:proofErr w:type="gramStart"/>
      <w:r>
        <w:rPr>
          <w:rFonts w:cs="Arial"/>
          <w:szCs w:val="20"/>
        </w:rPr>
        <w:t>31.12.2023</w:t>
      </w:r>
      <w:proofErr w:type="gramEnd"/>
    </w:p>
    <w:p w14:paraId="011498E8" w14:textId="77777777" w:rsidR="00FA46FE" w:rsidRDefault="00F17E74" w:rsidP="00FA46FE">
      <w:pPr>
        <w:rPr>
          <w:rFonts w:cs="Arial"/>
          <w:szCs w:val="20"/>
        </w:rPr>
      </w:pPr>
      <w:r w:rsidRPr="0057756D">
        <w:rPr>
          <w:rFonts w:cs="Arial"/>
          <w:szCs w:val="20"/>
        </w:rPr>
        <w:t>Gestor: MŠMT, MPSV</w:t>
      </w:r>
    </w:p>
    <w:p w14:paraId="2BB5DACC" w14:textId="4E967DD1" w:rsidR="004C2D92" w:rsidRPr="006C3C23" w:rsidRDefault="00F17E74" w:rsidP="00372FE5">
      <w:pPr>
        <w:rPr>
          <w:rFonts w:cs="Arial"/>
        </w:rPr>
      </w:pPr>
      <w:r w:rsidRPr="006C3C23">
        <w:rPr>
          <w:rFonts w:cs="Arial"/>
        </w:rPr>
        <w:t>Indikáto</w:t>
      </w:r>
      <w:r w:rsidR="00C801EE" w:rsidRPr="006C3C23">
        <w:rPr>
          <w:rFonts w:cs="Arial"/>
        </w:rPr>
        <w:t xml:space="preserve">r: Spolupráce byla nastavena. </w:t>
      </w:r>
    </w:p>
    <w:p w14:paraId="6AE1BCD1" w14:textId="77777777" w:rsidR="00372FE5" w:rsidRPr="00A529B9" w:rsidRDefault="00372FE5" w:rsidP="00A529B9">
      <w:pPr>
        <w:rPr>
          <w:rFonts w:cs="Arial"/>
          <w:sz w:val="20"/>
          <w:szCs w:val="20"/>
        </w:rPr>
      </w:pPr>
    </w:p>
    <w:p w14:paraId="0ED65C81" w14:textId="6097F8A1" w:rsidR="00E27642" w:rsidRPr="00F508FA" w:rsidRDefault="00E27642" w:rsidP="00A529B9">
      <w:pPr>
        <w:keepNext/>
        <w:tabs>
          <w:tab w:val="left" w:pos="720"/>
        </w:tabs>
        <w:rPr>
          <w:rFonts w:cs="Arial"/>
          <w:b/>
          <w:bCs/>
          <w:sz w:val="20"/>
          <w:szCs w:val="20"/>
          <w:lang w:eastAsia="cs-CZ"/>
        </w:rPr>
      </w:pPr>
      <w:r w:rsidRPr="00F508FA">
        <w:rPr>
          <w:rFonts w:cs="Arial"/>
          <w:b/>
          <w:bCs/>
          <w:sz w:val="20"/>
          <w:szCs w:val="20"/>
          <w:lang w:eastAsia="cs-CZ"/>
        </w:rPr>
        <w:t>PLNĚNÍ MPSV:</w:t>
      </w:r>
    </w:p>
    <w:p w14:paraId="412A28CE" w14:textId="31901E10" w:rsidR="00F508FA" w:rsidRPr="00F508FA" w:rsidRDefault="00F508FA" w:rsidP="00F508FA">
      <w:pPr>
        <w:rPr>
          <w:rFonts w:cs="Arial"/>
          <w:sz w:val="20"/>
          <w:szCs w:val="20"/>
        </w:rPr>
      </w:pPr>
      <w:r w:rsidRPr="00F508FA">
        <w:rPr>
          <w:rFonts w:cs="Arial"/>
          <w:sz w:val="20"/>
          <w:szCs w:val="20"/>
        </w:rPr>
        <w:t>Koncem roku 2023 a počátkem roku 2024 došlo k jednáním mezi MŠMT, MPSV a některých dalších aktérů k otázce nastavení uvedené spolupráce. V rámci uvedených jednání byl hledán vhodný model zajištění spolupráce školských poradenských center a rané péče.</w:t>
      </w:r>
    </w:p>
    <w:p w14:paraId="454C0693" w14:textId="6F647C9A" w:rsidR="00E27642" w:rsidRPr="00F508FA" w:rsidRDefault="00E27642" w:rsidP="00A529B9">
      <w:pPr>
        <w:rPr>
          <w:rFonts w:cs="Arial"/>
          <w:sz w:val="20"/>
          <w:szCs w:val="20"/>
        </w:rPr>
      </w:pPr>
      <w:r w:rsidRPr="00F508FA">
        <w:rPr>
          <w:rFonts w:cs="Arial"/>
          <w:b/>
          <w:bCs/>
          <w:sz w:val="20"/>
          <w:szCs w:val="20"/>
          <w:lang w:eastAsia="cs-CZ"/>
        </w:rPr>
        <w:t>STANOVISKO K PLNĚNÍ:</w:t>
      </w:r>
      <w:r w:rsidR="00452DAC" w:rsidRPr="00F508FA">
        <w:rPr>
          <w:rFonts w:cs="Arial"/>
          <w:b/>
          <w:bCs/>
          <w:sz w:val="20"/>
          <w:szCs w:val="20"/>
          <w:lang w:eastAsia="cs-CZ"/>
        </w:rPr>
        <w:t xml:space="preserve"> </w:t>
      </w:r>
      <w:r w:rsidR="00A06AF2" w:rsidRPr="00AD7327">
        <w:rPr>
          <w:rFonts w:cs="Arial"/>
          <w:b/>
          <w:bCs/>
          <w:sz w:val="20"/>
          <w:szCs w:val="20"/>
          <w:lang w:eastAsia="cs-CZ"/>
        </w:rPr>
        <w:t>Nesplněno. Navržen posun termínu</w:t>
      </w:r>
      <w:r w:rsidR="00D24E66" w:rsidRPr="00AD7327">
        <w:rPr>
          <w:rFonts w:cs="Arial"/>
          <w:b/>
          <w:bCs/>
          <w:sz w:val="20"/>
          <w:szCs w:val="20"/>
          <w:lang w:eastAsia="cs-CZ"/>
        </w:rPr>
        <w:t xml:space="preserve"> do</w:t>
      </w:r>
      <w:r w:rsidR="00A30013" w:rsidRPr="00AD7327">
        <w:rPr>
          <w:rFonts w:cs="Arial"/>
          <w:b/>
          <w:bCs/>
          <w:sz w:val="20"/>
          <w:szCs w:val="20"/>
          <w:lang w:eastAsia="cs-CZ"/>
        </w:rPr>
        <w:t xml:space="preserve"> </w:t>
      </w:r>
      <w:proofErr w:type="gramStart"/>
      <w:r w:rsidR="00A30013" w:rsidRPr="00AD7327">
        <w:rPr>
          <w:rFonts w:cs="Arial"/>
          <w:b/>
          <w:bCs/>
          <w:sz w:val="20"/>
          <w:szCs w:val="20"/>
          <w:lang w:eastAsia="cs-CZ"/>
        </w:rPr>
        <w:t>31.12.2024</w:t>
      </w:r>
      <w:proofErr w:type="gramEnd"/>
      <w:r w:rsidR="00A06AF2" w:rsidRPr="00AD7327">
        <w:rPr>
          <w:rFonts w:cs="Arial"/>
          <w:b/>
          <w:bCs/>
          <w:sz w:val="20"/>
          <w:szCs w:val="20"/>
          <w:lang w:eastAsia="cs-CZ"/>
        </w:rPr>
        <w:t>.</w:t>
      </w:r>
    </w:p>
    <w:p w14:paraId="1286991C" w14:textId="4C23E65F" w:rsidR="00E27642" w:rsidRPr="00A529B9" w:rsidRDefault="00E27642" w:rsidP="00A529B9">
      <w:pPr>
        <w:rPr>
          <w:rFonts w:cs="Arial"/>
          <w:sz w:val="20"/>
          <w:szCs w:val="20"/>
        </w:rPr>
      </w:pPr>
    </w:p>
    <w:p w14:paraId="57A375EF" w14:textId="7783247D" w:rsidR="000C4478" w:rsidRPr="001A6D3C" w:rsidRDefault="000C4478" w:rsidP="00A529B9">
      <w:pPr>
        <w:tabs>
          <w:tab w:val="left" w:pos="720"/>
        </w:tabs>
        <w:rPr>
          <w:rFonts w:cs="Arial"/>
          <w:b/>
          <w:bCs/>
          <w:sz w:val="20"/>
          <w:szCs w:val="20"/>
          <w:lang w:eastAsia="cs-CZ"/>
        </w:rPr>
      </w:pPr>
      <w:r w:rsidRPr="001A6D3C">
        <w:rPr>
          <w:rFonts w:cs="Arial"/>
          <w:b/>
          <w:bCs/>
          <w:sz w:val="20"/>
          <w:szCs w:val="20"/>
          <w:lang w:eastAsia="cs-CZ"/>
        </w:rPr>
        <w:t>PLNĚNÍ MŠMT:</w:t>
      </w:r>
    </w:p>
    <w:p w14:paraId="45EFD5D7" w14:textId="09FCCB7D" w:rsidR="001A6D3C" w:rsidRPr="001A6D3C" w:rsidRDefault="001A6D3C" w:rsidP="001A6D3C">
      <w:pPr>
        <w:rPr>
          <w:rFonts w:cs="Arial"/>
          <w:sz w:val="20"/>
          <w:szCs w:val="20"/>
        </w:rPr>
      </w:pPr>
      <w:r w:rsidRPr="001A6D3C">
        <w:rPr>
          <w:rFonts w:cs="Arial"/>
          <w:sz w:val="20"/>
          <w:szCs w:val="20"/>
        </w:rPr>
        <w:t>MŠMT iniciovalo setkání se zástupci MPSV, Ministerstva zdravotnictví, Odborů školství všech krajských úřadů, Asociace rané péče České republiky, Asociace speciálních pedagogů ČR, Asociace pracovníků speciálně pedagogických center a Centra komplexní podpory pro klienty se sluchovým postižením při VOŠ, SŠ, ZŠ a MŠ Štefánikova, které je příkladem inspirativní praxe spolupráce rané péče se speciálně pedagogickým centrem. Byla představena činnost Centra komplexní podpory pro klienty se sluchovým postižením, řešeno rozložení služeb v krajíc</w:t>
      </w:r>
      <w:r w:rsidR="00992207">
        <w:rPr>
          <w:rFonts w:cs="Arial"/>
          <w:sz w:val="20"/>
          <w:szCs w:val="20"/>
        </w:rPr>
        <w:t>h, aktuální podoba spolupráce a </w:t>
      </w:r>
      <w:r w:rsidRPr="001A6D3C">
        <w:rPr>
          <w:rFonts w:cs="Arial"/>
          <w:sz w:val="20"/>
          <w:szCs w:val="20"/>
        </w:rPr>
        <w:t>příprava pilotního ověřování propojení služeb středisek rané péče a speciálně pedagogických center ve vybraných krajích. Z jednání vyplynulo, že ve většině krajů funguje dobrá spolupráce středisek rané péče a speciálně pedagogických center. Na březen 2024 je plánováno třetí setkání.</w:t>
      </w:r>
    </w:p>
    <w:p w14:paraId="534EC387" w14:textId="0AD0F0A6" w:rsidR="000C4478" w:rsidRPr="001A6D3C" w:rsidRDefault="000C4478" w:rsidP="00A529B9">
      <w:pPr>
        <w:rPr>
          <w:sz w:val="20"/>
          <w:szCs w:val="20"/>
        </w:rPr>
      </w:pPr>
      <w:r w:rsidRPr="001A6D3C">
        <w:rPr>
          <w:rFonts w:cs="Arial"/>
          <w:b/>
          <w:bCs/>
          <w:sz w:val="20"/>
          <w:szCs w:val="20"/>
          <w:lang w:eastAsia="cs-CZ"/>
        </w:rPr>
        <w:t>STANOVISKO K PLNĚNÍ</w:t>
      </w:r>
      <w:r w:rsidRPr="00AD7327">
        <w:rPr>
          <w:rFonts w:cs="Arial"/>
          <w:b/>
          <w:bCs/>
          <w:sz w:val="20"/>
          <w:szCs w:val="20"/>
          <w:lang w:eastAsia="cs-CZ"/>
        </w:rPr>
        <w:t>:</w:t>
      </w:r>
      <w:r w:rsidR="00452DAC" w:rsidRPr="00AD7327">
        <w:rPr>
          <w:rFonts w:cs="Arial"/>
          <w:b/>
          <w:bCs/>
          <w:sz w:val="20"/>
          <w:szCs w:val="20"/>
          <w:lang w:eastAsia="cs-CZ"/>
        </w:rPr>
        <w:t xml:space="preserve"> </w:t>
      </w:r>
      <w:r w:rsidR="00A06AF2" w:rsidRPr="00AD7327">
        <w:rPr>
          <w:rFonts w:cs="Arial"/>
          <w:b/>
          <w:bCs/>
          <w:sz w:val="20"/>
          <w:szCs w:val="20"/>
          <w:lang w:eastAsia="cs-CZ"/>
        </w:rPr>
        <w:t xml:space="preserve">Nesplněno. Navržen posun termínu </w:t>
      </w:r>
      <w:r w:rsidR="00D24E66" w:rsidRPr="00AD7327">
        <w:rPr>
          <w:rFonts w:cs="Arial"/>
          <w:b/>
          <w:bCs/>
          <w:sz w:val="20"/>
          <w:szCs w:val="20"/>
          <w:lang w:eastAsia="cs-CZ"/>
        </w:rPr>
        <w:t xml:space="preserve">do </w:t>
      </w:r>
      <w:proofErr w:type="gramStart"/>
      <w:r w:rsidR="00A30013" w:rsidRPr="00AD7327">
        <w:rPr>
          <w:rFonts w:cs="Arial"/>
          <w:b/>
          <w:bCs/>
          <w:sz w:val="20"/>
          <w:szCs w:val="20"/>
          <w:lang w:eastAsia="cs-CZ"/>
        </w:rPr>
        <w:t>31.12.2024</w:t>
      </w:r>
      <w:proofErr w:type="gramEnd"/>
      <w:r w:rsidR="00A06AF2" w:rsidRPr="00AD7327">
        <w:rPr>
          <w:rFonts w:cs="Arial"/>
          <w:b/>
          <w:bCs/>
          <w:sz w:val="20"/>
          <w:szCs w:val="20"/>
          <w:lang w:eastAsia="cs-CZ"/>
        </w:rPr>
        <w:t>.</w:t>
      </w:r>
    </w:p>
    <w:p w14:paraId="3ED5A6AB" w14:textId="04A22888" w:rsidR="00C77BFE" w:rsidRDefault="00C77BFE" w:rsidP="00A529B9">
      <w:pPr>
        <w:keepNext/>
        <w:rPr>
          <w:rFonts w:cs="Arial"/>
          <w:sz w:val="20"/>
          <w:szCs w:val="20"/>
        </w:rPr>
      </w:pPr>
    </w:p>
    <w:p w14:paraId="02AFF16F" w14:textId="77777777" w:rsidR="00D166A6" w:rsidRPr="005B0304" w:rsidRDefault="00D166A6" w:rsidP="00D166A6">
      <w:pPr>
        <w:rPr>
          <w:rFonts w:cs="Arial"/>
          <w:szCs w:val="20"/>
        </w:rPr>
      </w:pPr>
      <w:r w:rsidRPr="0035060D">
        <w:rPr>
          <w:rFonts w:cs="Arial"/>
          <w:bCs/>
          <w:szCs w:val="20"/>
        </w:rPr>
        <w:t xml:space="preserve">Opatření </w:t>
      </w:r>
      <w:r>
        <w:rPr>
          <w:rFonts w:cs="Arial"/>
          <w:bCs/>
          <w:szCs w:val="20"/>
        </w:rPr>
        <w:t>8</w:t>
      </w:r>
      <w:r>
        <w:rPr>
          <w:rFonts w:cs="Arial"/>
          <w:szCs w:val="20"/>
        </w:rPr>
        <w:t xml:space="preserve">.3.2 </w:t>
      </w:r>
      <w:r w:rsidRPr="005B0304">
        <w:rPr>
          <w:rFonts w:cs="Arial"/>
          <w:szCs w:val="20"/>
        </w:rPr>
        <w:t>Přijmout Standard činnosti asistenta pedagoga platný pro</w:t>
      </w:r>
      <w:r>
        <w:rPr>
          <w:rFonts w:cs="Arial"/>
          <w:szCs w:val="20"/>
        </w:rPr>
        <w:t> </w:t>
      </w:r>
      <w:r w:rsidRPr="005B0304">
        <w:rPr>
          <w:rFonts w:cs="Arial"/>
          <w:szCs w:val="20"/>
        </w:rPr>
        <w:t>všechny školy</w:t>
      </w:r>
      <w:r>
        <w:rPr>
          <w:rFonts w:cs="Arial"/>
          <w:szCs w:val="20"/>
        </w:rPr>
        <w:t>.</w:t>
      </w:r>
    </w:p>
    <w:p w14:paraId="32CDEABE" w14:textId="77777777" w:rsidR="00D166A6" w:rsidRPr="005B0304" w:rsidRDefault="00D166A6" w:rsidP="00D166A6">
      <w:pPr>
        <w:rPr>
          <w:rFonts w:cs="Arial"/>
          <w:szCs w:val="20"/>
        </w:rPr>
      </w:pPr>
      <w:r>
        <w:rPr>
          <w:rFonts w:cs="Arial"/>
          <w:szCs w:val="20"/>
        </w:rPr>
        <w:t xml:space="preserve">Termín: </w:t>
      </w:r>
      <w:proofErr w:type="gramStart"/>
      <w:r>
        <w:rPr>
          <w:rFonts w:cs="Arial"/>
          <w:szCs w:val="20"/>
        </w:rPr>
        <w:t>31.12.2023</w:t>
      </w:r>
      <w:proofErr w:type="gramEnd"/>
    </w:p>
    <w:p w14:paraId="20B35671" w14:textId="77777777" w:rsidR="00D166A6" w:rsidRDefault="00D166A6" w:rsidP="00D166A6">
      <w:pPr>
        <w:rPr>
          <w:rFonts w:cs="Arial"/>
          <w:szCs w:val="20"/>
        </w:rPr>
      </w:pPr>
      <w:r w:rsidRPr="005B0304">
        <w:rPr>
          <w:rFonts w:cs="Arial"/>
          <w:szCs w:val="20"/>
        </w:rPr>
        <w:t>Gestor: MŠMT</w:t>
      </w:r>
    </w:p>
    <w:p w14:paraId="1B07E83F" w14:textId="46BB5DC2" w:rsidR="00D166A6" w:rsidRDefault="00D166A6" w:rsidP="00D166A6">
      <w:pPr>
        <w:rPr>
          <w:rFonts w:cs="Arial"/>
          <w:szCs w:val="20"/>
        </w:rPr>
      </w:pPr>
      <w:r w:rsidRPr="00831152">
        <w:rPr>
          <w:rFonts w:cs="Arial"/>
          <w:szCs w:val="20"/>
        </w:rPr>
        <w:t>Indikátor:</w:t>
      </w:r>
      <w:r>
        <w:rPr>
          <w:rFonts w:cs="Arial"/>
          <w:szCs w:val="20"/>
        </w:rPr>
        <w:t xml:space="preserve"> Byl přijat Standard činnosti asistenta pedagoga.</w:t>
      </w:r>
    </w:p>
    <w:p w14:paraId="1D08A6EF" w14:textId="77777777" w:rsidR="00D166A6" w:rsidRPr="005B0304" w:rsidRDefault="00D166A6" w:rsidP="00D166A6">
      <w:pPr>
        <w:rPr>
          <w:rFonts w:cs="Arial"/>
          <w:szCs w:val="20"/>
        </w:rPr>
      </w:pPr>
    </w:p>
    <w:p w14:paraId="2D8B7F51" w14:textId="77777777" w:rsidR="00D166A6" w:rsidRPr="00BD1F26" w:rsidRDefault="00D166A6" w:rsidP="00D166A6">
      <w:pPr>
        <w:tabs>
          <w:tab w:val="left" w:pos="720"/>
        </w:tabs>
        <w:rPr>
          <w:rFonts w:cs="Arial"/>
          <w:b/>
          <w:bCs/>
          <w:sz w:val="20"/>
          <w:szCs w:val="20"/>
          <w:lang w:eastAsia="cs-CZ"/>
        </w:rPr>
      </w:pPr>
      <w:r w:rsidRPr="00BD1F26">
        <w:rPr>
          <w:rFonts w:cs="Arial"/>
          <w:b/>
          <w:bCs/>
          <w:sz w:val="20"/>
          <w:szCs w:val="20"/>
          <w:lang w:eastAsia="cs-CZ"/>
        </w:rPr>
        <w:t>PLNĚNÍ MŠMT:</w:t>
      </w:r>
    </w:p>
    <w:p w14:paraId="1B45688D" w14:textId="4AC5892F" w:rsidR="00BD1F26" w:rsidRPr="00BD1F26" w:rsidRDefault="00BD1F26" w:rsidP="00BD1F26">
      <w:pPr>
        <w:rPr>
          <w:rFonts w:cs="Arial"/>
          <w:sz w:val="20"/>
          <w:szCs w:val="20"/>
        </w:rPr>
      </w:pPr>
      <w:r w:rsidRPr="00BD1F26">
        <w:rPr>
          <w:rFonts w:cs="Arial"/>
          <w:sz w:val="20"/>
          <w:szCs w:val="20"/>
        </w:rPr>
        <w:t>Standard činnosti asistenta pedagoga byl vytvořen již v roce 2021 pracovní skupinou složenou ze zástupců NPI ČR a MŠMT a předložen ke schválení vedení MŠMT v lednu 2022. Vytvářen byl v souvislosti s připravovanou parametrizací asistentů pedagoga. Navrhovaný Standard prozatím nebyl přijat a zveřejněn. V případě potřeby je možné tento Standard využít, p</w:t>
      </w:r>
      <w:r w:rsidR="00992207">
        <w:rPr>
          <w:rFonts w:cs="Arial"/>
          <w:sz w:val="20"/>
          <w:szCs w:val="20"/>
        </w:rPr>
        <w:t>řípadně aktualizovat a </w:t>
      </w:r>
      <w:r w:rsidRPr="00BD1F26">
        <w:rPr>
          <w:rFonts w:cs="Arial"/>
          <w:sz w:val="20"/>
          <w:szCs w:val="20"/>
        </w:rPr>
        <w:t>zveřejnit, dle rozhodnutí vedení MŠMT.</w:t>
      </w:r>
    </w:p>
    <w:p w14:paraId="5BF9A0ED" w14:textId="43EA0B65" w:rsidR="00D166A6" w:rsidRPr="00D166A6" w:rsidRDefault="00D166A6" w:rsidP="00D166A6">
      <w:pPr>
        <w:rPr>
          <w:sz w:val="20"/>
          <w:szCs w:val="20"/>
        </w:rPr>
      </w:pPr>
      <w:r w:rsidRPr="00BD1F26">
        <w:rPr>
          <w:rFonts w:cs="Arial"/>
          <w:b/>
          <w:bCs/>
          <w:sz w:val="20"/>
          <w:szCs w:val="20"/>
          <w:lang w:eastAsia="cs-CZ"/>
        </w:rPr>
        <w:lastRenderedPageBreak/>
        <w:t>STANOVISKO K </w:t>
      </w:r>
      <w:r w:rsidRPr="00B57E32">
        <w:rPr>
          <w:rFonts w:cs="Arial"/>
          <w:b/>
          <w:bCs/>
          <w:sz w:val="20"/>
          <w:szCs w:val="20"/>
          <w:lang w:eastAsia="cs-CZ"/>
        </w:rPr>
        <w:t xml:space="preserve">PLNĚNÍ: Nesplněno. Navržen posun termínu do </w:t>
      </w:r>
      <w:proofErr w:type="gramStart"/>
      <w:r w:rsidRPr="00B57E32">
        <w:rPr>
          <w:rFonts w:cs="Arial"/>
          <w:b/>
          <w:bCs/>
          <w:sz w:val="20"/>
          <w:szCs w:val="20"/>
          <w:lang w:eastAsia="cs-CZ"/>
        </w:rPr>
        <w:t>31.12.2024</w:t>
      </w:r>
      <w:proofErr w:type="gramEnd"/>
      <w:r w:rsidRPr="00B57E32">
        <w:rPr>
          <w:rFonts w:cs="Arial"/>
          <w:b/>
          <w:bCs/>
          <w:sz w:val="20"/>
          <w:szCs w:val="20"/>
          <w:lang w:eastAsia="cs-CZ"/>
        </w:rPr>
        <w:t>.</w:t>
      </w:r>
    </w:p>
    <w:p w14:paraId="6D38D1BB" w14:textId="77777777" w:rsidR="00D166A6" w:rsidRPr="00A529B9" w:rsidRDefault="00D166A6" w:rsidP="00A529B9">
      <w:pPr>
        <w:keepNext/>
        <w:rPr>
          <w:rFonts w:cs="Arial"/>
          <w:sz w:val="20"/>
          <w:szCs w:val="20"/>
        </w:rPr>
      </w:pPr>
    </w:p>
    <w:p w14:paraId="29DBCA79" w14:textId="77777777" w:rsidR="00A216B3" w:rsidRPr="003A11E6" w:rsidRDefault="00A216B3" w:rsidP="00A216B3">
      <w:pPr>
        <w:rPr>
          <w:rFonts w:cs="Arial"/>
          <w:szCs w:val="20"/>
        </w:rPr>
      </w:pPr>
      <w:r w:rsidRPr="003A11E6">
        <w:rPr>
          <w:rFonts w:cs="Arial"/>
          <w:bCs/>
          <w:szCs w:val="20"/>
        </w:rPr>
        <w:t>Opatření 8</w:t>
      </w:r>
      <w:r w:rsidRPr="003A11E6">
        <w:rPr>
          <w:rFonts w:cs="Arial"/>
          <w:szCs w:val="20"/>
        </w:rPr>
        <w:t xml:space="preserve">.3.3 Provést šetření za účelem zjištění počtu škol pro žáky se sluchovým postižením zřízených podle § 16 odst. 9 zákona č. 561/2004 Sb., o předškolním, základním, středním, vyšším odborném a jiném vzdělávání (školský zákon), ve znění pozdějších předpisů, a zjištění, v kolika z nich není předmět „Český znakový jazyk“ zařazen do učebního plánu. </w:t>
      </w:r>
    </w:p>
    <w:p w14:paraId="6FF354BA" w14:textId="6EB0CB00" w:rsidR="00A216B3" w:rsidRPr="003A11E6" w:rsidRDefault="006E75BD" w:rsidP="00A216B3">
      <w:pPr>
        <w:rPr>
          <w:rFonts w:cs="Arial"/>
          <w:szCs w:val="20"/>
        </w:rPr>
      </w:pPr>
      <w:r>
        <w:rPr>
          <w:rFonts w:cs="Arial"/>
          <w:szCs w:val="20"/>
        </w:rPr>
        <w:t xml:space="preserve">Termín: </w:t>
      </w:r>
      <w:proofErr w:type="gramStart"/>
      <w:r>
        <w:rPr>
          <w:rFonts w:cs="Arial"/>
          <w:szCs w:val="20"/>
        </w:rPr>
        <w:t>31.12.2023</w:t>
      </w:r>
      <w:proofErr w:type="gramEnd"/>
    </w:p>
    <w:p w14:paraId="65065C6D" w14:textId="77777777" w:rsidR="00A216B3" w:rsidRPr="003A11E6" w:rsidRDefault="00A216B3" w:rsidP="00A216B3">
      <w:pPr>
        <w:rPr>
          <w:rFonts w:cs="Arial"/>
          <w:szCs w:val="20"/>
        </w:rPr>
      </w:pPr>
      <w:r w:rsidRPr="003A11E6">
        <w:rPr>
          <w:rFonts w:cs="Arial"/>
          <w:szCs w:val="20"/>
        </w:rPr>
        <w:t xml:space="preserve">Gestor: </w:t>
      </w:r>
      <w:r w:rsidRPr="00E473F2">
        <w:rPr>
          <w:rFonts w:cs="Arial"/>
          <w:szCs w:val="20"/>
        </w:rPr>
        <w:t>MŠMT, ČŠI</w:t>
      </w:r>
    </w:p>
    <w:p w14:paraId="4014C15A" w14:textId="77777777" w:rsidR="00A216B3" w:rsidRPr="001127FE" w:rsidRDefault="00A216B3" w:rsidP="00A216B3">
      <w:pPr>
        <w:keepNext/>
        <w:spacing w:before="120" w:after="480"/>
        <w:rPr>
          <w:rFonts w:cs="Arial"/>
          <w:szCs w:val="20"/>
        </w:rPr>
      </w:pPr>
      <w:r w:rsidRPr="003A11E6">
        <w:rPr>
          <w:rFonts w:cs="Arial"/>
          <w:szCs w:val="20"/>
        </w:rPr>
        <w:t>Indikátor: Bylo provedeno uvedené šetření.</w:t>
      </w:r>
    </w:p>
    <w:p w14:paraId="72309684" w14:textId="512EA737" w:rsidR="00A216B3" w:rsidRPr="007925F9" w:rsidRDefault="00A216B3" w:rsidP="00A216B3">
      <w:pPr>
        <w:tabs>
          <w:tab w:val="left" w:pos="720"/>
        </w:tabs>
        <w:rPr>
          <w:rFonts w:cs="Arial"/>
          <w:b/>
          <w:bCs/>
          <w:sz w:val="20"/>
          <w:szCs w:val="20"/>
          <w:lang w:eastAsia="cs-CZ"/>
        </w:rPr>
      </w:pPr>
      <w:r w:rsidRPr="007925F9">
        <w:rPr>
          <w:rFonts w:cs="Arial"/>
          <w:b/>
          <w:bCs/>
          <w:sz w:val="20"/>
          <w:szCs w:val="20"/>
          <w:lang w:eastAsia="cs-CZ"/>
        </w:rPr>
        <w:t>PLNĚNÍ MŠMT:</w:t>
      </w:r>
    </w:p>
    <w:p w14:paraId="24D1386E" w14:textId="0E0E00A9" w:rsidR="007925F9" w:rsidRPr="007925F9" w:rsidRDefault="007925F9" w:rsidP="007925F9">
      <w:pPr>
        <w:keepNext/>
        <w:rPr>
          <w:rFonts w:cs="Arial"/>
          <w:sz w:val="20"/>
          <w:szCs w:val="20"/>
        </w:rPr>
      </w:pPr>
      <w:r w:rsidRPr="007925F9">
        <w:rPr>
          <w:rFonts w:cs="Arial"/>
          <w:sz w:val="20"/>
          <w:szCs w:val="20"/>
        </w:rPr>
        <w:t xml:space="preserve">Informace k plnění by měla uvést Česká školní inspekce. </w:t>
      </w:r>
    </w:p>
    <w:p w14:paraId="106CD2FF" w14:textId="3E800B27" w:rsidR="00A216B3" w:rsidRPr="007925F9" w:rsidRDefault="00A216B3" w:rsidP="00C2667B">
      <w:pPr>
        <w:keepNext/>
        <w:tabs>
          <w:tab w:val="left" w:pos="720"/>
        </w:tabs>
        <w:rPr>
          <w:rFonts w:cs="Arial"/>
          <w:b/>
          <w:bCs/>
          <w:sz w:val="20"/>
          <w:szCs w:val="20"/>
          <w:lang w:eastAsia="cs-CZ"/>
        </w:rPr>
      </w:pPr>
      <w:r w:rsidRPr="007925F9">
        <w:rPr>
          <w:rFonts w:cs="Arial"/>
          <w:b/>
          <w:bCs/>
          <w:sz w:val="20"/>
          <w:szCs w:val="20"/>
          <w:lang w:eastAsia="cs-CZ"/>
        </w:rPr>
        <w:t>STANOVISKO K </w:t>
      </w:r>
      <w:r w:rsidRPr="00CB6100">
        <w:rPr>
          <w:rFonts w:cs="Arial"/>
          <w:b/>
          <w:bCs/>
          <w:sz w:val="20"/>
          <w:szCs w:val="20"/>
          <w:lang w:eastAsia="cs-CZ"/>
        </w:rPr>
        <w:t xml:space="preserve">PLNĚNÍ: </w:t>
      </w:r>
      <w:r w:rsidR="00F21548" w:rsidRPr="00CB6100">
        <w:rPr>
          <w:rFonts w:cs="Arial"/>
          <w:b/>
          <w:bCs/>
          <w:sz w:val="20"/>
          <w:szCs w:val="20"/>
          <w:lang w:eastAsia="cs-CZ"/>
        </w:rPr>
        <w:t>S</w:t>
      </w:r>
      <w:r w:rsidR="00112BC3" w:rsidRPr="00CB6100">
        <w:rPr>
          <w:rFonts w:cs="Arial"/>
          <w:b/>
          <w:bCs/>
          <w:sz w:val="20"/>
          <w:szCs w:val="20"/>
          <w:lang w:eastAsia="cs-CZ"/>
        </w:rPr>
        <w:t>p</w:t>
      </w:r>
      <w:r w:rsidRPr="00CB6100">
        <w:rPr>
          <w:rFonts w:cs="Arial"/>
          <w:b/>
          <w:bCs/>
          <w:sz w:val="20"/>
          <w:szCs w:val="20"/>
          <w:lang w:eastAsia="cs-CZ"/>
        </w:rPr>
        <w:t>lněno.</w:t>
      </w:r>
      <w:r w:rsidR="00F21548" w:rsidRPr="007925F9">
        <w:rPr>
          <w:rFonts w:cs="Arial"/>
          <w:b/>
          <w:bCs/>
          <w:sz w:val="20"/>
          <w:szCs w:val="20"/>
          <w:lang w:eastAsia="cs-CZ"/>
        </w:rPr>
        <w:t xml:space="preserve"> </w:t>
      </w:r>
    </w:p>
    <w:p w14:paraId="33C0E3E7" w14:textId="77777777" w:rsidR="00112BC3" w:rsidRPr="00C31942" w:rsidRDefault="00112BC3" w:rsidP="00C2667B">
      <w:pPr>
        <w:tabs>
          <w:tab w:val="left" w:pos="720"/>
        </w:tabs>
        <w:rPr>
          <w:rFonts w:cs="Arial"/>
          <w:b/>
          <w:bCs/>
          <w:sz w:val="20"/>
          <w:szCs w:val="20"/>
          <w:lang w:eastAsia="cs-CZ"/>
        </w:rPr>
      </w:pPr>
    </w:p>
    <w:p w14:paraId="3574496F" w14:textId="3440FDB9" w:rsidR="00112BC3" w:rsidRPr="0040028B" w:rsidRDefault="00112BC3" w:rsidP="00C2667B">
      <w:pPr>
        <w:tabs>
          <w:tab w:val="left" w:pos="720"/>
        </w:tabs>
        <w:rPr>
          <w:rFonts w:cs="Arial"/>
          <w:b/>
          <w:bCs/>
          <w:sz w:val="20"/>
          <w:szCs w:val="20"/>
          <w:lang w:eastAsia="cs-CZ"/>
        </w:rPr>
      </w:pPr>
      <w:r w:rsidRPr="0040028B">
        <w:rPr>
          <w:rFonts w:cs="Arial"/>
          <w:b/>
          <w:bCs/>
          <w:sz w:val="20"/>
          <w:szCs w:val="20"/>
          <w:lang w:eastAsia="cs-CZ"/>
        </w:rPr>
        <w:t>PLNĚNÍ ČŠI:</w:t>
      </w:r>
    </w:p>
    <w:p w14:paraId="0B790E4C" w14:textId="0D5693D6" w:rsidR="0040028B" w:rsidRPr="0040028B" w:rsidRDefault="00ED2964" w:rsidP="00C2667B">
      <w:pPr>
        <w:tabs>
          <w:tab w:val="left" w:pos="720"/>
        </w:tabs>
        <w:rPr>
          <w:rFonts w:cs="Arial"/>
          <w:b/>
          <w:bCs/>
          <w:sz w:val="20"/>
          <w:szCs w:val="20"/>
          <w:lang w:eastAsia="cs-CZ"/>
        </w:rPr>
      </w:pPr>
      <w:r w:rsidRPr="0040028B">
        <w:rPr>
          <w:rFonts w:cs="Arial"/>
          <w:sz w:val="20"/>
          <w:szCs w:val="20"/>
          <w:lang w:eastAsia="cs-CZ"/>
        </w:rPr>
        <w:t>Provedené šetření bylo sekretariátu VVOZP zasláno.</w:t>
      </w:r>
      <w:r w:rsidRPr="0040028B">
        <w:rPr>
          <w:rFonts w:cs="Arial"/>
          <w:b/>
          <w:bCs/>
          <w:sz w:val="20"/>
          <w:szCs w:val="20"/>
          <w:lang w:eastAsia="cs-CZ"/>
        </w:rPr>
        <w:t xml:space="preserve"> </w:t>
      </w:r>
      <w:r w:rsidR="0040028B" w:rsidRPr="0040028B">
        <w:rPr>
          <w:sz w:val="20"/>
          <w:szCs w:val="20"/>
        </w:rPr>
        <w:t>Ve školním roce 2022/2023 vykonávalo činnost celkem 13 škol pro žáky se sluchovým postižením zřízených podle §16 odst. 9 zákona č. 561/2024 Sb., o předškolním, základním, středním, vyšším odborném a jiném vzdělávání (školský zákon), ve znění pozdějších předpisů. Všechny vykonávaly činnost předškolního vzdělávání, 12 z nich také činnost základního vzdělávání a 8 středního vzdělávání. Na otázku „Vyučujete ve Vaší škole český znakový jazyk?“ odpovědělo kladně 7 škol (54 %), záporně 6 škol (46 %).</w:t>
      </w:r>
    </w:p>
    <w:p w14:paraId="747311B7" w14:textId="407086F9" w:rsidR="00112BC3" w:rsidRPr="0040028B" w:rsidRDefault="00112BC3" w:rsidP="00C2667B">
      <w:pPr>
        <w:keepNext/>
        <w:tabs>
          <w:tab w:val="left" w:pos="720"/>
        </w:tabs>
        <w:rPr>
          <w:rFonts w:cs="Arial"/>
          <w:b/>
          <w:bCs/>
          <w:sz w:val="20"/>
          <w:szCs w:val="20"/>
          <w:lang w:eastAsia="cs-CZ"/>
        </w:rPr>
      </w:pPr>
      <w:r w:rsidRPr="0040028B">
        <w:rPr>
          <w:rFonts w:cs="Arial"/>
          <w:b/>
          <w:bCs/>
          <w:sz w:val="20"/>
          <w:szCs w:val="20"/>
          <w:lang w:eastAsia="cs-CZ"/>
        </w:rPr>
        <w:t>STANOVISKO K </w:t>
      </w:r>
      <w:r w:rsidRPr="00CB6100">
        <w:rPr>
          <w:rFonts w:cs="Arial"/>
          <w:b/>
          <w:bCs/>
          <w:sz w:val="20"/>
          <w:szCs w:val="20"/>
          <w:lang w:eastAsia="cs-CZ"/>
        </w:rPr>
        <w:t xml:space="preserve">PLNĚNÍ: </w:t>
      </w:r>
      <w:r w:rsidR="00F21548" w:rsidRPr="00CB6100">
        <w:rPr>
          <w:rFonts w:cs="Arial"/>
          <w:b/>
          <w:bCs/>
          <w:sz w:val="20"/>
          <w:szCs w:val="20"/>
          <w:lang w:eastAsia="cs-CZ"/>
        </w:rPr>
        <w:t>S</w:t>
      </w:r>
      <w:r w:rsidRPr="00CB6100">
        <w:rPr>
          <w:rFonts w:cs="Arial"/>
          <w:b/>
          <w:bCs/>
          <w:sz w:val="20"/>
          <w:szCs w:val="20"/>
          <w:lang w:eastAsia="cs-CZ"/>
        </w:rPr>
        <w:t>plněno.</w:t>
      </w:r>
      <w:r w:rsidR="00BC4412" w:rsidRPr="0040028B">
        <w:rPr>
          <w:rFonts w:cs="Arial"/>
          <w:b/>
          <w:bCs/>
          <w:sz w:val="20"/>
          <w:szCs w:val="20"/>
          <w:lang w:eastAsia="cs-CZ"/>
        </w:rPr>
        <w:t xml:space="preserve"> </w:t>
      </w:r>
    </w:p>
    <w:p w14:paraId="609595AA" w14:textId="6B276E0F" w:rsidR="00083DB7" w:rsidRPr="00C31942" w:rsidRDefault="00083DB7" w:rsidP="00C2667B">
      <w:pPr>
        <w:rPr>
          <w:rFonts w:cs="Arial"/>
          <w:sz w:val="20"/>
          <w:szCs w:val="20"/>
        </w:rPr>
      </w:pPr>
    </w:p>
    <w:p w14:paraId="6539003A" w14:textId="3D5CC413" w:rsidR="00A9639A" w:rsidRPr="0057756D" w:rsidRDefault="00A9639A" w:rsidP="00A9639A">
      <w:pPr>
        <w:rPr>
          <w:rFonts w:eastAsia="Calibri" w:cs="Arial"/>
          <w:szCs w:val="20"/>
        </w:rPr>
      </w:pPr>
      <w:r w:rsidRPr="0035060D">
        <w:rPr>
          <w:rFonts w:cs="Arial"/>
          <w:bCs/>
          <w:szCs w:val="20"/>
        </w:rPr>
        <w:t xml:space="preserve">Opatření </w:t>
      </w:r>
      <w:r>
        <w:rPr>
          <w:rFonts w:cs="Arial"/>
          <w:bCs/>
          <w:szCs w:val="20"/>
        </w:rPr>
        <w:t>8</w:t>
      </w:r>
      <w:r>
        <w:rPr>
          <w:rFonts w:cs="Arial"/>
          <w:szCs w:val="20"/>
        </w:rPr>
        <w:t xml:space="preserve">.3.5 </w:t>
      </w:r>
      <w:r w:rsidRPr="0057756D">
        <w:rPr>
          <w:rFonts w:eastAsia="Calibri" w:cs="Arial"/>
          <w:szCs w:val="20"/>
        </w:rPr>
        <w:t>Postupně rozšiřovat činnost škol a škol</w:t>
      </w:r>
      <w:r w:rsidR="00992207">
        <w:rPr>
          <w:rFonts w:eastAsia="Calibri" w:cs="Arial"/>
          <w:szCs w:val="20"/>
        </w:rPr>
        <w:t>ských zařízení pro děti, žáky a </w:t>
      </w:r>
      <w:r w:rsidRPr="0057756D">
        <w:rPr>
          <w:rFonts w:eastAsia="Calibri" w:cs="Arial"/>
          <w:szCs w:val="20"/>
        </w:rPr>
        <w:t xml:space="preserve">studenty se zdravotním postižením </w:t>
      </w:r>
      <w:r>
        <w:rPr>
          <w:rFonts w:eastAsia="Calibri" w:cs="Arial"/>
          <w:szCs w:val="20"/>
        </w:rPr>
        <w:t xml:space="preserve">zřízených podle § 16. odst. 9 </w:t>
      </w:r>
      <w:r w:rsidRPr="0057756D">
        <w:rPr>
          <w:rFonts w:eastAsia="Calibri" w:cs="Arial"/>
          <w:szCs w:val="20"/>
        </w:rPr>
        <w:t>zákona č. 561/2004 Sb., o předškolním, základním, středním, vyšším odborném a jiném vzdělávání (školský zákon)</w:t>
      </w:r>
      <w:r>
        <w:rPr>
          <w:rFonts w:eastAsia="Calibri" w:cs="Arial"/>
          <w:szCs w:val="20"/>
        </w:rPr>
        <w:t>, ve znění pozdějších předpisů,</w:t>
      </w:r>
      <w:r w:rsidRPr="0057756D">
        <w:rPr>
          <w:rFonts w:eastAsia="Calibri" w:cs="Arial"/>
          <w:szCs w:val="20"/>
        </w:rPr>
        <w:t xml:space="preserve"> o nabídku podpůrné péče a služeb včetně zajištění metodické pomoci pedagogům jiných škol a zákonným zástupcům, předávání příkladů dobré praxe apod. Školy samostatně zřízené pro tyto skupiny žáků využívat zejména pro </w:t>
      </w:r>
      <w:r w:rsidRPr="00653B79">
        <w:rPr>
          <w:rFonts w:eastAsia="Calibri" w:cs="Arial"/>
          <w:szCs w:val="20"/>
        </w:rPr>
        <w:t>žáky s nejtěžšími stupni postižení.</w:t>
      </w:r>
      <w:r w:rsidRPr="0057756D">
        <w:rPr>
          <w:rFonts w:eastAsia="Calibri" w:cs="Arial"/>
          <w:szCs w:val="20"/>
        </w:rPr>
        <w:t xml:space="preserve"> </w:t>
      </w:r>
    </w:p>
    <w:p w14:paraId="56CA92C7" w14:textId="77777777" w:rsidR="00A9639A" w:rsidRPr="0057756D" w:rsidRDefault="00A9639A" w:rsidP="004672CB">
      <w:pPr>
        <w:rPr>
          <w:rFonts w:eastAsia="Calibri" w:cs="Arial"/>
          <w:szCs w:val="20"/>
        </w:rPr>
      </w:pPr>
      <w:r>
        <w:rPr>
          <w:rFonts w:eastAsia="Calibri" w:cs="Arial"/>
          <w:szCs w:val="20"/>
        </w:rPr>
        <w:t xml:space="preserve">Termín: </w:t>
      </w:r>
      <w:proofErr w:type="gramStart"/>
      <w:r>
        <w:rPr>
          <w:rFonts w:eastAsia="Calibri" w:cs="Arial"/>
          <w:szCs w:val="20"/>
        </w:rPr>
        <w:t>31.12.2021</w:t>
      </w:r>
      <w:proofErr w:type="gramEnd"/>
      <w:r>
        <w:rPr>
          <w:rFonts w:eastAsia="Calibri" w:cs="Arial"/>
          <w:szCs w:val="20"/>
        </w:rPr>
        <w:t>, dále</w:t>
      </w:r>
      <w:r w:rsidRPr="0057756D">
        <w:rPr>
          <w:rFonts w:eastAsia="Calibri" w:cs="Arial"/>
          <w:szCs w:val="20"/>
        </w:rPr>
        <w:t xml:space="preserve"> průběžně</w:t>
      </w:r>
    </w:p>
    <w:p w14:paraId="346DB0BD" w14:textId="77777777" w:rsidR="00A9639A" w:rsidRDefault="00A9639A" w:rsidP="004672CB">
      <w:pPr>
        <w:rPr>
          <w:rFonts w:eastAsia="Calibri" w:cs="Arial"/>
          <w:szCs w:val="20"/>
        </w:rPr>
      </w:pPr>
      <w:r w:rsidRPr="0057756D">
        <w:rPr>
          <w:rFonts w:eastAsia="Calibri" w:cs="Arial"/>
          <w:szCs w:val="20"/>
        </w:rPr>
        <w:t>Gestor: MŠMT</w:t>
      </w:r>
    </w:p>
    <w:p w14:paraId="6F221155" w14:textId="2E72D689" w:rsidR="00A9639A" w:rsidRDefault="00A9639A" w:rsidP="004672CB">
      <w:pPr>
        <w:keepNext/>
        <w:rPr>
          <w:rFonts w:eastAsia="Calibri" w:cs="Arial"/>
          <w:szCs w:val="20"/>
        </w:rPr>
      </w:pPr>
      <w:r w:rsidRPr="00831152">
        <w:rPr>
          <w:rFonts w:cs="Arial"/>
          <w:szCs w:val="20"/>
        </w:rPr>
        <w:t>Indikátor:</w:t>
      </w:r>
      <w:r w:rsidRPr="00496714">
        <w:rPr>
          <w:rFonts w:eastAsia="Calibri" w:cs="Arial"/>
          <w:szCs w:val="20"/>
        </w:rPr>
        <w:t xml:space="preserve"> </w:t>
      </w:r>
      <w:r>
        <w:rPr>
          <w:rFonts w:eastAsia="Calibri" w:cs="Arial"/>
          <w:szCs w:val="20"/>
        </w:rPr>
        <w:t>Školy a školská</w:t>
      </w:r>
      <w:r w:rsidRPr="00CF1499">
        <w:rPr>
          <w:rFonts w:eastAsia="Calibri" w:cs="Arial"/>
          <w:szCs w:val="20"/>
        </w:rPr>
        <w:t xml:space="preserve"> zařízení </w:t>
      </w:r>
      <w:r>
        <w:rPr>
          <w:rFonts w:eastAsia="Calibri" w:cs="Arial"/>
          <w:szCs w:val="20"/>
        </w:rPr>
        <w:t xml:space="preserve">zřízená podle § 16. odst. 9 </w:t>
      </w:r>
      <w:r w:rsidRPr="0057756D">
        <w:rPr>
          <w:rFonts w:eastAsia="Calibri" w:cs="Arial"/>
          <w:szCs w:val="20"/>
        </w:rPr>
        <w:t>zákona č. 561/2004 Sb., o předškolním, základním, středním, vyšším odborném a jiném vzdělávání (školský zákon)</w:t>
      </w:r>
      <w:r>
        <w:rPr>
          <w:rFonts w:eastAsia="Calibri" w:cs="Arial"/>
          <w:szCs w:val="20"/>
        </w:rPr>
        <w:t>, ve znění pozdějších předpisů, nabízejí služby a metodickou pomoc ostatním školám.</w:t>
      </w:r>
    </w:p>
    <w:p w14:paraId="069D1B0B" w14:textId="77777777" w:rsidR="004672CB" w:rsidRDefault="004672CB" w:rsidP="004672CB">
      <w:pPr>
        <w:keepNext/>
        <w:rPr>
          <w:rFonts w:eastAsia="Calibri" w:cs="Arial"/>
          <w:szCs w:val="20"/>
        </w:rPr>
      </w:pPr>
    </w:p>
    <w:p w14:paraId="2F367C02" w14:textId="1C2CB2FF" w:rsidR="00A9639A" w:rsidRPr="007C5DED" w:rsidRDefault="00A9639A" w:rsidP="004672CB">
      <w:pPr>
        <w:tabs>
          <w:tab w:val="left" w:pos="720"/>
        </w:tabs>
        <w:rPr>
          <w:rFonts w:cs="Arial"/>
          <w:b/>
          <w:bCs/>
          <w:sz w:val="20"/>
          <w:szCs w:val="20"/>
          <w:lang w:eastAsia="cs-CZ"/>
        </w:rPr>
      </w:pPr>
      <w:r w:rsidRPr="007C5DED">
        <w:rPr>
          <w:rFonts w:cs="Arial"/>
          <w:b/>
          <w:bCs/>
          <w:sz w:val="20"/>
          <w:szCs w:val="20"/>
          <w:lang w:eastAsia="cs-CZ"/>
        </w:rPr>
        <w:t>PLNĚNÍ MŠMT:</w:t>
      </w:r>
    </w:p>
    <w:p w14:paraId="7BAE0215" w14:textId="71997875" w:rsidR="007C5DED" w:rsidRPr="007C5DED" w:rsidRDefault="007C5DED" w:rsidP="007C5DED">
      <w:pPr>
        <w:keepNext/>
        <w:rPr>
          <w:rFonts w:cs="Arial"/>
          <w:sz w:val="20"/>
          <w:szCs w:val="20"/>
        </w:rPr>
      </w:pPr>
      <w:r w:rsidRPr="007C5DED">
        <w:rPr>
          <w:rFonts w:cs="Arial"/>
          <w:sz w:val="20"/>
          <w:szCs w:val="20"/>
        </w:rPr>
        <w:t>V rámci Operačního programu Jan Amos Komenský je možné v realizovaných projektech ve výzvách Šablony I a v rámci projektů vyhlášených výzev zaměřených na akční plánování v území zajišťovat metodickou podporu pedagogickým pracovníkům včetně tématu vzdělávání dětí, žáků a studentů se zdravotním postižením v hlavním vzdělávacím proudu. Dále je možné žádat o finanční podporu na vzdělávání a spolupráci pedagogických pracovníků, odborně zaměřená tematická a komunitní setkávání a inovativní vzdělávání. Náplň aktivit se může zaměřovat na inkluzi a další témata.</w:t>
      </w:r>
    </w:p>
    <w:p w14:paraId="7BA0CF1C" w14:textId="4E37C889" w:rsidR="00A9639A" w:rsidRPr="007C5DED" w:rsidRDefault="00A9639A" w:rsidP="009249DE">
      <w:pPr>
        <w:keepNext/>
        <w:tabs>
          <w:tab w:val="left" w:pos="720"/>
        </w:tabs>
        <w:rPr>
          <w:rFonts w:cs="Arial"/>
          <w:b/>
          <w:bCs/>
          <w:sz w:val="20"/>
          <w:szCs w:val="20"/>
          <w:lang w:eastAsia="cs-CZ"/>
        </w:rPr>
      </w:pPr>
      <w:r w:rsidRPr="007C5DED">
        <w:rPr>
          <w:rFonts w:cs="Arial"/>
          <w:b/>
          <w:bCs/>
          <w:sz w:val="20"/>
          <w:szCs w:val="20"/>
          <w:lang w:eastAsia="cs-CZ"/>
        </w:rPr>
        <w:t>STANOVISKO K PLNĚNÍ: Plněno.</w:t>
      </w:r>
    </w:p>
    <w:p w14:paraId="5FADCF91" w14:textId="77777777" w:rsidR="00857ED1" w:rsidRPr="009249DE" w:rsidRDefault="00857ED1" w:rsidP="009249DE">
      <w:pPr>
        <w:rPr>
          <w:rFonts w:cs="Arial"/>
          <w:bCs/>
          <w:sz w:val="20"/>
          <w:szCs w:val="20"/>
        </w:rPr>
      </w:pPr>
    </w:p>
    <w:p w14:paraId="041C4F21" w14:textId="43C46043" w:rsidR="00857ED1" w:rsidRPr="005B0304" w:rsidRDefault="00857ED1" w:rsidP="00857ED1">
      <w:pPr>
        <w:rPr>
          <w:rFonts w:cs="Arial"/>
          <w:szCs w:val="20"/>
        </w:rPr>
      </w:pPr>
      <w:r w:rsidRPr="0035060D">
        <w:rPr>
          <w:rFonts w:cs="Arial"/>
          <w:bCs/>
          <w:szCs w:val="20"/>
        </w:rPr>
        <w:lastRenderedPageBreak/>
        <w:t xml:space="preserve">Opatření </w:t>
      </w:r>
      <w:r>
        <w:rPr>
          <w:rFonts w:cs="Arial"/>
          <w:bCs/>
          <w:szCs w:val="20"/>
        </w:rPr>
        <w:t>8</w:t>
      </w:r>
      <w:r>
        <w:rPr>
          <w:rFonts w:cs="Arial"/>
          <w:szCs w:val="20"/>
        </w:rPr>
        <w:t xml:space="preserve">.3.6 </w:t>
      </w:r>
      <w:r>
        <w:rPr>
          <w:rFonts w:eastAsia="Calibri" w:cs="Arial"/>
          <w:szCs w:val="20"/>
        </w:rPr>
        <w:t>Zajistit</w:t>
      </w:r>
      <w:r w:rsidRPr="0057756D">
        <w:rPr>
          <w:rFonts w:eastAsia="Calibri" w:cs="Arial"/>
          <w:szCs w:val="20"/>
        </w:rPr>
        <w:t xml:space="preserve"> a pravidelně vyhodnocovat poskytování metodic</w:t>
      </w:r>
      <w:r>
        <w:rPr>
          <w:rFonts w:eastAsia="Calibri" w:cs="Arial"/>
          <w:szCs w:val="20"/>
        </w:rPr>
        <w:t>ké podpory asistentům pedagoga prostřednictvím uceleného</w:t>
      </w:r>
      <w:r w:rsidRPr="005B0304">
        <w:rPr>
          <w:rFonts w:cs="Arial"/>
          <w:szCs w:val="20"/>
        </w:rPr>
        <w:t xml:space="preserve"> systé</w:t>
      </w:r>
      <w:r>
        <w:rPr>
          <w:rFonts w:cs="Arial"/>
          <w:szCs w:val="20"/>
        </w:rPr>
        <w:t>mu</w:t>
      </w:r>
      <w:r w:rsidRPr="005B0304">
        <w:rPr>
          <w:rFonts w:cs="Arial"/>
          <w:szCs w:val="20"/>
        </w:rPr>
        <w:t xml:space="preserve"> metodického vedení </w:t>
      </w:r>
      <w:r>
        <w:rPr>
          <w:rFonts w:cs="Arial"/>
          <w:szCs w:val="20"/>
        </w:rPr>
        <w:t>a dalšího vzdělávání s důrazem na specifika jednotlivých</w:t>
      </w:r>
      <w:r w:rsidRPr="005B0304">
        <w:rPr>
          <w:rFonts w:cs="Arial"/>
          <w:szCs w:val="20"/>
        </w:rPr>
        <w:t xml:space="preserve"> </w:t>
      </w:r>
      <w:r>
        <w:rPr>
          <w:rFonts w:cs="Arial"/>
          <w:szCs w:val="20"/>
        </w:rPr>
        <w:t>druhů</w:t>
      </w:r>
      <w:r w:rsidRPr="005B0304">
        <w:rPr>
          <w:rFonts w:cs="Arial"/>
          <w:szCs w:val="20"/>
        </w:rPr>
        <w:t xml:space="preserve"> zdravotního postižení.</w:t>
      </w:r>
    </w:p>
    <w:p w14:paraId="4D1457F0" w14:textId="77777777" w:rsidR="00857ED1" w:rsidRPr="005B0304" w:rsidRDefault="00857ED1" w:rsidP="00857ED1">
      <w:pPr>
        <w:rPr>
          <w:rFonts w:cs="Arial"/>
          <w:szCs w:val="20"/>
        </w:rPr>
      </w:pPr>
      <w:r w:rsidRPr="005B0304">
        <w:rPr>
          <w:rFonts w:cs="Arial"/>
          <w:szCs w:val="20"/>
        </w:rPr>
        <w:t>Termín</w:t>
      </w:r>
      <w:r w:rsidRPr="0095794C">
        <w:rPr>
          <w:rFonts w:cs="Arial"/>
          <w:szCs w:val="20"/>
        </w:rPr>
        <w:t xml:space="preserve">: </w:t>
      </w:r>
      <w:proofErr w:type="gramStart"/>
      <w:r>
        <w:rPr>
          <w:rFonts w:cs="Arial"/>
          <w:szCs w:val="20"/>
        </w:rPr>
        <w:t>31.12.2021</w:t>
      </w:r>
      <w:proofErr w:type="gramEnd"/>
      <w:r>
        <w:rPr>
          <w:rFonts w:cs="Arial"/>
          <w:szCs w:val="20"/>
        </w:rPr>
        <w:t>, dále průběžně</w:t>
      </w:r>
    </w:p>
    <w:p w14:paraId="207E7FCF" w14:textId="77777777" w:rsidR="00857ED1" w:rsidRPr="005B0304" w:rsidRDefault="00857ED1" w:rsidP="00857ED1">
      <w:pPr>
        <w:rPr>
          <w:rFonts w:cs="Arial"/>
          <w:szCs w:val="20"/>
        </w:rPr>
      </w:pPr>
      <w:r w:rsidRPr="005B0304">
        <w:rPr>
          <w:rFonts w:cs="Arial"/>
          <w:szCs w:val="20"/>
        </w:rPr>
        <w:t>Gestor: MŠMT</w:t>
      </w:r>
      <w:r>
        <w:rPr>
          <w:rFonts w:cs="Arial"/>
          <w:szCs w:val="20"/>
        </w:rPr>
        <w:t xml:space="preserve"> </w:t>
      </w:r>
    </w:p>
    <w:p w14:paraId="2FF9F813" w14:textId="77777777" w:rsidR="00857ED1" w:rsidRPr="00A57047" w:rsidRDefault="00857ED1" w:rsidP="00857ED1">
      <w:pPr>
        <w:spacing w:after="480"/>
        <w:rPr>
          <w:rFonts w:cs="Arial"/>
          <w:szCs w:val="20"/>
        </w:rPr>
      </w:pPr>
      <w:r w:rsidRPr="00831152">
        <w:rPr>
          <w:rFonts w:cs="Arial"/>
          <w:szCs w:val="20"/>
        </w:rPr>
        <w:t>Indikátor:</w:t>
      </w:r>
      <w:r>
        <w:rPr>
          <w:rFonts w:cs="Arial"/>
          <w:szCs w:val="20"/>
        </w:rPr>
        <w:t xml:space="preserve"> Uvedená metodická podpora je zajištěna a pravidelně vyhodnocována.</w:t>
      </w:r>
    </w:p>
    <w:p w14:paraId="7A879813" w14:textId="3B5AE4CC" w:rsidR="00857ED1" w:rsidRPr="00D56CB6" w:rsidRDefault="00857ED1" w:rsidP="006C04A1">
      <w:pPr>
        <w:tabs>
          <w:tab w:val="left" w:pos="720"/>
        </w:tabs>
        <w:rPr>
          <w:rFonts w:cs="Arial"/>
          <w:b/>
          <w:bCs/>
          <w:sz w:val="20"/>
          <w:szCs w:val="20"/>
          <w:lang w:eastAsia="cs-CZ"/>
        </w:rPr>
      </w:pPr>
      <w:r w:rsidRPr="00D56CB6">
        <w:rPr>
          <w:rFonts w:cs="Arial"/>
          <w:b/>
          <w:bCs/>
          <w:sz w:val="20"/>
          <w:szCs w:val="20"/>
          <w:lang w:eastAsia="cs-CZ"/>
        </w:rPr>
        <w:t>PLNĚNÍ MŠMT:</w:t>
      </w:r>
    </w:p>
    <w:p w14:paraId="048341AF" w14:textId="77777777" w:rsidR="00D56CB6" w:rsidRPr="00D56CB6" w:rsidRDefault="00D56CB6" w:rsidP="00D56CB6">
      <w:pPr>
        <w:rPr>
          <w:rFonts w:cs="Arial"/>
          <w:sz w:val="20"/>
          <w:szCs w:val="20"/>
        </w:rPr>
      </w:pPr>
      <w:r w:rsidRPr="00D56CB6">
        <w:rPr>
          <w:sz w:val="20"/>
          <w:szCs w:val="20"/>
        </w:rPr>
        <w:t xml:space="preserve">Na základě vyhlášky č. 72/2005 Sb. jsou asistenti pedagoga metodicky vedeni školním speciálním pedagogem, případně výchovným poradcem, ve spolupráci se školským poradenským zařízením. </w:t>
      </w:r>
      <w:r w:rsidRPr="00D56CB6">
        <w:rPr>
          <w:rFonts w:cs="Arial"/>
          <w:sz w:val="20"/>
          <w:szCs w:val="20"/>
        </w:rPr>
        <w:t>Základní školy mohou nárokově čerpat finanční prostředky z výzvy Operačního programu Jan Amos Komenský Šablony pro MŠ a ZŠ I na školní psychology či školní speciální pedagogy, od ledna 2025 MŠMT předpokládá zajištění financování těchto pozic ze státního rozpočtu, aby byly standardní součástí školního poradenského pracoviště běžných základních škol.</w:t>
      </w:r>
    </w:p>
    <w:p w14:paraId="3AE5AA7A" w14:textId="49B879E1" w:rsidR="00D56CB6" w:rsidRPr="00D56CB6" w:rsidRDefault="00D56CB6" w:rsidP="00D56CB6">
      <w:pPr>
        <w:rPr>
          <w:rFonts w:eastAsia="Arial" w:cs="Arial"/>
          <w:sz w:val="20"/>
          <w:szCs w:val="20"/>
        </w:rPr>
      </w:pPr>
      <w:r w:rsidRPr="00D56CB6">
        <w:rPr>
          <w:rFonts w:cs="Arial"/>
          <w:sz w:val="20"/>
          <w:szCs w:val="20"/>
        </w:rPr>
        <w:t xml:space="preserve">V roce 2023 byla NPI ČR poskytována podpora asistentům pedagoga formou metodických materiálů vztahujících se zejména ke spolupráci učitele a asistenta pedagoga - </w:t>
      </w:r>
      <w:hyperlink r:id="rId98">
        <w:r w:rsidRPr="00D56CB6">
          <w:rPr>
            <w:rStyle w:val="Hypertextovodkaz"/>
            <w:rFonts w:cs="Arial"/>
            <w:sz w:val="20"/>
            <w:szCs w:val="20"/>
          </w:rPr>
          <w:t>dostupné zde</w:t>
        </w:r>
      </w:hyperlink>
      <w:r w:rsidRPr="00D56CB6">
        <w:rPr>
          <w:rStyle w:val="Hypertextovodkaz"/>
          <w:rFonts w:cs="Arial"/>
          <w:sz w:val="20"/>
          <w:szCs w:val="20"/>
        </w:rPr>
        <w:t>.</w:t>
      </w:r>
      <w:r w:rsidRPr="00D56CB6">
        <w:rPr>
          <w:rFonts w:cs="Arial"/>
          <w:sz w:val="20"/>
          <w:szCs w:val="20"/>
        </w:rPr>
        <w:t xml:space="preserve">  K tomuto tématu bylo realizováno online vzdělávání formou webinářů. Na webovém portálu </w:t>
      </w:r>
      <w:hyperlink r:id="rId99">
        <w:r w:rsidRPr="00D56CB6">
          <w:rPr>
            <w:rStyle w:val="Hypertextovodkaz"/>
            <w:rFonts w:cs="Arial"/>
            <w:sz w:val="20"/>
            <w:szCs w:val="20"/>
          </w:rPr>
          <w:t>www.zapojmevsechny.cz</w:t>
        </w:r>
      </w:hyperlink>
      <w:r w:rsidRPr="00D56CB6">
        <w:rPr>
          <w:rFonts w:cs="Arial"/>
          <w:sz w:val="20"/>
          <w:szCs w:val="20"/>
        </w:rPr>
        <w:t xml:space="preserve"> jsou dostupné materiály také pro skupinu asistentů pedagoga.</w:t>
      </w:r>
    </w:p>
    <w:p w14:paraId="4D15197E" w14:textId="1F5C1E09" w:rsidR="00857ED1" w:rsidRPr="00D56CB6" w:rsidRDefault="00857ED1" w:rsidP="006C04A1">
      <w:pPr>
        <w:keepNext/>
        <w:tabs>
          <w:tab w:val="left" w:pos="720"/>
        </w:tabs>
        <w:rPr>
          <w:rFonts w:cs="Arial"/>
          <w:b/>
          <w:bCs/>
          <w:sz w:val="20"/>
          <w:szCs w:val="20"/>
          <w:lang w:eastAsia="cs-CZ"/>
        </w:rPr>
      </w:pPr>
      <w:r w:rsidRPr="00D56CB6">
        <w:rPr>
          <w:rFonts w:cs="Arial"/>
          <w:b/>
          <w:bCs/>
          <w:sz w:val="20"/>
          <w:szCs w:val="20"/>
          <w:lang w:eastAsia="cs-CZ"/>
        </w:rPr>
        <w:t>STANOVISKO K PLNĚNÍ: Plněno.</w:t>
      </w:r>
    </w:p>
    <w:p w14:paraId="62B62384" w14:textId="77777777" w:rsidR="00A9639A" w:rsidRPr="00D56CB6" w:rsidRDefault="00A9639A" w:rsidP="006C04A1">
      <w:pPr>
        <w:rPr>
          <w:rFonts w:cs="Arial"/>
          <w:sz w:val="20"/>
          <w:szCs w:val="20"/>
        </w:rPr>
      </w:pPr>
    </w:p>
    <w:p w14:paraId="3242370F" w14:textId="77777777" w:rsidR="006B3285" w:rsidRDefault="006B3285" w:rsidP="00DE5661">
      <w:pPr>
        <w:rPr>
          <w:rFonts w:cs="Arial"/>
          <w:szCs w:val="20"/>
        </w:rPr>
      </w:pPr>
      <w:r w:rsidRPr="0035060D">
        <w:rPr>
          <w:rFonts w:cs="Arial"/>
          <w:bCs/>
          <w:szCs w:val="20"/>
        </w:rPr>
        <w:t xml:space="preserve">Opatření </w:t>
      </w:r>
      <w:r>
        <w:rPr>
          <w:rFonts w:cs="Arial"/>
          <w:bCs/>
          <w:szCs w:val="20"/>
        </w:rPr>
        <w:t>8</w:t>
      </w:r>
      <w:r>
        <w:rPr>
          <w:rFonts w:cs="Arial"/>
          <w:szCs w:val="20"/>
        </w:rPr>
        <w:t xml:space="preserve">.3.7 </w:t>
      </w:r>
      <w:r w:rsidRPr="008079AD">
        <w:rPr>
          <w:rFonts w:cs="Arial"/>
          <w:szCs w:val="20"/>
        </w:rPr>
        <w:t xml:space="preserve">V závislosti na zmapování zájmu připravit a realizovat kurzy dalšího vzdělávání </w:t>
      </w:r>
      <w:r>
        <w:rPr>
          <w:rFonts w:cs="Arial"/>
          <w:szCs w:val="20"/>
        </w:rPr>
        <w:t>„</w:t>
      </w:r>
      <w:r w:rsidRPr="008079AD">
        <w:rPr>
          <w:rFonts w:cs="Arial"/>
          <w:szCs w:val="20"/>
        </w:rPr>
        <w:t>Instruktor prostorové orientace a samostat</w:t>
      </w:r>
      <w:r>
        <w:rPr>
          <w:rFonts w:cs="Arial"/>
          <w:szCs w:val="20"/>
        </w:rPr>
        <w:t>ného pohybu zrakově postižených“</w:t>
      </w:r>
      <w:r w:rsidRPr="008079AD">
        <w:rPr>
          <w:rFonts w:cs="Arial"/>
          <w:szCs w:val="20"/>
        </w:rPr>
        <w:t>.</w:t>
      </w:r>
    </w:p>
    <w:p w14:paraId="31471962" w14:textId="77777777" w:rsidR="006B3285" w:rsidRDefault="006B3285" w:rsidP="00DE5661">
      <w:pPr>
        <w:rPr>
          <w:rFonts w:cs="Arial"/>
          <w:szCs w:val="20"/>
        </w:rPr>
      </w:pPr>
      <w:r>
        <w:rPr>
          <w:rFonts w:cs="Arial"/>
          <w:szCs w:val="20"/>
        </w:rPr>
        <w:t xml:space="preserve">Termín: </w:t>
      </w:r>
      <w:proofErr w:type="gramStart"/>
      <w:r>
        <w:rPr>
          <w:rFonts w:cs="Arial"/>
          <w:szCs w:val="20"/>
        </w:rPr>
        <w:t>31.12.2021</w:t>
      </w:r>
      <w:proofErr w:type="gramEnd"/>
      <w:r>
        <w:rPr>
          <w:rFonts w:cs="Arial"/>
          <w:szCs w:val="20"/>
        </w:rPr>
        <w:t xml:space="preserve">, </w:t>
      </w:r>
      <w:r w:rsidR="00422996">
        <w:rPr>
          <w:rFonts w:cs="Arial"/>
          <w:szCs w:val="20"/>
        </w:rPr>
        <w:t xml:space="preserve">dále </w:t>
      </w:r>
      <w:r>
        <w:rPr>
          <w:rFonts w:cs="Arial"/>
          <w:szCs w:val="20"/>
        </w:rPr>
        <w:t>průběžně</w:t>
      </w:r>
    </w:p>
    <w:p w14:paraId="4AAB21A0" w14:textId="77777777" w:rsidR="001127FE" w:rsidRDefault="006B3285" w:rsidP="00DE5661">
      <w:pPr>
        <w:rPr>
          <w:rFonts w:cs="Arial"/>
          <w:szCs w:val="20"/>
        </w:rPr>
      </w:pPr>
      <w:r w:rsidRPr="005B0304">
        <w:rPr>
          <w:rFonts w:cs="Arial"/>
          <w:szCs w:val="20"/>
        </w:rPr>
        <w:t xml:space="preserve">Gestor: MŠMT </w:t>
      </w:r>
    </w:p>
    <w:p w14:paraId="291EC478" w14:textId="60BF0983" w:rsidR="000C58FA" w:rsidRDefault="006B3285" w:rsidP="00DE5661">
      <w:pPr>
        <w:rPr>
          <w:rFonts w:cs="Arial"/>
          <w:szCs w:val="20"/>
        </w:rPr>
      </w:pPr>
      <w:r w:rsidRPr="00831152">
        <w:rPr>
          <w:rFonts w:cs="Arial"/>
          <w:szCs w:val="20"/>
        </w:rPr>
        <w:t>Indikátor:</w:t>
      </w:r>
      <w:r>
        <w:rPr>
          <w:rFonts w:cs="Arial"/>
          <w:szCs w:val="20"/>
        </w:rPr>
        <w:t xml:space="preserve"> Program je v případě zájmu průběžně zajišťován a financován.</w:t>
      </w:r>
    </w:p>
    <w:p w14:paraId="1BDCC0BB" w14:textId="77777777" w:rsidR="00DE5661" w:rsidRPr="00DA5938" w:rsidRDefault="00DE5661" w:rsidP="00DE5661">
      <w:pPr>
        <w:rPr>
          <w:rFonts w:cs="Arial"/>
          <w:sz w:val="20"/>
          <w:szCs w:val="20"/>
        </w:rPr>
      </w:pPr>
    </w:p>
    <w:p w14:paraId="4FE1F57D" w14:textId="32B755AE" w:rsidR="00415E15" w:rsidRPr="003A7DC9" w:rsidRDefault="00415E15" w:rsidP="00DE5661">
      <w:pPr>
        <w:tabs>
          <w:tab w:val="left" w:pos="720"/>
        </w:tabs>
        <w:rPr>
          <w:rFonts w:cs="Arial"/>
          <w:b/>
          <w:bCs/>
          <w:sz w:val="20"/>
          <w:szCs w:val="20"/>
          <w:lang w:eastAsia="cs-CZ"/>
        </w:rPr>
      </w:pPr>
      <w:r w:rsidRPr="003A7DC9">
        <w:rPr>
          <w:rFonts w:cs="Arial"/>
          <w:b/>
          <w:bCs/>
          <w:sz w:val="20"/>
          <w:szCs w:val="20"/>
          <w:lang w:eastAsia="cs-CZ"/>
        </w:rPr>
        <w:t>PLNĚNÍ MŠMT:</w:t>
      </w:r>
    </w:p>
    <w:p w14:paraId="3965E93F" w14:textId="026207CF" w:rsidR="003A7DC9" w:rsidRPr="003A7DC9" w:rsidRDefault="003A7DC9" w:rsidP="003A7DC9">
      <w:pPr>
        <w:rPr>
          <w:rFonts w:cs="Arial"/>
          <w:sz w:val="20"/>
          <w:szCs w:val="20"/>
        </w:rPr>
      </w:pPr>
      <w:r w:rsidRPr="003A7DC9">
        <w:rPr>
          <w:rFonts w:cs="Arial"/>
          <w:sz w:val="20"/>
          <w:szCs w:val="20"/>
        </w:rPr>
        <w:t>NPI ČR v roce 2023 realizoval dvoudenní prezenční vzdělávání při Krajském pracovišti Brno v tématu prostorové orientace a samostatného pohybu zrakově pos</w:t>
      </w:r>
      <w:r w:rsidR="00992207">
        <w:rPr>
          <w:rFonts w:cs="Arial"/>
          <w:sz w:val="20"/>
          <w:szCs w:val="20"/>
        </w:rPr>
        <w:t>tižených Prostorová orientace a </w:t>
      </w:r>
      <w:r w:rsidRPr="003A7DC9">
        <w:rPr>
          <w:rFonts w:cs="Arial"/>
          <w:sz w:val="20"/>
          <w:szCs w:val="20"/>
        </w:rPr>
        <w:t>sebeobslužné dovednosti u dětí předškolního a žáků školního věku s těžkým zrakovým postižením. Vzdělávání proběhlo ve spolupráci se Střední školou, základní školou a mateřskou školou pro zrakově postižené, Brno, Kamenomlýnská 2.</w:t>
      </w:r>
    </w:p>
    <w:p w14:paraId="7C5C56E2" w14:textId="5167A079" w:rsidR="00415E15" w:rsidRPr="003A7DC9" w:rsidRDefault="00415E15" w:rsidP="00DE5661">
      <w:pPr>
        <w:keepNext/>
        <w:tabs>
          <w:tab w:val="left" w:pos="720"/>
        </w:tabs>
        <w:rPr>
          <w:rFonts w:cs="Arial"/>
          <w:b/>
          <w:bCs/>
          <w:sz w:val="20"/>
          <w:szCs w:val="20"/>
          <w:lang w:eastAsia="cs-CZ"/>
        </w:rPr>
      </w:pPr>
      <w:r w:rsidRPr="003A7DC9">
        <w:rPr>
          <w:rFonts w:cs="Arial"/>
          <w:b/>
          <w:bCs/>
          <w:sz w:val="20"/>
          <w:szCs w:val="20"/>
          <w:lang w:eastAsia="cs-CZ"/>
        </w:rPr>
        <w:t>STANOVISKO K PLNĚNÍ:</w:t>
      </w:r>
      <w:r w:rsidR="000A1011" w:rsidRPr="003A7DC9">
        <w:rPr>
          <w:rFonts w:cs="Arial"/>
          <w:b/>
          <w:bCs/>
          <w:sz w:val="20"/>
          <w:szCs w:val="20"/>
          <w:lang w:eastAsia="cs-CZ"/>
        </w:rPr>
        <w:t xml:space="preserve"> P</w:t>
      </w:r>
      <w:r w:rsidR="009A1E21" w:rsidRPr="003A7DC9">
        <w:rPr>
          <w:rFonts w:cs="Arial"/>
          <w:b/>
          <w:bCs/>
          <w:sz w:val="20"/>
          <w:szCs w:val="20"/>
          <w:lang w:eastAsia="cs-CZ"/>
        </w:rPr>
        <w:t>lněno.</w:t>
      </w:r>
    </w:p>
    <w:p w14:paraId="48CFE98D" w14:textId="638C5B88" w:rsidR="000A6343" w:rsidRPr="00CB4900" w:rsidRDefault="000A6343" w:rsidP="000A6343">
      <w:pPr>
        <w:rPr>
          <w:rFonts w:cs="Arial"/>
          <w:sz w:val="20"/>
          <w:szCs w:val="20"/>
        </w:rPr>
      </w:pPr>
    </w:p>
    <w:p w14:paraId="0EA81282" w14:textId="78CC185F" w:rsidR="000A6343" w:rsidRPr="00365DD5" w:rsidRDefault="000A6343" w:rsidP="000A6343">
      <w:pPr>
        <w:rPr>
          <w:rFonts w:cs="Arial"/>
          <w:szCs w:val="20"/>
        </w:rPr>
      </w:pPr>
      <w:r w:rsidRPr="0035060D">
        <w:rPr>
          <w:rFonts w:cs="Arial"/>
          <w:bCs/>
          <w:szCs w:val="20"/>
        </w:rPr>
        <w:t xml:space="preserve">Opatření </w:t>
      </w:r>
      <w:r>
        <w:rPr>
          <w:rFonts w:cs="Arial"/>
          <w:bCs/>
          <w:szCs w:val="20"/>
        </w:rPr>
        <w:t>8</w:t>
      </w:r>
      <w:r>
        <w:rPr>
          <w:rFonts w:cs="Arial"/>
          <w:szCs w:val="20"/>
        </w:rPr>
        <w:t xml:space="preserve">.3.9 </w:t>
      </w:r>
      <w:r w:rsidRPr="00A53A40">
        <w:rPr>
          <w:rFonts w:eastAsia="Calibri" w:cs="Arial"/>
          <w:szCs w:val="20"/>
        </w:rPr>
        <w:t>V závislosti na údajích z elektronického evidenčního systému vytvořit v případě potřeby krajské půjčovny pomůcek poskytovaných jako podpůrné opatření pro</w:t>
      </w:r>
      <w:r>
        <w:rPr>
          <w:rFonts w:eastAsia="Calibri" w:cs="Arial"/>
          <w:szCs w:val="20"/>
        </w:rPr>
        <w:t> </w:t>
      </w:r>
      <w:r w:rsidRPr="00A53A40">
        <w:rPr>
          <w:rFonts w:eastAsia="Calibri" w:cs="Arial"/>
          <w:szCs w:val="20"/>
        </w:rPr>
        <w:t>žáky se speciálními vzdělávacími potřebami, které budou distribuovat investiční a ve vybraných případech i neinvestiční pomůcky školám vzdělávajícím žáky se SVP formou zápůjčky.</w:t>
      </w:r>
    </w:p>
    <w:p w14:paraId="60DACF67" w14:textId="2F997C6F" w:rsidR="000A6343" w:rsidRPr="0057756D" w:rsidRDefault="000A6343" w:rsidP="000A6343">
      <w:pPr>
        <w:rPr>
          <w:rFonts w:cs="Arial"/>
          <w:szCs w:val="20"/>
        </w:rPr>
      </w:pPr>
      <w:r w:rsidRPr="0057756D">
        <w:rPr>
          <w:rFonts w:cs="Arial"/>
          <w:szCs w:val="20"/>
        </w:rPr>
        <w:t xml:space="preserve">Termín: </w:t>
      </w:r>
      <w:proofErr w:type="gramStart"/>
      <w:r w:rsidRPr="0057756D">
        <w:rPr>
          <w:rFonts w:cs="Arial"/>
          <w:szCs w:val="20"/>
        </w:rPr>
        <w:t>31</w:t>
      </w:r>
      <w:r>
        <w:rPr>
          <w:rFonts w:cs="Arial"/>
          <w:szCs w:val="20"/>
        </w:rPr>
        <w:t>.</w:t>
      </w:r>
      <w:r w:rsidR="004673D4">
        <w:rPr>
          <w:rFonts w:cs="Arial"/>
          <w:szCs w:val="20"/>
        </w:rPr>
        <w:t>12.2023</w:t>
      </w:r>
      <w:proofErr w:type="gramEnd"/>
    </w:p>
    <w:p w14:paraId="45539BE0" w14:textId="77777777" w:rsidR="000A6343" w:rsidRDefault="000A6343" w:rsidP="000A6343">
      <w:pPr>
        <w:rPr>
          <w:rFonts w:cs="Arial"/>
          <w:szCs w:val="20"/>
        </w:rPr>
      </w:pPr>
      <w:r w:rsidRPr="0057756D">
        <w:rPr>
          <w:rFonts w:cs="Arial"/>
          <w:szCs w:val="20"/>
        </w:rPr>
        <w:t>Gestor: MŠMT</w:t>
      </w:r>
    </w:p>
    <w:p w14:paraId="338FCB13" w14:textId="37DD6135" w:rsidR="000A6343" w:rsidRDefault="000A6343" w:rsidP="000A6343">
      <w:pPr>
        <w:keepNext/>
        <w:spacing w:before="120" w:after="480"/>
        <w:rPr>
          <w:rFonts w:cs="Arial"/>
          <w:szCs w:val="20"/>
        </w:rPr>
      </w:pPr>
      <w:r w:rsidRPr="00831152">
        <w:rPr>
          <w:rFonts w:cs="Arial"/>
          <w:szCs w:val="20"/>
        </w:rPr>
        <w:t>Indikátor:</w:t>
      </w:r>
      <w:r>
        <w:rPr>
          <w:rFonts w:cs="Arial"/>
          <w:szCs w:val="20"/>
        </w:rPr>
        <w:t xml:space="preserve"> V případě potřeby byly vytvořeny krajské půjčovny uvedených pomůcek.</w:t>
      </w:r>
    </w:p>
    <w:p w14:paraId="100F5888" w14:textId="349F5823" w:rsidR="000A6343" w:rsidRPr="00270EE2" w:rsidRDefault="000A6343" w:rsidP="006042C5">
      <w:pPr>
        <w:tabs>
          <w:tab w:val="left" w:pos="720"/>
        </w:tabs>
        <w:rPr>
          <w:rFonts w:cs="Arial"/>
          <w:b/>
          <w:bCs/>
          <w:sz w:val="20"/>
          <w:szCs w:val="20"/>
          <w:lang w:eastAsia="cs-CZ"/>
        </w:rPr>
      </w:pPr>
      <w:r w:rsidRPr="00270EE2">
        <w:rPr>
          <w:rFonts w:cs="Arial"/>
          <w:b/>
          <w:bCs/>
          <w:sz w:val="20"/>
          <w:szCs w:val="20"/>
          <w:lang w:eastAsia="cs-CZ"/>
        </w:rPr>
        <w:t>PLNĚNÍ MŠMT:</w:t>
      </w:r>
    </w:p>
    <w:p w14:paraId="5DF75017" w14:textId="6FB62959" w:rsidR="00270EE2" w:rsidRPr="00270EE2" w:rsidRDefault="00270EE2" w:rsidP="00270EE2">
      <w:pPr>
        <w:keepNext/>
        <w:rPr>
          <w:rFonts w:cs="Arial"/>
          <w:sz w:val="20"/>
          <w:szCs w:val="20"/>
        </w:rPr>
      </w:pPr>
      <w:r w:rsidRPr="00270EE2">
        <w:rPr>
          <w:rFonts w:cs="Arial"/>
          <w:sz w:val="20"/>
          <w:szCs w:val="20"/>
        </w:rPr>
        <w:lastRenderedPageBreak/>
        <w:t xml:space="preserve">Elektronický evidenční systém se připravuje. Pro zajištění investičních podpůrných opatření MŠMT vyhlašuje program </w:t>
      </w:r>
      <w:hyperlink r:id="rId100" w:history="1">
        <w:r w:rsidRPr="00270EE2">
          <w:rPr>
            <w:rStyle w:val="Hypertextovodkaz"/>
            <w:rFonts w:cs="Arial"/>
            <w:sz w:val="20"/>
            <w:szCs w:val="20"/>
          </w:rPr>
          <w:t>Podpora zajištění vybraných investičních podpůrných opatření při vzdělávání dětí, žáků a studentů se speciálními vzdělávacími potřebami</w:t>
        </w:r>
      </w:hyperlink>
      <w:r w:rsidRPr="00270EE2">
        <w:rPr>
          <w:rFonts w:cs="Arial"/>
          <w:sz w:val="20"/>
          <w:szCs w:val="20"/>
        </w:rPr>
        <w:t>.</w:t>
      </w:r>
    </w:p>
    <w:p w14:paraId="42E6FAC1" w14:textId="6B4DF79B" w:rsidR="000A6343" w:rsidRPr="00270EE2" w:rsidRDefault="000A6343" w:rsidP="006042C5">
      <w:pPr>
        <w:keepNext/>
        <w:tabs>
          <w:tab w:val="left" w:pos="720"/>
        </w:tabs>
        <w:rPr>
          <w:rFonts w:cs="Arial"/>
          <w:b/>
          <w:bCs/>
          <w:sz w:val="20"/>
          <w:szCs w:val="20"/>
          <w:lang w:eastAsia="cs-CZ"/>
        </w:rPr>
      </w:pPr>
      <w:r w:rsidRPr="00270EE2">
        <w:rPr>
          <w:rFonts w:cs="Arial"/>
          <w:b/>
          <w:bCs/>
          <w:sz w:val="20"/>
          <w:szCs w:val="20"/>
          <w:lang w:eastAsia="cs-CZ"/>
        </w:rPr>
        <w:t xml:space="preserve">STANOVISKO K PLNĚNÍ: </w:t>
      </w:r>
      <w:r w:rsidR="006042C5" w:rsidRPr="00ED703E">
        <w:rPr>
          <w:rFonts w:cs="Arial"/>
          <w:b/>
          <w:bCs/>
          <w:sz w:val="20"/>
          <w:szCs w:val="20"/>
          <w:lang w:eastAsia="cs-CZ"/>
        </w:rPr>
        <w:t>Nesp</w:t>
      </w:r>
      <w:r w:rsidRPr="00ED703E">
        <w:rPr>
          <w:rFonts w:cs="Arial"/>
          <w:b/>
          <w:bCs/>
          <w:sz w:val="20"/>
          <w:szCs w:val="20"/>
          <w:lang w:eastAsia="cs-CZ"/>
        </w:rPr>
        <w:t>lněno.</w:t>
      </w:r>
      <w:r w:rsidR="006042C5" w:rsidRPr="00ED703E">
        <w:rPr>
          <w:rFonts w:cs="Arial"/>
          <w:b/>
          <w:bCs/>
          <w:sz w:val="20"/>
          <w:szCs w:val="20"/>
          <w:lang w:eastAsia="cs-CZ"/>
        </w:rPr>
        <w:t xml:space="preserve"> Nav</w:t>
      </w:r>
      <w:r w:rsidR="00945F10" w:rsidRPr="00ED703E">
        <w:rPr>
          <w:rFonts w:cs="Arial"/>
          <w:b/>
          <w:bCs/>
          <w:sz w:val="20"/>
          <w:szCs w:val="20"/>
          <w:lang w:eastAsia="cs-CZ"/>
        </w:rPr>
        <w:t xml:space="preserve">ržen posun termínu do </w:t>
      </w:r>
      <w:proofErr w:type="gramStart"/>
      <w:r w:rsidR="00945F10" w:rsidRPr="00ED703E">
        <w:rPr>
          <w:rFonts w:cs="Arial"/>
          <w:b/>
          <w:bCs/>
          <w:sz w:val="20"/>
          <w:szCs w:val="20"/>
          <w:lang w:eastAsia="cs-CZ"/>
        </w:rPr>
        <w:t>31.12.2024</w:t>
      </w:r>
      <w:proofErr w:type="gramEnd"/>
      <w:r w:rsidR="006042C5" w:rsidRPr="00ED703E">
        <w:rPr>
          <w:rFonts w:cs="Arial"/>
          <w:b/>
          <w:bCs/>
          <w:sz w:val="20"/>
          <w:szCs w:val="20"/>
          <w:lang w:eastAsia="cs-CZ"/>
        </w:rPr>
        <w:t>.</w:t>
      </w:r>
    </w:p>
    <w:p w14:paraId="384C6D98" w14:textId="6D7738DA" w:rsidR="00C63EF5" w:rsidRPr="00004CCF" w:rsidRDefault="00C63EF5" w:rsidP="00004CCF">
      <w:pPr>
        <w:rPr>
          <w:rFonts w:cs="Arial"/>
          <w:sz w:val="20"/>
          <w:szCs w:val="20"/>
        </w:rPr>
      </w:pPr>
    </w:p>
    <w:p w14:paraId="18A81F9C" w14:textId="03B0EB14" w:rsidR="00F17E74" w:rsidRPr="00C947E0" w:rsidRDefault="00F17E74" w:rsidP="00DE5661">
      <w:pPr>
        <w:rPr>
          <w:rFonts w:eastAsia="Calibri" w:cs="Arial"/>
          <w:szCs w:val="20"/>
        </w:rPr>
      </w:pPr>
      <w:bookmarkStart w:id="35" w:name="_Hlk36542106"/>
      <w:r w:rsidRPr="00C947E0">
        <w:rPr>
          <w:rFonts w:cs="Arial"/>
          <w:bCs/>
          <w:szCs w:val="20"/>
        </w:rPr>
        <w:t xml:space="preserve">Opatření </w:t>
      </w:r>
      <w:proofErr w:type="gramStart"/>
      <w:r w:rsidRPr="00C947E0">
        <w:rPr>
          <w:rFonts w:cs="Arial"/>
          <w:bCs/>
          <w:szCs w:val="20"/>
        </w:rPr>
        <w:t>8</w:t>
      </w:r>
      <w:r w:rsidR="00294F17">
        <w:rPr>
          <w:rFonts w:cs="Arial"/>
          <w:szCs w:val="20"/>
        </w:rPr>
        <w:t>.3.11</w:t>
      </w:r>
      <w:proofErr w:type="gramEnd"/>
      <w:r w:rsidRPr="00C947E0">
        <w:rPr>
          <w:rFonts w:cs="Arial"/>
          <w:szCs w:val="20"/>
        </w:rPr>
        <w:t xml:space="preserve"> </w:t>
      </w:r>
      <w:r w:rsidRPr="006E0C80">
        <w:rPr>
          <w:rFonts w:cs="Arial"/>
          <w:szCs w:val="20"/>
        </w:rPr>
        <w:t xml:space="preserve">Vytvoření metodického doporučení pro školská poradenská zařízení a školy za účelem specifikace postupu a možností intervence při vzdělávání žáků dle § 50 odst. 3 </w:t>
      </w:r>
      <w:r w:rsidRPr="00F264C8">
        <w:rPr>
          <w:rFonts w:cs="Arial"/>
          <w:szCs w:val="20"/>
        </w:rPr>
        <w:t>zákona č. 561/2004 Sb.</w:t>
      </w:r>
      <w:r>
        <w:rPr>
          <w:rFonts w:cs="Arial"/>
          <w:szCs w:val="20"/>
        </w:rPr>
        <w:t xml:space="preserve">, </w:t>
      </w:r>
      <w:r w:rsidRPr="00F264C8">
        <w:rPr>
          <w:rFonts w:cs="Arial"/>
          <w:szCs w:val="20"/>
        </w:rPr>
        <w:t>o předškolním, základním, středním, vyšším odborném a jiném vzdělávání (školský zákon), ve znění pozdějších předpisů</w:t>
      </w:r>
      <w:r w:rsidR="00746F46">
        <w:rPr>
          <w:rFonts w:cs="Arial"/>
          <w:szCs w:val="20"/>
        </w:rPr>
        <w:t>,</w:t>
      </w:r>
      <w:r w:rsidRPr="006E0C80">
        <w:rPr>
          <w:rFonts w:cs="Arial"/>
          <w:szCs w:val="20"/>
        </w:rPr>
        <w:t xml:space="preserve"> v případě, že nastavená podpůrná opatření nejsou dostačující</w:t>
      </w:r>
      <w:r>
        <w:rPr>
          <w:rFonts w:cs="Arial"/>
          <w:szCs w:val="20"/>
        </w:rPr>
        <w:t>.</w:t>
      </w:r>
    </w:p>
    <w:bookmarkEnd w:id="35"/>
    <w:p w14:paraId="04D15A73" w14:textId="77777777" w:rsidR="00F17E74" w:rsidRPr="00C947E0" w:rsidRDefault="00F17E74" w:rsidP="00DE5661">
      <w:pPr>
        <w:rPr>
          <w:rFonts w:eastAsia="Calibri" w:cs="Arial"/>
          <w:szCs w:val="20"/>
        </w:rPr>
      </w:pPr>
      <w:r w:rsidRPr="00C947E0">
        <w:rPr>
          <w:rFonts w:eastAsia="Calibri" w:cs="Arial"/>
          <w:szCs w:val="20"/>
        </w:rPr>
        <w:t>Termín: průběžně</w:t>
      </w:r>
    </w:p>
    <w:p w14:paraId="6E8798C9" w14:textId="77777777" w:rsidR="00F17E74" w:rsidRPr="00C947E0" w:rsidRDefault="00F17E74" w:rsidP="00DE5661">
      <w:pPr>
        <w:rPr>
          <w:rFonts w:eastAsia="Calibri" w:cs="Arial"/>
          <w:szCs w:val="20"/>
        </w:rPr>
      </w:pPr>
      <w:r w:rsidRPr="00C947E0">
        <w:rPr>
          <w:rFonts w:eastAsia="Calibri" w:cs="Arial"/>
          <w:szCs w:val="20"/>
        </w:rPr>
        <w:t xml:space="preserve">Gestor: MŠMT </w:t>
      </w:r>
    </w:p>
    <w:p w14:paraId="62FD3AE6" w14:textId="72821BF7" w:rsidR="00F17E74" w:rsidRDefault="00F17E74" w:rsidP="00DE5661">
      <w:pPr>
        <w:keepNext/>
        <w:rPr>
          <w:rFonts w:cs="Arial"/>
          <w:szCs w:val="20"/>
        </w:rPr>
      </w:pPr>
      <w:r w:rsidRPr="00C947E0">
        <w:rPr>
          <w:rFonts w:cs="Arial"/>
          <w:szCs w:val="20"/>
        </w:rPr>
        <w:t>Indikátor: Podmínky dle uvedených ustanovení školského zákona jsou naplňovány.</w:t>
      </w:r>
      <w:r>
        <w:rPr>
          <w:rFonts w:cs="Arial"/>
          <w:szCs w:val="20"/>
        </w:rPr>
        <w:t xml:space="preserve"> </w:t>
      </w:r>
    </w:p>
    <w:p w14:paraId="0477C17A" w14:textId="77777777" w:rsidR="00DE5661" w:rsidRPr="00050B07" w:rsidRDefault="00DE5661" w:rsidP="00050B07">
      <w:pPr>
        <w:keepNext/>
        <w:rPr>
          <w:rFonts w:cs="Arial"/>
          <w:sz w:val="20"/>
          <w:szCs w:val="20"/>
        </w:rPr>
      </w:pPr>
    </w:p>
    <w:p w14:paraId="50F44CAF" w14:textId="64B46909" w:rsidR="006C1944" w:rsidRPr="005D3650" w:rsidRDefault="006C1944" w:rsidP="00050B07">
      <w:pPr>
        <w:tabs>
          <w:tab w:val="left" w:pos="720"/>
        </w:tabs>
        <w:rPr>
          <w:rFonts w:cs="Arial"/>
          <w:b/>
          <w:bCs/>
          <w:sz w:val="20"/>
          <w:szCs w:val="20"/>
          <w:lang w:eastAsia="cs-CZ"/>
        </w:rPr>
      </w:pPr>
      <w:r w:rsidRPr="005D3650">
        <w:rPr>
          <w:rFonts w:cs="Arial"/>
          <w:b/>
          <w:bCs/>
          <w:sz w:val="20"/>
          <w:szCs w:val="20"/>
          <w:lang w:eastAsia="cs-CZ"/>
        </w:rPr>
        <w:t>PLNĚNÍ MŠMT:</w:t>
      </w:r>
    </w:p>
    <w:p w14:paraId="64162738" w14:textId="1F7981F2" w:rsidR="005D3650" w:rsidRPr="005D3650" w:rsidRDefault="005D3650" w:rsidP="005D3650">
      <w:pPr>
        <w:keepNext/>
        <w:rPr>
          <w:rFonts w:cs="Arial"/>
          <w:sz w:val="20"/>
          <w:szCs w:val="20"/>
        </w:rPr>
      </w:pPr>
      <w:r w:rsidRPr="005D3650">
        <w:rPr>
          <w:rFonts w:cs="Arial"/>
          <w:sz w:val="20"/>
          <w:szCs w:val="20"/>
        </w:rPr>
        <w:t>Probíhají průběžné konzultace se školskými poradenskými zařízeními, která se za účelem metodické podpory obracejí na MŠMT a NPI ČR. Zároveň školská poradenská zařízení poskytují metodickou podporu školám. Naplňování podmínek stanovených § 50 odst. 3 školského zákona kontroluje Česká školní inspekce při pravidelné inspekční činnosti.</w:t>
      </w:r>
    </w:p>
    <w:p w14:paraId="6673A27A" w14:textId="10F28656" w:rsidR="006C1944" w:rsidRPr="005D3650" w:rsidRDefault="006C1944" w:rsidP="00050B07">
      <w:pPr>
        <w:keepNext/>
        <w:tabs>
          <w:tab w:val="left" w:pos="720"/>
        </w:tabs>
        <w:rPr>
          <w:rFonts w:cs="Arial"/>
          <w:b/>
          <w:bCs/>
          <w:sz w:val="20"/>
          <w:szCs w:val="20"/>
          <w:lang w:eastAsia="cs-CZ"/>
        </w:rPr>
      </w:pPr>
      <w:r w:rsidRPr="005D3650">
        <w:rPr>
          <w:rFonts w:cs="Arial"/>
          <w:b/>
          <w:bCs/>
          <w:sz w:val="20"/>
          <w:szCs w:val="20"/>
          <w:lang w:eastAsia="cs-CZ"/>
        </w:rPr>
        <w:t>STANOVISKO K PLNĚNÍ:</w:t>
      </w:r>
      <w:r w:rsidR="00993A6D" w:rsidRPr="005D3650">
        <w:rPr>
          <w:rFonts w:cs="Arial"/>
          <w:b/>
          <w:bCs/>
          <w:sz w:val="20"/>
          <w:szCs w:val="20"/>
          <w:lang w:eastAsia="cs-CZ"/>
        </w:rPr>
        <w:t xml:space="preserve"> Plněno.</w:t>
      </w:r>
    </w:p>
    <w:p w14:paraId="0BF9B1DE" w14:textId="6049E145" w:rsidR="003569E0" w:rsidRPr="00050B07" w:rsidRDefault="003569E0" w:rsidP="00050B07">
      <w:pPr>
        <w:rPr>
          <w:rFonts w:cs="Arial"/>
          <w:bCs/>
          <w:sz w:val="20"/>
          <w:szCs w:val="20"/>
        </w:rPr>
      </w:pPr>
    </w:p>
    <w:p w14:paraId="27C96857" w14:textId="3C7C4EF8" w:rsidR="00F17E74" w:rsidRPr="00171029" w:rsidRDefault="00F17E74" w:rsidP="00F17E74">
      <w:pPr>
        <w:rPr>
          <w:rFonts w:cs="Arial"/>
          <w:szCs w:val="20"/>
        </w:rPr>
      </w:pPr>
      <w:r w:rsidRPr="0035060D">
        <w:rPr>
          <w:rFonts w:cs="Arial"/>
          <w:bCs/>
          <w:szCs w:val="20"/>
        </w:rPr>
        <w:t xml:space="preserve">Opatření </w:t>
      </w:r>
      <w:proofErr w:type="gramStart"/>
      <w:r>
        <w:rPr>
          <w:rFonts w:cs="Arial"/>
          <w:bCs/>
          <w:szCs w:val="20"/>
        </w:rPr>
        <w:t>8</w:t>
      </w:r>
      <w:r w:rsidR="00294F17">
        <w:rPr>
          <w:rFonts w:cs="Arial"/>
          <w:szCs w:val="20"/>
        </w:rPr>
        <w:t>.3.12</w:t>
      </w:r>
      <w:proofErr w:type="gramEnd"/>
      <w:r>
        <w:rPr>
          <w:rFonts w:cs="Arial"/>
          <w:szCs w:val="20"/>
        </w:rPr>
        <w:t xml:space="preserve"> Z</w:t>
      </w:r>
      <w:r w:rsidRPr="00171029">
        <w:rPr>
          <w:rFonts w:cs="Arial"/>
          <w:szCs w:val="20"/>
        </w:rPr>
        <w:t>vyš</w:t>
      </w:r>
      <w:r>
        <w:rPr>
          <w:rFonts w:cs="Arial"/>
          <w:szCs w:val="20"/>
        </w:rPr>
        <w:t>ovat</w:t>
      </w:r>
      <w:r w:rsidRPr="00171029">
        <w:rPr>
          <w:rFonts w:cs="Arial"/>
          <w:szCs w:val="20"/>
        </w:rPr>
        <w:t xml:space="preserve"> podporu vytváření výukových materiálů (elektronických učebnic) přístupných v</w:t>
      </w:r>
      <w:r w:rsidR="000D13D4">
        <w:rPr>
          <w:rFonts w:cs="Arial"/>
          <w:szCs w:val="20"/>
        </w:rPr>
        <w:t xml:space="preserve"> českém</w:t>
      </w:r>
      <w:r>
        <w:rPr>
          <w:rFonts w:cs="Arial"/>
          <w:szCs w:val="20"/>
        </w:rPr>
        <w:t> </w:t>
      </w:r>
      <w:r w:rsidRPr="00171029">
        <w:rPr>
          <w:rFonts w:cs="Arial"/>
          <w:szCs w:val="20"/>
        </w:rPr>
        <w:t>znakovém jazyce pro všechny vzdělávací oblasti.</w:t>
      </w:r>
    </w:p>
    <w:p w14:paraId="74B4A2D3" w14:textId="77777777" w:rsidR="00F17E74" w:rsidRPr="00171029" w:rsidRDefault="00F17E74" w:rsidP="00F17E74">
      <w:pPr>
        <w:rPr>
          <w:rFonts w:cs="Arial"/>
          <w:szCs w:val="20"/>
        </w:rPr>
      </w:pPr>
      <w:r w:rsidRPr="00171029">
        <w:rPr>
          <w:rFonts w:cs="Arial"/>
          <w:szCs w:val="20"/>
        </w:rPr>
        <w:t xml:space="preserve">Termín: </w:t>
      </w:r>
      <w:r>
        <w:rPr>
          <w:rFonts w:cs="Arial"/>
          <w:szCs w:val="20"/>
        </w:rPr>
        <w:t>průběžně</w:t>
      </w:r>
    </w:p>
    <w:p w14:paraId="0AD2882A" w14:textId="77777777" w:rsidR="000C58FA" w:rsidRDefault="00F17E74" w:rsidP="000C58FA">
      <w:pPr>
        <w:rPr>
          <w:rFonts w:cs="Arial"/>
          <w:szCs w:val="20"/>
        </w:rPr>
      </w:pPr>
      <w:r w:rsidRPr="00171029">
        <w:rPr>
          <w:rFonts w:cs="Arial"/>
          <w:szCs w:val="20"/>
        </w:rPr>
        <w:t>Gestor: MŠMT</w:t>
      </w:r>
    </w:p>
    <w:p w14:paraId="4E3D7CD4" w14:textId="05295889" w:rsidR="00316A32" w:rsidRPr="003569E0" w:rsidRDefault="00F17E74" w:rsidP="00F17E74">
      <w:pPr>
        <w:rPr>
          <w:rFonts w:cs="Arial"/>
          <w:szCs w:val="20"/>
        </w:rPr>
      </w:pPr>
      <w:r w:rsidRPr="00831152">
        <w:rPr>
          <w:rFonts w:cs="Arial"/>
          <w:szCs w:val="20"/>
        </w:rPr>
        <w:t>Indikátor:</w:t>
      </w:r>
      <w:r>
        <w:rPr>
          <w:rFonts w:cs="Arial"/>
          <w:szCs w:val="20"/>
        </w:rPr>
        <w:t xml:space="preserve"> Je poskytována podpora vzniku uvedených výukových materiálů. </w:t>
      </w:r>
    </w:p>
    <w:p w14:paraId="7F34B12C" w14:textId="77777777" w:rsidR="00C11F78" w:rsidRPr="00380E4D" w:rsidRDefault="00C11F78" w:rsidP="00380E4D">
      <w:pPr>
        <w:tabs>
          <w:tab w:val="left" w:pos="720"/>
        </w:tabs>
        <w:rPr>
          <w:rFonts w:cs="Arial"/>
          <w:b/>
          <w:bCs/>
          <w:sz w:val="20"/>
          <w:szCs w:val="20"/>
          <w:lang w:eastAsia="cs-CZ"/>
        </w:rPr>
      </w:pPr>
    </w:p>
    <w:p w14:paraId="521DB9E1" w14:textId="2FDC0682" w:rsidR="00C11F78" w:rsidRPr="00C92CB5" w:rsidRDefault="00C11F78" w:rsidP="00380E4D">
      <w:pPr>
        <w:tabs>
          <w:tab w:val="left" w:pos="720"/>
        </w:tabs>
        <w:rPr>
          <w:rFonts w:cs="Arial"/>
          <w:b/>
          <w:bCs/>
          <w:sz w:val="20"/>
          <w:szCs w:val="20"/>
          <w:lang w:eastAsia="cs-CZ"/>
        </w:rPr>
      </w:pPr>
      <w:r w:rsidRPr="00C92CB5">
        <w:rPr>
          <w:rFonts w:cs="Arial"/>
          <w:b/>
          <w:bCs/>
          <w:sz w:val="20"/>
          <w:szCs w:val="20"/>
          <w:lang w:eastAsia="cs-CZ"/>
        </w:rPr>
        <w:t>PLNĚNÍ MŠMT:</w:t>
      </w:r>
    </w:p>
    <w:p w14:paraId="1C81517C" w14:textId="0AAE8A45" w:rsidR="00C92CB5" w:rsidRPr="00C92CB5" w:rsidRDefault="00C92CB5" w:rsidP="00C92CB5">
      <w:pPr>
        <w:rPr>
          <w:rFonts w:cs="Arial"/>
          <w:sz w:val="20"/>
          <w:szCs w:val="20"/>
        </w:rPr>
      </w:pPr>
      <w:r w:rsidRPr="00C92CB5">
        <w:rPr>
          <w:rFonts w:cs="Arial"/>
          <w:sz w:val="20"/>
          <w:szCs w:val="20"/>
        </w:rPr>
        <w:t xml:space="preserve">NPI ČR v roce 2023 </w:t>
      </w:r>
      <w:proofErr w:type="gramStart"/>
      <w:r w:rsidRPr="00C92CB5">
        <w:rPr>
          <w:rFonts w:cs="Arial"/>
          <w:sz w:val="20"/>
          <w:szCs w:val="20"/>
        </w:rPr>
        <w:t>zveřejnil</w:t>
      </w:r>
      <w:proofErr w:type="gramEnd"/>
      <w:r w:rsidRPr="00C92CB5">
        <w:rPr>
          <w:rFonts w:cs="Arial"/>
          <w:sz w:val="20"/>
          <w:szCs w:val="20"/>
        </w:rPr>
        <w:t xml:space="preserve"> online výukové pracovní listy </w:t>
      </w:r>
      <w:hyperlink r:id="rId101">
        <w:r w:rsidRPr="00C92CB5">
          <w:rPr>
            <w:rStyle w:val="Hypertextovodkaz"/>
            <w:rFonts w:eastAsia="Arial" w:cs="Arial"/>
            <w:sz w:val="20"/>
            <w:szCs w:val="20"/>
          </w:rPr>
          <w:t>Metodická podpora pro učitele - DIGIFOLIO (rvp.cz)</w:t>
        </w:r>
      </w:hyperlink>
      <w:r w:rsidRPr="00C92CB5">
        <w:rPr>
          <w:rFonts w:eastAsia="Arial" w:cs="Arial"/>
          <w:sz w:val="20"/>
          <w:szCs w:val="20"/>
        </w:rPr>
        <w:t xml:space="preserve"> </w:t>
      </w:r>
      <w:r w:rsidRPr="00C92CB5">
        <w:rPr>
          <w:rFonts w:cs="Arial"/>
          <w:sz w:val="20"/>
          <w:szCs w:val="20"/>
        </w:rPr>
        <w:t>v návaznosti na obsah publikací Výuka českého jazyka pro žáky se sluchovým postižením (1. a 2. část). Jedná se o inspirativní náměty pro práci s</w:t>
      </w:r>
      <w:r w:rsidR="00992207">
        <w:rPr>
          <w:rFonts w:cs="Arial"/>
          <w:sz w:val="20"/>
          <w:szCs w:val="20"/>
        </w:rPr>
        <w:t xml:space="preserve"> žáky se sluchovým postižením v </w:t>
      </w:r>
      <w:r w:rsidRPr="00C92CB5">
        <w:rPr>
          <w:rFonts w:cs="Arial"/>
          <w:sz w:val="20"/>
          <w:szCs w:val="20"/>
        </w:rPr>
        <w:t>rámci předmětu český jazyk. Prostřednictvím série pracovních lis</w:t>
      </w:r>
      <w:r w:rsidR="00992207">
        <w:rPr>
          <w:rFonts w:cs="Arial"/>
          <w:sz w:val="20"/>
          <w:szCs w:val="20"/>
        </w:rPr>
        <w:t>tů lze u žáků upevňovat spolu s </w:t>
      </w:r>
      <w:r w:rsidRPr="00C92CB5">
        <w:rPr>
          <w:rFonts w:cs="Arial"/>
          <w:sz w:val="20"/>
          <w:szCs w:val="20"/>
        </w:rPr>
        <w:t>jazykovými prostředky (gramatikou), čtením a psaním také jejich sociokulturní kompetence.</w:t>
      </w:r>
    </w:p>
    <w:p w14:paraId="281FB2C1" w14:textId="77777777" w:rsidR="00C92CB5" w:rsidRPr="00C92CB5" w:rsidRDefault="00C92CB5" w:rsidP="00C92CB5">
      <w:pPr>
        <w:rPr>
          <w:rFonts w:cs="Arial"/>
          <w:sz w:val="20"/>
          <w:szCs w:val="20"/>
        </w:rPr>
      </w:pPr>
      <w:r w:rsidRPr="00C92CB5">
        <w:rPr>
          <w:rFonts w:cs="Arial"/>
          <w:sz w:val="20"/>
          <w:szCs w:val="20"/>
        </w:rPr>
        <w:t>Pracovní listy pro žáky jsou připraveny pro úrovně A0 až B1. Pro jednotlivé úrovně jsou dále dostupné metodické úvody, které podrobně popisují pedagogické koncepce předkládaných materiálů. Každý list navíc kromě pracovního listu pro žáka zahrnuje další podrobný metodický pokyn pro učitele. Některé pracovní listy jsou rozšířeny o přílohu s pomůckami pro okamžité využití.</w:t>
      </w:r>
    </w:p>
    <w:p w14:paraId="63194C23" w14:textId="65E885AC" w:rsidR="00C92CB5" w:rsidRPr="00C92CB5" w:rsidRDefault="00C92CB5" w:rsidP="00C92CB5">
      <w:pPr>
        <w:shd w:val="clear" w:color="auto" w:fill="FFFFFF" w:themeFill="background1"/>
        <w:rPr>
          <w:rFonts w:eastAsia="Arial" w:cs="Arial"/>
          <w:color w:val="212529"/>
          <w:sz w:val="20"/>
          <w:szCs w:val="20"/>
        </w:rPr>
      </w:pPr>
      <w:r w:rsidRPr="00C92CB5">
        <w:rPr>
          <w:rFonts w:eastAsia="Arial" w:cs="Arial"/>
          <w:color w:val="212529"/>
          <w:sz w:val="20"/>
          <w:szCs w:val="20"/>
        </w:rPr>
        <w:t>Pracovními listy je podporována výuka češtiny na bázi českého znakového jazyka a u vybraných aktivit lze využít kontrastivní přístup a práci s českým znakovým jazykem</w:t>
      </w:r>
      <w:r w:rsidR="00992207">
        <w:rPr>
          <w:rFonts w:eastAsia="Arial" w:cs="Arial"/>
          <w:color w:val="212529"/>
          <w:sz w:val="20"/>
          <w:szCs w:val="20"/>
        </w:rPr>
        <w:t>. U takových aktivit je video v </w:t>
      </w:r>
      <w:r w:rsidRPr="00C92CB5">
        <w:rPr>
          <w:rFonts w:eastAsia="Arial" w:cs="Arial"/>
          <w:color w:val="212529"/>
          <w:sz w:val="20"/>
          <w:szCs w:val="20"/>
        </w:rPr>
        <w:t>českém znakovém jazyce dostupné prostřednictvím QR kódu.</w:t>
      </w:r>
    </w:p>
    <w:p w14:paraId="2A39F968" w14:textId="24C25787" w:rsidR="00C92CB5" w:rsidRPr="00C92CB5" w:rsidRDefault="00C92CB5" w:rsidP="00C92CB5">
      <w:pPr>
        <w:shd w:val="clear" w:color="auto" w:fill="FFFFFF" w:themeFill="background1"/>
        <w:rPr>
          <w:rFonts w:eastAsia="Arial" w:cs="Arial"/>
          <w:color w:val="212529"/>
          <w:sz w:val="20"/>
          <w:szCs w:val="20"/>
        </w:rPr>
      </w:pPr>
      <w:r w:rsidRPr="00C92CB5">
        <w:rPr>
          <w:rFonts w:eastAsia="Arial" w:cs="Arial"/>
          <w:color w:val="212529"/>
          <w:sz w:val="20"/>
          <w:szCs w:val="20"/>
        </w:rPr>
        <w:t>S pracovními listy je možné pracovat v online prostředí, pracovní listy pro žáky lze vytisknout nebo použít tištěný soubor.</w:t>
      </w:r>
    </w:p>
    <w:p w14:paraId="579E6081" w14:textId="6F4B1B66" w:rsidR="00C11F78" w:rsidRPr="00C92CB5" w:rsidRDefault="00C11F78" w:rsidP="00380E4D">
      <w:pPr>
        <w:keepNext/>
        <w:tabs>
          <w:tab w:val="left" w:pos="720"/>
        </w:tabs>
        <w:rPr>
          <w:rFonts w:cs="Arial"/>
          <w:b/>
          <w:bCs/>
          <w:sz w:val="20"/>
          <w:szCs w:val="20"/>
          <w:lang w:eastAsia="cs-CZ"/>
        </w:rPr>
      </w:pPr>
      <w:r w:rsidRPr="00C92CB5">
        <w:rPr>
          <w:rFonts w:cs="Arial"/>
          <w:b/>
          <w:bCs/>
          <w:sz w:val="20"/>
          <w:szCs w:val="20"/>
          <w:lang w:eastAsia="cs-CZ"/>
        </w:rPr>
        <w:t>STANOVISKO K PLNĚNÍ:</w:t>
      </w:r>
      <w:r w:rsidR="00C95DEB" w:rsidRPr="00C92CB5">
        <w:rPr>
          <w:rFonts w:cs="Arial"/>
          <w:b/>
          <w:bCs/>
          <w:sz w:val="20"/>
          <w:szCs w:val="20"/>
          <w:lang w:eastAsia="cs-CZ"/>
        </w:rPr>
        <w:t xml:space="preserve"> Plněno.</w:t>
      </w:r>
    </w:p>
    <w:p w14:paraId="27EAB20D" w14:textId="77777777" w:rsidR="00316A32" w:rsidRPr="00380E4D" w:rsidRDefault="00316A32" w:rsidP="00380E4D">
      <w:pPr>
        <w:rPr>
          <w:rFonts w:cs="Arial"/>
          <w:bCs/>
          <w:sz w:val="20"/>
          <w:szCs w:val="20"/>
        </w:rPr>
      </w:pPr>
    </w:p>
    <w:p w14:paraId="6F567D60" w14:textId="0033B502" w:rsidR="00F17E74" w:rsidRPr="0057756D" w:rsidRDefault="00F17E74" w:rsidP="00F17E74">
      <w:pPr>
        <w:rPr>
          <w:rFonts w:cs="Arial"/>
          <w:szCs w:val="20"/>
        </w:rPr>
      </w:pPr>
      <w:r w:rsidRPr="0035060D">
        <w:rPr>
          <w:rFonts w:cs="Arial"/>
          <w:bCs/>
          <w:szCs w:val="20"/>
        </w:rPr>
        <w:t xml:space="preserve">Opatření </w:t>
      </w:r>
      <w:proofErr w:type="gramStart"/>
      <w:r>
        <w:rPr>
          <w:rFonts w:cs="Arial"/>
          <w:bCs/>
          <w:szCs w:val="20"/>
        </w:rPr>
        <w:t>8</w:t>
      </w:r>
      <w:r w:rsidR="00294F17">
        <w:rPr>
          <w:rFonts w:cs="Arial"/>
          <w:szCs w:val="20"/>
        </w:rPr>
        <w:t>.3.13</w:t>
      </w:r>
      <w:proofErr w:type="gramEnd"/>
      <w:r>
        <w:rPr>
          <w:rFonts w:cs="Arial"/>
          <w:szCs w:val="20"/>
        </w:rPr>
        <w:t xml:space="preserve"> </w:t>
      </w:r>
      <w:r w:rsidRPr="0057756D">
        <w:rPr>
          <w:rFonts w:cs="Arial"/>
          <w:szCs w:val="20"/>
        </w:rPr>
        <w:t xml:space="preserve">Pravidelně vyhodnocovat výsledky diagnostické činnosti školských poradenských zařízení u dětí, žáků a studentů se zdravotním postižením a tyto zveřejňovat </w:t>
      </w:r>
      <w:r w:rsidRPr="0057756D">
        <w:rPr>
          <w:rFonts w:cs="Arial"/>
          <w:szCs w:val="20"/>
        </w:rPr>
        <w:lastRenderedPageBreak/>
        <w:t>s</w:t>
      </w:r>
      <w:r w:rsidR="000B79CA">
        <w:rPr>
          <w:rFonts w:cs="Arial"/>
          <w:szCs w:val="20"/>
        </w:rPr>
        <w:t> </w:t>
      </w:r>
      <w:r w:rsidRPr="0057756D">
        <w:rPr>
          <w:rFonts w:cs="Arial"/>
          <w:szCs w:val="20"/>
        </w:rPr>
        <w:t>cílem zajistit společenskou kontrolu a standardizaci činnosti školských poradenských zařízení na celém území ČR.</w:t>
      </w:r>
    </w:p>
    <w:p w14:paraId="6414CF5F" w14:textId="77777777" w:rsidR="00F17E74" w:rsidRPr="0057756D" w:rsidRDefault="00F17E74" w:rsidP="00F17E74">
      <w:pPr>
        <w:rPr>
          <w:rFonts w:cs="Arial"/>
          <w:szCs w:val="20"/>
        </w:rPr>
      </w:pPr>
      <w:r w:rsidRPr="0057756D">
        <w:rPr>
          <w:rFonts w:cs="Arial"/>
          <w:szCs w:val="20"/>
        </w:rPr>
        <w:t>Termín: průběžně</w:t>
      </w:r>
    </w:p>
    <w:p w14:paraId="0D646753" w14:textId="77777777" w:rsidR="00F17E74" w:rsidRDefault="00F17E74" w:rsidP="00F17E74">
      <w:pPr>
        <w:rPr>
          <w:rFonts w:cs="Arial"/>
          <w:szCs w:val="20"/>
        </w:rPr>
      </w:pPr>
      <w:r w:rsidRPr="0057756D">
        <w:rPr>
          <w:rFonts w:cs="Arial"/>
          <w:szCs w:val="20"/>
        </w:rPr>
        <w:t>Gestor: MŠMT</w:t>
      </w:r>
    </w:p>
    <w:p w14:paraId="1A658FD2" w14:textId="1A6BED0E" w:rsidR="0051226D" w:rsidRDefault="00F17E74" w:rsidP="00F80883">
      <w:pPr>
        <w:keepNext/>
        <w:rPr>
          <w:rFonts w:cs="Arial"/>
          <w:szCs w:val="20"/>
        </w:rPr>
      </w:pPr>
      <w:r w:rsidRPr="00831152">
        <w:rPr>
          <w:rFonts w:cs="Arial"/>
          <w:szCs w:val="20"/>
        </w:rPr>
        <w:t>Indikátor:</w:t>
      </w:r>
      <w:r w:rsidRPr="00496714">
        <w:rPr>
          <w:rFonts w:cs="Arial"/>
          <w:szCs w:val="20"/>
        </w:rPr>
        <w:t xml:space="preserve"> </w:t>
      </w:r>
      <w:r>
        <w:rPr>
          <w:rFonts w:cs="Arial"/>
          <w:szCs w:val="20"/>
        </w:rPr>
        <w:t>Ve sledovaném období probíhalo uvedené vyhodnocování a jeho výsledky byly zveřejněny.</w:t>
      </w:r>
    </w:p>
    <w:p w14:paraId="3971FF56" w14:textId="77777777" w:rsidR="00F80883" w:rsidRPr="0098021C" w:rsidRDefault="00F80883" w:rsidP="00F80883">
      <w:pPr>
        <w:keepNext/>
        <w:rPr>
          <w:rFonts w:cs="Arial"/>
          <w:sz w:val="20"/>
          <w:szCs w:val="20"/>
        </w:rPr>
      </w:pPr>
    </w:p>
    <w:p w14:paraId="029CE724" w14:textId="6801A5ED" w:rsidR="000F2558" w:rsidRPr="002E48D6" w:rsidRDefault="000F2558" w:rsidP="00F80883">
      <w:pPr>
        <w:tabs>
          <w:tab w:val="left" w:pos="720"/>
        </w:tabs>
        <w:rPr>
          <w:rFonts w:cs="Arial"/>
          <w:b/>
          <w:bCs/>
          <w:sz w:val="20"/>
          <w:szCs w:val="20"/>
          <w:lang w:eastAsia="cs-CZ"/>
        </w:rPr>
      </w:pPr>
      <w:r w:rsidRPr="002E48D6">
        <w:rPr>
          <w:rFonts w:cs="Arial"/>
          <w:b/>
          <w:bCs/>
          <w:sz w:val="20"/>
          <w:szCs w:val="20"/>
          <w:lang w:eastAsia="cs-CZ"/>
        </w:rPr>
        <w:t>PLNĚNÍ MŠMT:</w:t>
      </w:r>
    </w:p>
    <w:p w14:paraId="2DA9F64A" w14:textId="51DA77DA" w:rsidR="002E48D6" w:rsidRPr="002E48D6" w:rsidRDefault="002E48D6" w:rsidP="002E48D6">
      <w:pPr>
        <w:keepNext/>
        <w:rPr>
          <w:rFonts w:cs="Arial"/>
          <w:sz w:val="20"/>
          <w:szCs w:val="20"/>
        </w:rPr>
      </w:pPr>
      <w:r w:rsidRPr="002E48D6">
        <w:rPr>
          <w:rFonts w:cs="Arial"/>
          <w:sz w:val="20"/>
          <w:szCs w:val="20"/>
        </w:rPr>
        <w:t>Ve Statistické ročence školství – výkonových ukazatelích jsou každ</w:t>
      </w:r>
      <w:r w:rsidR="00992207">
        <w:rPr>
          <w:rFonts w:cs="Arial"/>
          <w:sz w:val="20"/>
          <w:szCs w:val="20"/>
        </w:rPr>
        <w:t>oročně zveřejňovány informace o </w:t>
      </w:r>
      <w:r w:rsidRPr="002E48D6">
        <w:rPr>
          <w:rFonts w:cs="Arial"/>
          <w:sz w:val="20"/>
          <w:szCs w:val="20"/>
        </w:rPr>
        <w:t xml:space="preserve">klientech školských poradenských zařízeních, jimž byla poskytnuta péče, odborných pracovnících a počtu vykázaných činností (psychologických a speciálně pedagogických diagnostikách, intervencích, preventivních, skupinových </w:t>
      </w:r>
      <w:proofErr w:type="gramStart"/>
      <w:r w:rsidRPr="002E48D6">
        <w:rPr>
          <w:rFonts w:cs="Arial"/>
          <w:sz w:val="20"/>
          <w:szCs w:val="20"/>
        </w:rPr>
        <w:t>činnostech</w:t>
      </w:r>
      <w:proofErr w:type="gramEnd"/>
      <w:r w:rsidRPr="002E48D6">
        <w:rPr>
          <w:rFonts w:cs="Arial"/>
          <w:sz w:val="20"/>
          <w:szCs w:val="20"/>
        </w:rPr>
        <w:t xml:space="preserve"> apod.). Data jsou dále analyzována a slouží jako podklad při přípravě systémových opatření a změn legislativních předpisů. </w:t>
      </w:r>
    </w:p>
    <w:p w14:paraId="5D9F4925" w14:textId="3664AD67" w:rsidR="000F2558" w:rsidRPr="002E48D6" w:rsidRDefault="000F2558" w:rsidP="00F80883">
      <w:pPr>
        <w:keepNext/>
        <w:tabs>
          <w:tab w:val="left" w:pos="720"/>
        </w:tabs>
        <w:rPr>
          <w:rFonts w:cs="Arial"/>
          <w:b/>
          <w:bCs/>
          <w:sz w:val="20"/>
          <w:szCs w:val="20"/>
          <w:lang w:eastAsia="cs-CZ"/>
        </w:rPr>
      </w:pPr>
      <w:r w:rsidRPr="002E48D6">
        <w:rPr>
          <w:rFonts w:cs="Arial"/>
          <w:b/>
          <w:bCs/>
          <w:sz w:val="20"/>
          <w:szCs w:val="20"/>
          <w:lang w:eastAsia="cs-CZ"/>
        </w:rPr>
        <w:t>STANOVISKO K PLNĚNÍ:</w:t>
      </w:r>
      <w:r w:rsidR="00000D04" w:rsidRPr="002E48D6">
        <w:rPr>
          <w:rFonts w:cs="Arial"/>
          <w:b/>
          <w:bCs/>
          <w:sz w:val="20"/>
          <w:szCs w:val="20"/>
          <w:lang w:eastAsia="cs-CZ"/>
        </w:rPr>
        <w:t xml:space="preserve"> Plněno.</w:t>
      </w:r>
    </w:p>
    <w:p w14:paraId="10B00B43" w14:textId="77777777" w:rsidR="000F2558" w:rsidRPr="0098021C" w:rsidRDefault="000F2558" w:rsidP="00F80883">
      <w:pPr>
        <w:keepNext/>
        <w:rPr>
          <w:rFonts w:cs="Arial"/>
          <w:sz w:val="20"/>
          <w:szCs w:val="20"/>
        </w:rPr>
      </w:pPr>
    </w:p>
    <w:p w14:paraId="454B2908" w14:textId="43009E77" w:rsidR="00F17E74" w:rsidRPr="00176BA2" w:rsidRDefault="00F17E74" w:rsidP="00F80883">
      <w:pPr>
        <w:rPr>
          <w:rFonts w:cs="Arial"/>
          <w:bCs/>
          <w:szCs w:val="20"/>
        </w:rPr>
      </w:pPr>
      <w:r w:rsidRPr="00176BA2">
        <w:rPr>
          <w:rFonts w:cs="Arial"/>
          <w:szCs w:val="20"/>
        </w:rPr>
        <w:t xml:space="preserve">Opatření </w:t>
      </w:r>
      <w:proofErr w:type="gramStart"/>
      <w:r w:rsidR="00294F17">
        <w:rPr>
          <w:rFonts w:cs="Arial"/>
          <w:szCs w:val="20"/>
        </w:rPr>
        <w:t>8.3.14</w:t>
      </w:r>
      <w:proofErr w:type="gramEnd"/>
      <w:r>
        <w:rPr>
          <w:rFonts w:cs="Arial"/>
          <w:szCs w:val="20"/>
        </w:rPr>
        <w:t xml:space="preserve"> </w:t>
      </w:r>
      <w:r w:rsidRPr="00176BA2">
        <w:rPr>
          <w:rFonts w:cs="Arial"/>
          <w:bCs/>
          <w:szCs w:val="20"/>
        </w:rPr>
        <w:t>Systematicky vykonávat osvětovou činnost o inkluzivním vzdělávání jako prevenci před vylučování</w:t>
      </w:r>
      <w:r w:rsidR="000B79CA">
        <w:rPr>
          <w:rFonts w:cs="Arial"/>
          <w:bCs/>
          <w:szCs w:val="20"/>
        </w:rPr>
        <w:t>m</w:t>
      </w:r>
      <w:r w:rsidRPr="00176BA2">
        <w:rPr>
          <w:rFonts w:cs="Arial"/>
          <w:bCs/>
          <w:szCs w:val="20"/>
        </w:rPr>
        <w:t xml:space="preserve"> dětí</w:t>
      </w:r>
      <w:r>
        <w:rPr>
          <w:rFonts w:cs="Arial"/>
          <w:bCs/>
          <w:szCs w:val="20"/>
        </w:rPr>
        <w:t>, žáků a studentů</w:t>
      </w:r>
      <w:r w:rsidRPr="00176BA2">
        <w:rPr>
          <w:rFonts w:cs="Arial"/>
          <w:bCs/>
          <w:szCs w:val="20"/>
        </w:rPr>
        <w:t xml:space="preserve"> se speciálními vzdělávacími potřebami z hlavního vzdělávacího proudu.</w:t>
      </w:r>
    </w:p>
    <w:p w14:paraId="6F71E528" w14:textId="77777777" w:rsidR="00F17E74" w:rsidRPr="0057756D" w:rsidRDefault="00F17E74" w:rsidP="00F17E74">
      <w:pPr>
        <w:rPr>
          <w:rFonts w:cs="Arial"/>
          <w:szCs w:val="20"/>
        </w:rPr>
      </w:pPr>
      <w:r>
        <w:rPr>
          <w:rFonts w:cs="Arial"/>
          <w:szCs w:val="20"/>
        </w:rPr>
        <w:t>Termín: průběžně</w:t>
      </w:r>
    </w:p>
    <w:p w14:paraId="7F7113C8" w14:textId="77777777" w:rsidR="00F17E74" w:rsidRDefault="00F17E74" w:rsidP="00F80883">
      <w:pPr>
        <w:rPr>
          <w:rFonts w:cs="Arial"/>
          <w:szCs w:val="20"/>
        </w:rPr>
      </w:pPr>
      <w:r>
        <w:rPr>
          <w:rFonts w:cs="Arial"/>
          <w:szCs w:val="20"/>
        </w:rPr>
        <w:t>Gestor: MŠMT</w:t>
      </w:r>
    </w:p>
    <w:p w14:paraId="3010E15C" w14:textId="65F087DA" w:rsidR="00F17E74" w:rsidRDefault="00F17E74" w:rsidP="00F80883">
      <w:pPr>
        <w:keepNext/>
        <w:rPr>
          <w:rFonts w:cs="Arial"/>
          <w:szCs w:val="20"/>
        </w:rPr>
      </w:pPr>
      <w:r w:rsidRPr="00831152">
        <w:rPr>
          <w:rFonts w:cs="Arial"/>
          <w:szCs w:val="20"/>
        </w:rPr>
        <w:t>Indikátor:</w:t>
      </w:r>
      <w:r w:rsidRPr="00496714">
        <w:rPr>
          <w:rFonts w:cs="Arial"/>
          <w:szCs w:val="20"/>
        </w:rPr>
        <w:t xml:space="preserve"> </w:t>
      </w:r>
      <w:r>
        <w:rPr>
          <w:rFonts w:cs="Arial"/>
          <w:szCs w:val="20"/>
        </w:rPr>
        <w:t>Jsou vydávány osvětové materiály týkající se uvedené oblast</w:t>
      </w:r>
      <w:r w:rsidR="002B05F2">
        <w:rPr>
          <w:rFonts w:cs="Arial"/>
          <w:szCs w:val="20"/>
        </w:rPr>
        <w:t>i</w:t>
      </w:r>
      <w:r>
        <w:rPr>
          <w:rFonts w:cs="Arial"/>
          <w:szCs w:val="20"/>
        </w:rPr>
        <w:t>.</w:t>
      </w:r>
    </w:p>
    <w:p w14:paraId="5798A038" w14:textId="77777777" w:rsidR="00F80883" w:rsidRPr="0043727C" w:rsidRDefault="00F80883" w:rsidP="0043727C">
      <w:pPr>
        <w:keepNext/>
        <w:rPr>
          <w:rFonts w:cs="Arial"/>
          <w:sz w:val="20"/>
          <w:szCs w:val="20"/>
        </w:rPr>
      </w:pPr>
    </w:p>
    <w:p w14:paraId="2E843C64" w14:textId="77777777" w:rsidR="00873DCD" w:rsidRPr="00D16624" w:rsidRDefault="00EC4A09" w:rsidP="00A75FA8">
      <w:pPr>
        <w:tabs>
          <w:tab w:val="left" w:pos="720"/>
        </w:tabs>
        <w:rPr>
          <w:rFonts w:cs="Arial"/>
          <w:b/>
          <w:bCs/>
          <w:sz w:val="20"/>
          <w:szCs w:val="20"/>
          <w:lang w:eastAsia="cs-CZ"/>
        </w:rPr>
      </w:pPr>
      <w:r w:rsidRPr="00D16624">
        <w:rPr>
          <w:rFonts w:cs="Arial"/>
          <w:b/>
          <w:bCs/>
          <w:sz w:val="20"/>
          <w:szCs w:val="20"/>
          <w:lang w:eastAsia="cs-CZ"/>
        </w:rPr>
        <w:t>PLNĚNÍ MŠMT:</w:t>
      </w:r>
    </w:p>
    <w:p w14:paraId="2D3552AE" w14:textId="77777777" w:rsidR="00D16624" w:rsidRPr="00D16624" w:rsidRDefault="00D16624" w:rsidP="00D16624">
      <w:pPr>
        <w:keepNext/>
        <w:rPr>
          <w:rFonts w:cs="Arial"/>
          <w:sz w:val="20"/>
          <w:szCs w:val="20"/>
        </w:rPr>
      </w:pPr>
      <w:r w:rsidRPr="00D16624">
        <w:rPr>
          <w:rFonts w:cs="Arial"/>
          <w:sz w:val="20"/>
          <w:szCs w:val="20"/>
        </w:rPr>
        <w:t xml:space="preserve">Prevence před vylučováním dětí, žáků a studentů se speciálními vzdělávacími potřebami z hlavního vzdělávacího proudu je jedním z hlavních témat Operačního programu Jan Amos Komenský. V oblasti regionálního školství je tak cílem podpořit spravedlivé a rovné šance a přístup ke kvalitnímu vzdělávání všech dětí, žáků a studentů vyšších odborných škol, včetně dětí, žáků a studentů se speciálními vzdělávacími potřebami. </w:t>
      </w:r>
    </w:p>
    <w:p w14:paraId="71B1B480" w14:textId="77777777" w:rsidR="00D16624" w:rsidRPr="00D16624" w:rsidRDefault="00D16624" w:rsidP="00D16624">
      <w:pPr>
        <w:rPr>
          <w:rFonts w:cs="Arial"/>
          <w:sz w:val="20"/>
          <w:szCs w:val="20"/>
        </w:rPr>
      </w:pPr>
      <w:r w:rsidRPr="00D16624">
        <w:rPr>
          <w:rFonts w:cs="Arial"/>
          <w:sz w:val="20"/>
          <w:szCs w:val="20"/>
        </w:rPr>
        <w:t xml:space="preserve">Jedná se o jeden z hlavních úkolů odboru Podpora žáků, poradenství a společné vzdělávání NPI ČR, který v roce 2023 zaměřil vzdělávání pedagogů na inkluzivní pojetí práce s pestrou třídou, ve které jsou zapojeni i žáci s různými druhy znevýhodnění. Metodické materiály jsou dostupné zde </w:t>
      </w:r>
      <w:hyperlink r:id="rId102">
        <w:r w:rsidRPr="00D16624">
          <w:rPr>
            <w:rStyle w:val="Hypertextovodkaz"/>
            <w:rFonts w:eastAsia="Arial" w:cs="Arial"/>
            <w:sz w:val="20"/>
            <w:szCs w:val="20"/>
          </w:rPr>
          <w:t>Jak na to v pestré třídě (npi.cz),</w:t>
        </w:r>
      </w:hyperlink>
      <w:r w:rsidRPr="00D16624">
        <w:rPr>
          <w:rFonts w:cs="Arial"/>
          <w:sz w:val="20"/>
          <w:szCs w:val="20"/>
        </w:rPr>
        <w:t xml:space="preserve"> V kontextu metodických materiálů bylo realizováno vzdělávání v online formě i ve formě prezenčního vzdělávání v regionech na jednotlivých krajských pracovištích NPI ČR. </w:t>
      </w:r>
    </w:p>
    <w:p w14:paraId="3011A87D" w14:textId="496683CB" w:rsidR="00D16624" w:rsidRPr="00D16624" w:rsidRDefault="00D16624" w:rsidP="00D16624">
      <w:pPr>
        <w:tabs>
          <w:tab w:val="left" w:pos="720"/>
        </w:tabs>
        <w:rPr>
          <w:rFonts w:cs="Arial"/>
          <w:b/>
          <w:bCs/>
          <w:sz w:val="20"/>
          <w:szCs w:val="20"/>
          <w:lang w:eastAsia="cs-CZ"/>
        </w:rPr>
      </w:pPr>
      <w:r w:rsidRPr="00D16624">
        <w:rPr>
          <w:rFonts w:cs="Arial"/>
          <w:sz w:val="20"/>
          <w:szCs w:val="20"/>
        </w:rPr>
        <w:t xml:space="preserve">Osvětová činnost byla realizována také prostřednictvím webového portálu </w:t>
      </w:r>
      <w:hyperlink r:id="rId103">
        <w:r w:rsidRPr="00D16624">
          <w:rPr>
            <w:rStyle w:val="Hypertextovodkaz"/>
            <w:rFonts w:cs="Arial"/>
            <w:sz w:val="20"/>
            <w:szCs w:val="20"/>
          </w:rPr>
          <w:t>www.zapojmevsechny.cz</w:t>
        </w:r>
      </w:hyperlink>
      <w:r w:rsidRPr="00D16624">
        <w:rPr>
          <w:rFonts w:cs="Arial"/>
          <w:sz w:val="20"/>
          <w:szCs w:val="20"/>
        </w:rPr>
        <w:t xml:space="preserve"> s funkčním oddílem práce s heterogenní třídou i s oddílem žáci se speciálními vzdělávacími potřebami.</w:t>
      </w:r>
    </w:p>
    <w:p w14:paraId="524795EA" w14:textId="77777777" w:rsidR="00B41D87" w:rsidRPr="00D16624" w:rsidRDefault="00EC4A09" w:rsidP="00A75FA8">
      <w:pPr>
        <w:tabs>
          <w:tab w:val="left" w:pos="720"/>
        </w:tabs>
        <w:rPr>
          <w:rFonts w:cs="Arial"/>
          <w:b/>
          <w:bCs/>
          <w:sz w:val="20"/>
          <w:szCs w:val="20"/>
          <w:lang w:eastAsia="cs-CZ"/>
        </w:rPr>
      </w:pPr>
      <w:r w:rsidRPr="00D16624">
        <w:rPr>
          <w:rFonts w:cs="Arial"/>
          <w:b/>
          <w:bCs/>
          <w:sz w:val="20"/>
          <w:szCs w:val="20"/>
          <w:lang w:eastAsia="cs-CZ"/>
        </w:rPr>
        <w:t>STANOVISKO K PLNĚNÍ:</w:t>
      </w:r>
      <w:r w:rsidR="00B41D87" w:rsidRPr="00D16624">
        <w:rPr>
          <w:rFonts w:cs="Arial"/>
          <w:b/>
          <w:bCs/>
          <w:sz w:val="20"/>
          <w:szCs w:val="20"/>
          <w:lang w:eastAsia="cs-CZ"/>
        </w:rPr>
        <w:t xml:space="preserve"> Plněno.</w:t>
      </w:r>
    </w:p>
    <w:p w14:paraId="5BB27659" w14:textId="146B0FBF" w:rsidR="00EC4A09" w:rsidRPr="0043727C" w:rsidRDefault="00EC4A09" w:rsidP="00A75FA8">
      <w:pPr>
        <w:rPr>
          <w:rFonts w:cs="Arial"/>
          <w:sz w:val="20"/>
          <w:szCs w:val="20"/>
        </w:rPr>
      </w:pPr>
    </w:p>
    <w:p w14:paraId="1F6194AF" w14:textId="3A769FA0" w:rsidR="003569E0" w:rsidRDefault="00F17E74" w:rsidP="00A75FA8">
      <w:pPr>
        <w:rPr>
          <w:rFonts w:cs="Arial"/>
          <w:b/>
          <w:bCs/>
          <w:szCs w:val="20"/>
        </w:rPr>
      </w:pPr>
      <w:r>
        <w:rPr>
          <w:rFonts w:cs="Arial"/>
          <w:b/>
          <w:bCs/>
          <w:szCs w:val="20"/>
        </w:rPr>
        <w:t xml:space="preserve">8.4 </w:t>
      </w:r>
      <w:r w:rsidRPr="00B93478">
        <w:rPr>
          <w:rFonts w:cs="Arial"/>
          <w:b/>
          <w:bCs/>
          <w:szCs w:val="20"/>
        </w:rPr>
        <w:t xml:space="preserve">Cíl: Zvýšení </w:t>
      </w:r>
      <w:r w:rsidRPr="002D3B01">
        <w:rPr>
          <w:rFonts w:eastAsia="Calibri" w:cs="Arial"/>
          <w:b/>
          <w:bCs/>
          <w:szCs w:val="20"/>
        </w:rPr>
        <w:t>přístupnosti</w:t>
      </w:r>
      <w:r w:rsidRPr="00B93478">
        <w:rPr>
          <w:rFonts w:cs="Arial"/>
          <w:b/>
          <w:bCs/>
          <w:szCs w:val="20"/>
        </w:rPr>
        <w:t xml:space="preserve"> vysokých škol pro studenty se zdravotním postižením. </w:t>
      </w:r>
    </w:p>
    <w:p w14:paraId="2C385A75" w14:textId="77777777" w:rsidR="008C4EA1" w:rsidRPr="0057756D" w:rsidRDefault="008C4EA1" w:rsidP="008C4EA1">
      <w:pPr>
        <w:rPr>
          <w:rFonts w:eastAsia="Calibri" w:cs="Arial"/>
          <w:szCs w:val="20"/>
        </w:rPr>
      </w:pPr>
      <w:r w:rsidRPr="0035060D">
        <w:rPr>
          <w:rFonts w:cs="Arial"/>
          <w:bCs/>
          <w:szCs w:val="20"/>
        </w:rPr>
        <w:t xml:space="preserve">Opatření </w:t>
      </w:r>
      <w:r>
        <w:rPr>
          <w:rFonts w:cs="Arial"/>
          <w:bCs/>
          <w:szCs w:val="20"/>
        </w:rPr>
        <w:t>8</w:t>
      </w:r>
      <w:r>
        <w:rPr>
          <w:rFonts w:cs="Arial"/>
          <w:szCs w:val="20"/>
        </w:rPr>
        <w:t xml:space="preserve">.4.1 </w:t>
      </w:r>
      <w:r w:rsidRPr="0057756D">
        <w:rPr>
          <w:rFonts w:eastAsia="Calibri" w:cs="Arial"/>
          <w:szCs w:val="20"/>
        </w:rPr>
        <w:t>Předložit novelu zákona č. 111/1998 Sb., o vysokých školách a o změně a</w:t>
      </w:r>
      <w:r>
        <w:rPr>
          <w:rFonts w:eastAsia="Calibri" w:cs="Arial"/>
          <w:szCs w:val="20"/>
        </w:rPr>
        <w:t> </w:t>
      </w:r>
      <w:r w:rsidRPr="0057756D">
        <w:rPr>
          <w:rFonts w:eastAsia="Calibri" w:cs="Arial"/>
          <w:szCs w:val="20"/>
        </w:rPr>
        <w:t>doplnění dalších zákonů (zákon o vysokých školách), ve znění pozdějších předpisů</w:t>
      </w:r>
      <w:r>
        <w:rPr>
          <w:rFonts w:eastAsia="Calibri" w:cs="Arial"/>
          <w:szCs w:val="20"/>
        </w:rPr>
        <w:t>,</w:t>
      </w:r>
      <w:r w:rsidRPr="0057756D">
        <w:rPr>
          <w:rFonts w:eastAsia="Calibri" w:cs="Arial"/>
          <w:szCs w:val="20"/>
        </w:rPr>
        <w:t xml:space="preserve"> doplňující ustanovení v § 21 a 42 o nové povinnosti vysokých škol, kdy budou vysoké školy povinny zajistit dostupná opatření pro vyrovnání příležitostí při přijímacím řízení a následně při plnění studijních povinností pro</w:t>
      </w:r>
      <w:r>
        <w:rPr>
          <w:rFonts w:eastAsia="Calibri" w:cs="Arial"/>
          <w:szCs w:val="20"/>
        </w:rPr>
        <w:t> </w:t>
      </w:r>
      <w:r w:rsidRPr="0057756D">
        <w:rPr>
          <w:rFonts w:eastAsia="Calibri" w:cs="Arial"/>
          <w:szCs w:val="20"/>
        </w:rPr>
        <w:t xml:space="preserve">uchazeče a studenty </w:t>
      </w:r>
      <w:r>
        <w:rPr>
          <w:rFonts w:eastAsia="Calibri" w:cs="Arial"/>
          <w:szCs w:val="20"/>
        </w:rPr>
        <w:t>se specifickými potřebami. Tato </w:t>
      </w:r>
      <w:r w:rsidRPr="0057756D">
        <w:rPr>
          <w:rFonts w:eastAsia="Calibri" w:cs="Arial"/>
          <w:szCs w:val="20"/>
        </w:rPr>
        <w:t>opatření upraví vysoká škola v </w:t>
      </w:r>
      <w:r>
        <w:rPr>
          <w:rFonts w:eastAsia="Calibri" w:cs="Arial"/>
          <w:szCs w:val="20"/>
        </w:rPr>
        <w:t>rámci svého vnitřního předpisu.</w:t>
      </w:r>
    </w:p>
    <w:p w14:paraId="08F30224" w14:textId="77777777" w:rsidR="008C4EA1" w:rsidRPr="0072558B" w:rsidRDefault="008C4EA1" w:rsidP="008C4EA1">
      <w:pPr>
        <w:spacing w:after="100"/>
        <w:rPr>
          <w:rFonts w:eastAsia="Calibri" w:cs="Arial"/>
          <w:i/>
          <w:szCs w:val="20"/>
        </w:rPr>
      </w:pPr>
      <w:r w:rsidRPr="00EF4B36">
        <w:rPr>
          <w:rFonts w:eastAsia="Calibri" w:cs="Arial"/>
          <w:szCs w:val="20"/>
        </w:rPr>
        <w:t>Term</w:t>
      </w:r>
      <w:r>
        <w:rPr>
          <w:rFonts w:eastAsia="Calibri" w:cs="Arial"/>
          <w:szCs w:val="20"/>
        </w:rPr>
        <w:t xml:space="preserve">ín: </w:t>
      </w:r>
      <w:proofErr w:type="gramStart"/>
      <w:r>
        <w:rPr>
          <w:rFonts w:eastAsia="Calibri" w:cs="Arial"/>
          <w:szCs w:val="20"/>
        </w:rPr>
        <w:t>31.12.2023</w:t>
      </w:r>
      <w:proofErr w:type="gramEnd"/>
    </w:p>
    <w:p w14:paraId="6DA5C510" w14:textId="77777777" w:rsidR="008C4EA1" w:rsidRDefault="008C4EA1" w:rsidP="00FA24AE">
      <w:pPr>
        <w:rPr>
          <w:rFonts w:eastAsia="Calibri" w:cs="Arial"/>
          <w:szCs w:val="20"/>
        </w:rPr>
      </w:pPr>
      <w:r w:rsidRPr="0057756D">
        <w:rPr>
          <w:rFonts w:eastAsia="Calibri" w:cs="Arial"/>
          <w:szCs w:val="20"/>
        </w:rPr>
        <w:t>Gestor: MŠMT</w:t>
      </w:r>
    </w:p>
    <w:p w14:paraId="0B85FA8A" w14:textId="77777777" w:rsidR="008C4EA1" w:rsidRPr="008500C7" w:rsidRDefault="008C4EA1" w:rsidP="00FA24AE">
      <w:pPr>
        <w:rPr>
          <w:rFonts w:eastAsia="Calibri" w:cs="Arial"/>
          <w:szCs w:val="20"/>
        </w:rPr>
      </w:pPr>
      <w:r w:rsidRPr="00831152">
        <w:rPr>
          <w:rFonts w:cs="Arial"/>
          <w:szCs w:val="20"/>
        </w:rPr>
        <w:lastRenderedPageBreak/>
        <w:t>Indikátor:</w:t>
      </w:r>
      <w:r w:rsidRPr="00496714">
        <w:rPr>
          <w:rFonts w:eastAsia="Calibri" w:cs="Arial"/>
          <w:szCs w:val="20"/>
        </w:rPr>
        <w:t xml:space="preserve"> </w:t>
      </w:r>
      <w:r>
        <w:rPr>
          <w:rFonts w:eastAsia="Calibri" w:cs="Arial"/>
          <w:szCs w:val="20"/>
        </w:rPr>
        <w:t>Byla</w:t>
      </w:r>
      <w:r w:rsidRPr="00E03C22">
        <w:rPr>
          <w:rFonts w:eastAsia="Calibri" w:cs="Arial"/>
          <w:szCs w:val="20"/>
        </w:rPr>
        <w:t xml:space="preserve"> </w:t>
      </w:r>
      <w:r w:rsidRPr="0040634B">
        <w:rPr>
          <w:rFonts w:cs="Arial"/>
          <w:szCs w:val="20"/>
        </w:rPr>
        <w:t>schválena</w:t>
      </w:r>
      <w:r w:rsidRPr="00E03C22">
        <w:rPr>
          <w:rFonts w:eastAsia="Calibri" w:cs="Arial"/>
          <w:szCs w:val="20"/>
        </w:rPr>
        <w:t xml:space="preserve"> novela zákona</w:t>
      </w:r>
      <w:r>
        <w:rPr>
          <w:rFonts w:eastAsia="Calibri" w:cs="Arial"/>
          <w:szCs w:val="20"/>
        </w:rPr>
        <w:t xml:space="preserve"> upravující uvedenou problematiku.</w:t>
      </w:r>
    </w:p>
    <w:p w14:paraId="5E5738C1" w14:textId="77777777" w:rsidR="00FA24AE" w:rsidRDefault="00FA24AE" w:rsidP="00FA24AE">
      <w:pPr>
        <w:tabs>
          <w:tab w:val="left" w:pos="720"/>
        </w:tabs>
        <w:rPr>
          <w:rFonts w:cs="Arial"/>
          <w:b/>
          <w:bCs/>
          <w:sz w:val="20"/>
          <w:szCs w:val="20"/>
          <w:lang w:eastAsia="cs-CZ"/>
        </w:rPr>
      </w:pPr>
    </w:p>
    <w:p w14:paraId="03E275E6" w14:textId="33AF1221" w:rsidR="00FA24AE" w:rsidRPr="00DB7AF4" w:rsidRDefault="00FA24AE" w:rsidP="00FA24AE">
      <w:pPr>
        <w:tabs>
          <w:tab w:val="left" w:pos="720"/>
        </w:tabs>
        <w:rPr>
          <w:rFonts w:cs="Arial"/>
          <w:b/>
          <w:bCs/>
          <w:sz w:val="20"/>
          <w:szCs w:val="20"/>
          <w:lang w:eastAsia="cs-CZ"/>
        </w:rPr>
      </w:pPr>
      <w:r w:rsidRPr="00DB7AF4">
        <w:rPr>
          <w:rFonts w:cs="Arial"/>
          <w:b/>
          <w:bCs/>
          <w:sz w:val="20"/>
          <w:szCs w:val="20"/>
          <w:lang w:eastAsia="cs-CZ"/>
        </w:rPr>
        <w:t>PLNĚNÍ MŠMT:</w:t>
      </w:r>
    </w:p>
    <w:p w14:paraId="07D92A40" w14:textId="154A56DB" w:rsidR="00DB7AF4" w:rsidRPr="00DB7AF4" w:rsidRDefault="00DB7AF4" w:rsidP="00DB7AF4">
      <w:pPr>
        <w:rPr>
          <w:rFonts w:eastAsia="Calibri" w:cs="Arial"/>
          <w:sz w:val="20"/>
          <w:szCs w:val="20"/>
        </w:rPr>
      </w:pPr>
      <w:r w:rsidRPr="00DB7AF4">
        <w:rPr>
          <w:rFonts w:eastAsia="Calibri" w:cs="Arial"/>
          <w:sz w:val="20"/>
          <w:szCs w:val="20"/>
        </w:rPr>
        <w:t xml:space="preserve">Indikátor prozatím nesplněn, protože novela zatím nebyla schválena, nachází se ve stavu po jednání LRV a je v úpravách. </w:t>
      </w:r>
      <w:r w:rsidRPr="00DB7AF4">
        <w:rPr>
          <w:rStyle w:val="ui-provider"/>
          <w:sz w:val="20"/>
          <w:szCs w:val="20"/>
        </w:rPr>
        <w:t xml:space="preserve">Kompletní znění materiálů (vč. zmíněných paragrafů) zde: </w:t>
      </w:r>
      <w:hyperlink r:id="rId104" w:tgtFrame="_blank" w:tooltip="https://odok.cz/portal/veklep/material/korncnutlvwm/" w:history="1">
        <w:r w:rsidRPr="00DB7AF4">
          <w:rPr>
            <w:rStyle w:val="Hypertextovodkaz"/>
            <w:sz w:val="20"/>
            <w:szCs w:val="20"/>
          </w:rPr>
          <w:t>https://odok.cz/portal/veklep/material/KORNCNUTLVWM/</w:t>
        </w:r>
      </w:hyperlink>
      <w:r w:rsidRPr="00DB7AF4">
        <w:rPr>
          <w:rStyle w:val="ui-provider"/>
          <w:sz w:val="20"/>
          <w:szCs w:val="20"/>
        </w:rPr>
        <w:t>. Navrhuje se posunutí termínu na konec roku 2024, plánovaná účinnost novely pak je k 1. 1. 2025.</w:t>
      </w:r>
    </w:p>
    <w:p w14:paraId="21D1ABE2" w14:textId="3C9DA66C" w:rsidR="00FA24AE" w:rsidRPr="00DB7AF4" w:rsidRDefault="00FA24AE" w:rsidP="00FA24AE">
      <w:pPr>
        <w:tabs>
          <w:tab w:val="left" w:pos="720"/>
        </w:tabs>
        <w:rPr>
          <w:rFonts w:cs="Arial"/>
          <w:b/>
          <w:bCs/>
          <w:sz w:val="20"/>
          <w:szCs w:val="20"/>
          <w:lang w:eastAsia="cs-CZ"/>
        </w:rPr>
      </w:pPr>
      <w:r w:rsidRPr="00DB7AF4">
        <w:rPr>
          <w:rFonts w:cs="Arial"/>
          <w:b/>
          <w:bCs/>
          <w:sz w:val="20"/>
          <w:szCs w:val="20"/>
          <w:lang w:eastAsia="cs-CZ"/>
        </w:rPr>
        <w:t xml:space="preserve">STANOVISKO K PLNĚNÍ: </w:t>
      </w:r>
      <w:r w:rsidR="002266F2" w:rsidRPr="00136D17">
        <w:rPr>
          <w:rFonts w:cs="Arial"/>
          <w:b/>
          <w:bCs/>
          <w:sz w:val="20"/>
          <w:szCs w:val="20"/>
          <w:lang w:eastAsia="cs-CZ"/>
        </w:rPr>
        <w:t xml:space="preserve">Nesplněno. Navržen posun termínu do </w:t>
      </w:r>
      <w:proofErr w:type="gramStart"/>
      <w:r w:rsidR="002266F2" w:rsidRPr="00136D17">
        <w:rPr>
          <w:rFonts w:cs="Arial"/>
          <w:b/>
          <w:bCs/>
          <w:sz w:val="20"/>
          <w:szCs w:val="20"/>
          <w:lang w:eastAsia="cs-CZ"/>
        </w:rPr>
        <w:t>31.12.2024</w:t>
      </w:r>
      <w:proofErr w:type="gramEnd"/>
      <w:r w:rsidR="002266F2" w:rsidRPr="00136D17">
        <w:rPr>
          <w:rFonts w:cs="Arial"/>
          <w:b/>
          <w:bCs/>
          <w:sz w:val="20"/>
          <w:szCs w:val="20"/>
          <w:lang w:eastAsia="cs-CZ"/>
        </w:rPr>
        <w:t>.</w:t>
      </w:r>
    </w:p>
    <w:p w14:paraId="73D687FA" w14:textId="77777777" w:rsidR="008C4EA1" w:rsidRPr="005E618D" w:rsidRDefault="008C4EA1" w:rsidP="00FA24AE">
      <w:pPr>
        <w:rPr>
          <w:rFonts w:cs="Arial"/>
          <w:b/>
          <w:bCs/>
          <w:szCs w:val="20"/>
        </w:rPr>
      </w:pPr>
    </w:p>
    <w:p w14:paraId="74486B29" w14:textId="77777777" w:rsidR="00F17E74" w:rsidRPr="0057756D" w:rsidRDefault="00F17E74" w:rsidP="00A75FA8">
      <w:pPr>
        <w:rPr>
          <w:rFonts w:eastAsia="Calibri" w:cs="Arial"/>
          <w:szCs w:val="20"/>
        </w:rPr>
      </w:pPr>
      <w:r w:rsidRPr="0035060D">
        <w:rPr>
          <w:rFonts w:cs="Arial"/>
          <w:bCs/>
          <w:szCs w:val="20"/>
        </w:rPr>
        <w:t xml:space="preserve">Opatření </w:t>
      </w:r>
      <w:r>
        <w:rPr>
          <w:rFonts w:cs="Arial"/>
          <w:bCs/>
          <w:szCs w:val="20"/>
        </w:rPr>
        <w:t>8</w:t>
      </w:r>
      <w:r>
        <w:rPr>
          <w:rFonts w:cs="Arial"/>
          <w:szCs w:val="20"/>
        </w:rPr>
        <w:t xml:space="preserve">.4.2 </w:t>
      </w:r>
      <w:r w:rsidRPr="0057756D">
        <w:rPr>
          <w:rFonts w:eastAsia="Calibri" w:cs="Arial"/>
          <w:szCs w:val="20"/>
        </w:rPr>
        <w:t>Systematicky sledovat charakteristiky skupiny studentů se specifickými potřebami na vysokých školách. Základní monitoring bude doplněn o výběrová šetření zaměřená na studijní podmínky studentů. Šetření budou sledovat průchod studiem, účast v mobilitních programech nebo připravenost vysoké školy na specifické potřeby studentů</w:t>
      </w:r>
      <w:r>
        <w:rPr>
          <w:rFonts w:eastAsia="Calibri" w:cs="Arial"/>
          <w:szCs w:val="20"/>
        </w:rPr>
        <w:t>,</w:t>
      </w:r>
      <w:r w:rsidRPr="0057756D">
        <w:rPr>
          <w:rFonts w:eastAsia="Calibri" w:cs="Arial"/>
          <w:szCs w:val="20"/>
        </w:rPr>
        <w:t xml:space="preserve"> jak po personální</w:t>
      </w:r>
      <w:r>
        <w:rPr>
          <w:rFonts w:eastAsia="Calibri" w:cs="Arial"/>
          <w:szCs w:val="20"/>
        </w:rPr>
        <w:t>,</w:t>
      </w:r>
      <w:r w:rsidRPr="0057756D">
        <w:rPr>
          <w:rFonts w:eastAsia="Calibri" w:cs="Arial"/>
          <w:szCs w:val="20"/>
        </w:rPr>
        <w:t xml:space="preserve"> tak infrastrukturní stránce. </w:t>
      </w:r>
    </w:p>
    <w:p w14:paraId="1943F63D" w14:textId="77777777" w:rsidR="00F17E74" w:rsidRPr="0057756D" w:rsidRDefault="00F17E74" w:rsidP="000857B0">
      <w:pPr>
        <w:widowControl w:val="0"/>
        <w:rPr>
          <w:rFonts w:cs="Arial"/>
          <w:szCs w:val="20"/>
        </w:rPr>
      </w:pPr>
      <w:r w:rsidRPr="0057756D">
        <w:rPr>
          <w:rFonts w:cs="Arial"/>
          <w:szCs w:val="20"/>
        </w:rPr>
        <w:t>Termín: průběžně</w:t>
      </w:r>
    </w:p>
    <w:p w14:paraId="5F4A3CD4" w14:textId="77777777" w:rsidR="00F17E74" w:rsidRPr="0057756D" w:rsidRDefault="00F17E74" w:rsidP="000857B0">
      <w:pPr>
        <w:rPr>
          <w:rFonts w:cs="Arial"/>
          <w:szCs w:val="20"/>
        </w:rPr>
      </w:pPr>
      <w:r w:rsidRPr="0057756D">
        <w:rPr>
          <w:rFonts w:cs="Arial"/>
          <w:szCs w:val="20"/>
        </w:rPr>
        <w:t>Gestor: MŠMT</w:t>
      </w:r>
    </w:p>
    <w:p w14:paraId="452F6C7D" w14:textId="1C25D875" w:rsidR="0045347A" w:rsidRDefault="00F17E74" w:rsidP="000857B0">
      <w:pPr>
        <w:rPr>
          <w:rFonts w:cs="Arial"/>
          <w:szCs w:val="20"/>
        </w:rPr>
      </w:pPr>
      <w:r w:rsidRPr="00831152">
        <w:rPr>
          <w:rFonts w:cs="Arial"/>
          <w:szCs w:val="20"/>
        </w:rPr>
        <w:t>Indikátor:</w:t>
      </w:r>
      <w:r w:rsidRPr="00496714">
        <w:rPr>
          <w:rFonts w:cs="Arial"/>
          <w:szCs w:val="20"/>
        </w:rPr>
        <w:t xml:space="preserve"> </w:t>
      </w:r>
      <w:r>
        <w:rPr>
          <w:rFonts w:cs="Arial"/>
          <w:szCs w:val="20"/>
        </w:rPr>
        <w:t>Uveden</w:t>
      </w:r>
      <w:r w:rsidR="00E33F8A">
        <w:rPr>
          <w:rFonts w:cs="Arial"/>
          <w:szCs w:val="20"/>
        </w:rPr>
        <w:t>á</w:t>
      </w:r>
      <w:r>
        <w:rPr>
          <w:rFonts w:cs="Arial"/>
          <w:szCs w:val="20"/>
        </w:rPr>
        <w:t xml:space="preserve"> šetření j</w:t>
      </w:r>
      <w:r w:rsidR="00E33F8A">
        <w:rPr>
          <w:rFonts w:cs="Arial"/>
          <w:szCs w:val="20"/>
        </w:rPr>
        <w:t>sou</w:t>
      </w:r>
      <w:r w:rsidRPr="00E03C22">
        <w:rPr>
          <w:rFonts w:cs="Arial"/>
          <w:szCs w:val="20"/>
        </w:rPr>
        <w:t xml:space="preserve"> </w:t>
      </w:r>
      <w:r>
        <w:rPr>
          <w:rFonts w:cs="Arial"/>
          <w:szCs w:val="20"/>
        </w:rPr>
        <w:t xml:space="preserve">průběžně </w:t>
      </w:r>
      <w:r w:rsidRPr="00E03C22">
        <w:rPr>
          <w:rFonts w:cs="Arial"/>
          <w:szCs w:val="20"/>
        </w:rPr>
        <w:t>realizován</w:t>
      </w:r>
      <w:r w:rsidR="00E33F8A">
        <w:rPr>
          <w:rFonts w:cs="Arial"/>
          <w:szCs w:val="20"/>
        </w:rPr>
        <w:t>a</w:t>
      </w:r>
      <w:r w:rsidRPr="00E03C22">
        <w:rPr>
          <w:rFonts w:cs="Arial"/>
          <w:szCs w:val="20"/>
        </w:rPr>
        <w:t>.</w:t>
      </w:r>
    </w:p>
    <w:p w14:paraId="72EDB7A6" w14:textId="77777777" w:rsidR="000857B0" w:rsidRPr="00296782" w:rsidRDefault="000857B0" w:rsidP="000857B0">
      <w:pPr>
        <w:rPr>
          <w:rFonts w:cs="Arial"/>
          <w:sz w:val="20"/>
          <w:szCs w:val="20"/>
        </w:rPr>
      </w:pPr>
    </w:p>
    <w:p w14:paraId="74069A6C" w14:textId="4AC71CDC" w:rsidR="00EF54BD" w:rsidRPr="00C44132" w:rsidRDefault="00EF54BD" w:rsidP="000857B0">
      <w:pPr>
        <w:tabs>
          <w:tab w:val="left" w:pos="720"/>
        </w:tabs>
        <w:rPr>
          <w:rFonts w:cs="Arial"/>
          <w:b/>
          <w:bCs/>
          <w:sz w:val="20"/>
          <w:szCs w:val="20"/>
          <w:lang w:eastAsia="cs-CZ"/>
        </w:rPr>
      </w:pPr>
      <w:r w:rsidRPr="00C44132">
        <w:rPr>
          <w:rFonts w:cs="Arial"/>
          <w:b/>
          <w:bCs/>
          <w:sz w:val="20"/>
          <w:szCs w:val="20"/>
          <w:lang w:eastAsia="cs-CZ"/>
        </w:rPr>
        <w:t>PLNĚNÍ MŠMT:</w:t>
      </w:r>
    </w:p>
    <w:p w14:paraId="3D9AE173" w14:textId="0651E138" w:rsidR="00C44132" w:rsidRPr="00C44132" w:rsidRDefault="00C44132" w:rsidP="00C44132">
      <w:pPr>
        <w:pStyle w:val="Normlnweb"/>
        <w:spacing w:after="120"/>
        <w:rPr>
          <w:rFonts w:ascii="Arial" w:eastAsia="Calibri" w:hAnsi="Arial" w:cs="Arial"/>
          <w:sz w:val="20"/>
          <w:szCs w:val="20"/>
          <w:lang w:eastAsia="en-US"/>
        </w:rPr>
      </w:pPr>
      <w:r w:rsidRPr="00C44132">
        <w:rPr>
          <w:rFonts w:ascii="Arial" w:eastAsia="Calibri" w:hAnsi="Arial" w:cs="Arial"/>
          <w:sz w:val="20"/>
          <w:szCs w:val="20"/>
          <w:lang w:eastAsia="en-US"/>
        </w:rPr>
        <w:t>Vysoké školy každoročně předkládají MŠMT výroční zprávy, ve kterých musí uvést, jakými způsoby podporují studenty se specifickými potřebami. MŠMT se současně po</w:t>
      </w:r>
      <w:r w:rsidR="0032029C">
        <w:rPr>
          <w:rFonts w:ascii="Arial" w:eastAsia="Calibri" w:hAnsi="Arial" w:cs="Arial"/>
          <w:sz w:val="20"/>
          <w:szCs w:val="20"/>
          <w:lang w:eastAsia="en-US"/>
        </w:rPr>
        <w:t>dílí na šetřeních Eurostudent a </w:t>
      </w:r>
      <w:r w:rsidRPr="00C44132">
        <w:rPr>
          <w:rFonts w:ascii="Arial" w:eastAsia="Calibri" w:hAnsi="Arial" w:cs="Arial"/>
          <w:sz w:val="20"/>
          <w:szCs w:val="20"/>
          <w:lang w:eastAsia="en-US"/>
        </w:rPr>
        <w:t>Eurograduate.</w:t>
      </w:r>
    </w:p>
    <w:p w14:paraId="79C7DAA1" w14:textId="77777777" w:rsidR="00C44132" w:rsidRPr="00C44132" w:rsidRDefault="00C44132" w:rsidP="00C44132">
      <w:pPr>
        <w:pStyle w:val="Normlnweb"/>
        <w:spacing w:after="120"/>
        <w:rPr>
          <w:rFonts w:ascii="Arial" w:eastAsia="Calibri" w:hAnsi="Arial" w:cs="Arial"/>
          <w:sz w:val="20"/>
          <w:szCs w:val="20"/>
          <w:lang w:eastAsia="en-US"/>
        </w:rPr>
      </w:pPr>
      <w:r w:rsidRPr="00C44132">
        <w:rPr>
          <w:rFonts w:ascii="Arial" w:eastAsia="Calibri" w:hAnsi="Arial" w:cs="Arial"/>
          <w:sz w:val="20"/>
          <w:szCs w:val="20"/>
          <w:lang w:eastAsia="en-US"/>
        </w:rPr>
        <w:t xml:space="preserve">MŠMT ve spolupráci s CSVŠ a VŠCHT v září 2023 organizovalo konferenci, na které byly představeny vybrané výsledky šetření Eurostudent 8. Realizace a vyhodnocení šetření je v gesci resortní výzkumné organizace Centrum pro studium vysokého školství, </w:t>
      </w:r>
      <w:proofErr w:type="gramStart"/>
      <w:r w:rsidRPr="00C44132">
        <w:rPr>
          <w:rFonts w:ascii="Arial" w:eastAsia="Calibri" w:hAnsi="Arial" w:cs="Arial"/>
          <w:sz w:val="20"/>
          <w:szCs w:val="20"/>
          <w:lang w:eastAsia="en-US"/>
        </w:rPr>
        <w:t>v.v.</w:t>
      </w:r>
      <w:proofErr w:type="gramEnd"/>
      <w:r w:rsidRPr="00C44132">
        <w:rPr>
          <w:rFonts w:ascii="Arial" w:eastAsia="Calibri" w:hAnsi="Arial" w:cs="Arial"/>
          <w:sz w:val="20"/>
          <w:szCs w:val="20"/>
          <w:lang w:eastAsia="en-US"/>
        </w:rPr>
        <w:t>i. (CSVŠ). MŠMT a CSVŠ v současné době konzultují připomínky k závěrečné zprávě z šetření Eurostudent 8. Závěrečná zpráva bude ze strany CSVŠ odevzdána MŠMT do konce února 2024. MŠMT a CSVŠ následně tuto zprávu zveřejní. MŠMT také spolupracuje se zahraničními partnery na přípravě šetření Eurostudent 9.</w:t>
      </w:r>
    </w:p>
    <w:p w14:paraId="031B5B3D" w14:textId="77777777" w:rsidR="00C44132" w:rsidRPr="00C44132" w:rsidRDefault="00C44132" w:rsidP="00C44132">
      <w:pPr>
        <w:pStyle w:val="Normlnweb"/>
        <w:spacing w:after="120"/>
        <w:rPr>
          <w:rFonts w:ascii="Arial" w:eastAsia="Calibri" w:hAnsi="Arial" w:cs="Arial"/>
          <w:sz w:val="20"/>
          <w:szCs w:val="20"/>
          <w:lang w:eastAsia="en-US"/>
        </w:rPr>
      </w:pPr>
      <w:r w:rsidRPr="00C44132">
        <w:rPr>
          <w:rFonts w:ascii="Arial" w:eastAsia="Calibri" w:hAnsi="Arial" w:cs="Arial"/>
          <w:sz w:val="20"/>
          <w:szCs w:val="20"/>
          <w:lang w:eastAsia="en-US"/>
        </w:rPr>
        <w:t>MŠMT ve spolupráci s CSVŠ realizuje národní část šetření Eurograduate 2022. Jedná se o šetření, které bylo v roce 2018 pilotováno ve vybraných zemích EU, včetně České republiky. Aktuálního kola šetření se účastní 17 zemí EU a EHP. Sběr dat v rámci šetření Eurograduate 2022 probíhal v prosinci 2022 a v lednu 2023. V současné době připravuje CSVŠ závěrečnou zprávu, a v 1. pololetí 2024 MŠMT zorganizuje závěrečnou konferenci k výsledkům šetření.</w:t>
      </w:r>
    </w:p>
    <w:p w14:paraId="039152FE" w14:textId="733CE47C" w:rsidR="00C44132" w:rsidRPr="00C44132" w:rsidRDefault="00C44132" w:rsidP="00C44132">
      <w:pPr>
        <w:pStyle w:val="Normlnweb"/>
        <w:spacing w:after="120"/>
        <w:rPr>
          <w:rFonts w:ascii="Arial" w:eastAsia="Calibri" w:hAnsi="Arial" w:cs="Arial"/>
          <w:sz w:val="20"/>
          <w:szCs w:val="20"/>
          <w:lang w:eastAsia="en-US"/>
        </w:rPr>
      </w:pPr>
      <w:r w:rsidRPr="00C44132">
        <w:rPr>
          <w:rFonts w:ascii="Arial" w:eastAsia="Calibri" w:hAnsi="Arial" w:cs="Arial"/>
          <w:sz w:val="20"/>
          <w:szCs w:val="20"/>
          <w:lang w:eastAsia="en-US"/>
        </w:rPr>
        <w:t>Problematika studujících se specifickými potřebami je ve všech realizovaných šetřeních zohledněna. Obzvlášť v šetření Eurostudent byly otázky spojené se studujícími se specifickými potřebami akcentovány, a to jak v mezinárodní, tak národní části.</w:t>
      </w:r>
    </w:p>
    <w:p w14:paraId="2908720F" w14:textId="49A993A0" w:rsidR="00EF54BD" w:rsidRPr="00C44132" w:rsidRDefault="00EF54BD" w:rsidP="000857B0">
      <w:pPr>
        <w:keepNext/>
        <w:tabs>
          <w:tab w:val="left" w:pos="720"/>
        </w:tabs>
        <w:rPr>
          <w:rFonts w:cs="Arial"/>
          <w:b/>
          <w:bCs/>
          <w:sz w:val="20"/>
          <w:szCs w:val="20"/>
          <w:lang w:eastAsia="cs-CZ"/>
        </w:rPr>
      </w:pPr>
      <w:r w:rsidRPr="00C44132">
        <w:rPr>
          <w:rFonts w:cs="Arial"/>
          <w:b/>
          <w:bCs/>
          <w:sz w:val="20"/>
          <w:szCs w:val="20"/>
          <w:lang w:eastAsia="cs-CZ"/>
        </w:rPr>
        <w:t>STANOVISKO K PLNĚNÍ:</w:t>
      </w:r>
      <w:r w:rsidR="00A1226E" w:rsidRPr="00C44132">
        <w:rPr>
          <w:rFonts w:cs="Arial"/>
          <w:b/>
          <w:bCs/>
          <w:sz w:val="20"/>
          <w:szCs w:val="20"/>
          <w:lang w:eastAsia="cs-CZ"/>
        </w:rPr>
        <w:t xml:space="preserve"> Plněno.</w:t>
      </w:r>
    </w:p>
    <w:p w14:paraId="53C611D3" w14:textId="77777777" w:rsidR="00EF54BD" w:rsidRPr="00296782" w:rsidRDefault="00EF54BD" w:rsidP="000857B0">
      <w:pPr>
        <w:rPr>
          <w:rFonts w:cs="Arial"/>
          <w:sz w:val="20"/>
          <w:szCs w:val="20"/>
        </w:rPr>
      </w:pPr>
    </w:p>
    <w:p w14:paraId="7EB6B65B" w14:textId="77777777" w:rsidR="00F17E74" w:rsidRPr="0057756D" w:rsidRDefault="00F17E74" w:rsidP="001718F1">
      <w:pPr>
        <w:rPr>
          <w:rFonts w:eastAsia="Calibri" w:cs="Arial"/>
          <w:szCs w:val="20"/>
        </w:rPr>
      </w:pPr>
      <w:r w:rsidRPr="0035060D">
        <w:rPr>
          <w:rFonts w:cs="Arial"/>
          <w:bCs/>
          <w:szCs w:val="20"/>
        </w:rPr>
        <w:t xml:space="preserve">Opatření </w:t>
      </w:r>
      <w:r>
        <w:rPr>
          <w:rFonts w:cs="Arial"/>
          <w:bCs/>
          <w:szCs w:val="20"/>
        </w:rPr>
        <w:t>8</w:t>
      </w:r>
      <w:r>
        <w:rPr>
          <w:rFonts w:cs="Arial"/>
          <w:szCs w:val="20"/>
        </w:rPr>
        <w:t xml:space="preserve">.4.3 </w:t>
      </w:r>
      <w:r w:rsidRPr="0057756D">
        <w:rPr>
          <w:rFonts w:eastAsia="Calibri" w:cs="Arial"/>
          <w:szCs w:val="20"/>
        </w:rPr>
        <w:t>Prostřednictvím investičního programu na rozvoj a obnovu materiálně technické základny vysokých škol finančně podpo</w:t>
      </w:r>
      <w:r>
        <w:rPr>
          <w:rFonts w:eastAsia="Calibri" w:cs="Arial"/>
          <w:szCs w:val="20"/>
        </w:rPr>
        <w:t>rovat</w:t>
      </w:r>
      <w:r w:rsidRPr="0057756D">
        <w:rPr>
          <w:rFonts w:eastAsia="Calibri" w:cs="Arial"/>
          <w:szCs w:val="20"/>
        </w:rPr>
        <w:t xml:space="preserve"> revitalizaci a výstavbu prostor vysokých škol s ohledem na</w:t>
      </w:r>
      <w:r>
        <w:rPr>
          <w:rFonts w:eastAsia="Calibri" w:cs="Arial"/>
          <w:szCs w:val="20"/>
        </w:rPr>
        <w:t> </w:t>
      </w:r>
      <w:r w:rsidRPr="0057756D">
        <w:rPr>
          <w:rFonts w:eastAsia="Calibri" w:cs="Arial"/>
          <w:szCs w:val="20"/>
        </w:rPr>
        <w:t xml:space="preserve">jejich využívání studenty se specifickými potřebami (bezbariérové přístupy apod.). </w:t>
      </w:r>
    </w:p>
    <w:p w14:paraId="427EB340" w14:textId="77777777" w:rsidR="00F17E74" w:rsidRPr="0057756D" w:rsidRDefault="00F17E74" w:rsidP="001718F1">
      <w:pPr>
        <w:widowControl w:val="0"/>
        <w:rPr>
          <w:rFonts w:cs="Arial"/>
          <w:szCs w:val="20"/>
        </w:rPr>
      </w:pPr>
      <w:r w:rsidRPr="0057756D">
        <w:rPr>
          <w:rFonts w:cs="Arial"/>
          <w:szCs w:val="20"/>
        </w:rPr>
        <w:t>Termín: průběžně</w:t>
      </w:r>
    </w:p>
    <w:p w14:paraId="11AF7133" w14:textId="77777777" w:rsidR="00F17E74" w:rsidRPr="0057756D" w:rsidRDefault="00F17E74" w:rsidP="001718F1">
      <w:pPr>
        <w:rPr>
          <w:rFonts w:cs="Arial"/>
          <w:szCs w:val="20"/>
        </w:rPr>
      </w:pPr>
      <w:r w:rsidRPr="0057756D">
        <w:rPr>
          <w:rFonts w:cs="Arial"/>
          <w:szCs w:val="20"/>
        </w:rPr>
        <w:t>Gestor: MŠMT</w:t>
      </w:r>
    </w:p>
    <w:p w14:paraId="129667EE" w14:textId="348E2FD3" w:rsidR="00F17E74" w:rsidRDefault="00F17E74" w:rsidP="001718F1">
      <w:pPr>
        <w:rPr>
          <w:rFonts w:cs="Arial"/>
          <w:szCs w:val="20"/>
        </w:rPr>
      </w:pPr>
      <w:r w:rsidRPr="00831152">
        <w:rPr>
          <w:rFonts w:cs="Arial"/>
          <w:szCs w:val="20"/>
        </w:rPr>
        <w:t>Indikátor:</w:t>
      </w:r>
      <w:r w:rsidRPr="00496714">
        <w:rPr>
          <w:rFonts w:cs="Arial"/>
          <w:szCs w:val="20"/>
        </w:rPr>
        <w:t xml:space="preserve"> </w:t>
      </w:r>
      <w:r>
        <w:rPr>
          <w:rFonts w:cs="Arial"/>
          <w:szCs w:val="20"/>
        </w:rPr>
        <w:t>Je vyhlašován</w:t>
      </w:r>
      <w:r w:rsidRPr="00496714">
        <w:rPr>
          <w:rFonts w:cs="Arial"/>
          <w:szCs w:val="20"/>
        </w:rPr>
        <w:t xml:space="preserve"> investiční program s uvedeným zaměřením.</w:t>
      </w:r>
    </w:p>
    <w:p w14:paraId="4DCD8AAB" w14:textId="77777777" w:rsidR="001718F1" w:rsidRPr="00BD1A5E" w:rsidRDefault="001718F1" w:rsidP="001718F1">
      <w:pPr>
        <w:rPr>
          <w:rFonts w:cs="Arial"/>
          <w:sz w:val="20"/>
          <w:szCs w:val="20"/>
        </w:rPr>
      </w:pPr>
    </w:p>
    <w:p w14:paraId="38C7DCFD" w14:textId="780BDBB7" w:rsidR="00C34407" w:rsidRPr="00E06D03" w:rsidRDefault="00C34407" w:rsidP="001718F1">
      <w:pPr>
        <w:tabs>
          <w:tab w:val="left" w:pos="720"/>
        </w:tabs>
        <w:rPr>
          <w:rFonts w:cs="Arial"/>
          <w:b/>
          <w:bCs/>
          <w:sz w:val="20"/>
          <w:szCs w:val="20"/>
          <w:lang w:eastAsia="cs-CZ"/>
        </w:rPr>
      </w:pPr>
      <w:r w:rsidRPr="00E06D03">
        <w:rPr>
          <w:rFonts w:cs="Arial"/>
          <w:b/>
          <w:bCs/>
          <w:sz w:val="20"/>
          <w:szCs w:val="20"/>
          <w:lang w:eastAsia="cs-CZ"/>
        </w:rPr>
        <w:lastRenderedPageBreak/>
        <w:t>PLNĚNÍ MŠMT:</w:t>
      </w:r>
    </w:p>
    <w:p w14:paraId="16D79A1E" w14:textId="77777777" w:rsidR="00E06D03" w:rsidRPr="00E06D03" w:rsidRDefault="00E06D03" w:rsidP="00E06D03">
      <w:pPr>
        <w:rPr>
          <w:rStyle w:val="ui-provider"/>
          <w:sz w:val="20"/>
          <w:szCs w:val="20"/>
        </w:rPr>
      </w:pPr>
      <w:r w:rsidRPr="00E06D03">
        <w:rPr>
          <w:rStyle w:val="ui-provider"/>
          <w:sz w:val="20"/>
          <w:szCs w:val="20"/>
        </w:rPr>
        <w:t>MŠMT vyhlásilo v minulém roce výzvu č. 8/133 220 z programu 133 220 Rozvoj a obnova materiálně technické základny veřejných vysokých škol pro rok 2023 (</w:t>
      </w:r>
      <w:hyperlink r:id="rId105" w:history="1">
        <w:r w:rsidRPr="00E06D03">
          <w:rPr>
            <w:rStyle w:val="Hypertextovodkaz"/>
            <w:sz w:val="20"/>
            <w:szCs w:val="20"/>
          </w:rPr>
          <w:t>dostupné online</w:t>
        </w:r>
      </w:hyperlink>
      <w:r w:rsidRPr="00E06D03">
        <w:rPr>
          <w:rStyle w:val="ui-provider"/>
          <w:sz w:val="20"/>
          <w:szCs w:val="20"/>
        </w:rPr>
        <w:t>).</w:t>
      </w:r>
    </w:p>
    <w:p w14:paraId="1440D928" w14:textId="0475D9E9" w:rsidR="00E06D03" w:rsidRPr="00E06D03" w:rsidRDefault="00E06D03" w:rsidP="00E06D03">
      <w:pPr>
        <w:rPr>
          <w:rFonts w:cs="Arial"/>
          <w:sz w:val="20"/>
          <w:szCs w:val="20"/>
        </w:rPr>
      </w:pPr>
      <w:r w:rsidRPr="00E06D03">
        <w:rPr>
          <w:rFonts w:cs="Arial"/>
          <w:sz w:val="20"/>
          <w:szCs w:val="20"/>
        </w:rPr>
        <w:t>Byla rovněž vyhlášena výzva OP JAK pro vysoké školy s</w:t>
      </w:r>
      <w:hyperlink r:id="rId106" w:history="1">
        <w:r w:rsidRPr="00E06D03">
          <w:rPr>
            <w:rStyle w:val="Hypertextovodkaz"/>
            <w:rFonts w:cs="Arial"/>
            <w:sz w:val="20"/>
            <w:szCs w:val="20"/>
          </w:rPr>
          <w:t>e zaměřením na podporu studentů se specifickými potřebami</w:t>
        </w:r>
      </w:hyperlink>
      <w:r w:rsidRPr="00E06D03">
        <w:rPr>
          <w:rFonts w:cs="Arial"/>
          <w:sz w:val="20"/>
          <w:szCs w:val="20"/>
        </w:rPr>
        <w:t xml:space="preserve">. Aktivity zahrnují možnost pořízení vybavení, zpřístupnění a adaptace vysokoškolského prostředí. Podpora studentů se specifickými potřebami je zahrnuta i v další </w:t>
      </w:r>
      <w:hyperlink r:id="rId107" w:history="1">
        <w:r w:rsidRPr="00E06D03">
          <w:rPr>
            <w:rStyle w:val="Hypertextovodkaz"/>
            <w:rFonts w:cs="Arial"/>
            <w:sz w:val="20"/>
            <w:szCs w:val="20"/>
          </w:rPr>
          <w:t>výzvě OP JAK pro vysoké školy</w:t>
        </w:r>
      </w:hyperlink>
      <w:r w:rsidRPr="00E06D03">
        <w:rPr>
          <w:rFonts w:cs="Arial"/>
          <w:sz w:val="20"/>
          <w:szCs w:val="20"/>
        </w:rPr>
        <w:t xml:space="preserve">, </w:t>
      </w:r>
      <w:r w:rsidR="006723C0">
        <w:rPr>
          <w:rFonts w:cs="Arial"/>
          <w:sz w:val="20"/>
          <w:szCs w:val="20"/>
        </w:rPr>
        <w:t xml:space="preserve">v rámci </w:t>
      </w:r>
      <w:r w:rsidRPr="00C06C95">
        <w:rPr>
          <w:rFonts w:cs="Arial"/>
          <w:sz w:val="20"/>
          <w:szCs w:val="20"/>
        </w:rPr>
        <w:t>n</w:t>
      </w:r>
      <w:r w:rsidRPr="00E06D03">
        <w:rPr>
          <w:rFonts w:cs="Arial"/>
          <w:sz w:val="20"/>
          <w:szCs w:val="20"/>
        </w:rPr>
        <w:t xml:space="preserve">íž je možný rozvoj služeb center zabývajících se prací se studenty se specifickými potřebami, </w:t>
      </w:r>
      <w:r w:rsidRPr="00E06D03">
        <w:rPr>
          <w:sz w:val="20"/>
          <w:szCs w:val="20"/>
        </w:rPr>
        <w:t xml:space="preserve">rozvoj práce se studenty se specifickými potřebami včetně nastavení podmínek přijímacího řízení ke studiu pro tyto studenty, nastavení rámce vzdělávání studentů se specifickými potřebami a tvorba studijních pomůcek. Výzva se zaměřuje také na podporu vzdělávání pracovníků vysokých škol v práci se studenty se specifickými potřebami a nadanými. </w:t>
      </w:r>
    </w:p>
    <w:p w14:paraId="4AA238E8" w14:textId="1214E67D" w:rsidR="00C34407" w:rsidRPr="00E06D03" w:rsidRDefault="00C34407" w:rsidP="001718F1">
      <w:pPr>
        <w:keepNext/>
        <w:tabs>
          <w:tab w:val="left" w:pos="720"/>
        </w:tabs>
        <w:rPr>
          <w:rFonts w:cs="Arial"/>
          <w:b/>
          <w:bCs/>
          <w:sz w:val="20"/>
          <w:szCs w:val="20"/>
          <w:lang w:eastAsia="cs-CZ"/>
        </w:rPr>
      </w:pPr>
      <w:r w:rsidRPr="00E06D03">
        <w:rPr>
          <w:rFonts w:cs="Arial"/>
          <w:b/>
          <w:bCs/>
          <w:sz w:val="20"/>
          <w:szCs w:val="20"/>
          <w:lang w:eastAsia="cs-CZ"/>
        </w:rPr>
        <w:t>STANOVISKO K PLNĚNÍ:</w:t>
      </w:r>
      <w:r w:rsidR="00D754C9" w:rsidRPr="00E06D03">
        <w:rPr>
          <w:rFonts w:cs="Arial"/>
          <w:b/>
          <w:bCs/>
          <w:sz w:val="20"/>
          <w:szCs w:val="20"/>
          <w:lang w:eastAsia="cs-CZ"/>
        </w:rPr>
        <w:t xml:space="preserve"> Plněno.</w:t>
      </w:r>
    </w:p>
    <w:p w14:paraId="3F535853" w14:textId="77777777" w:rsidR="00C34407" w:rsidRPr="00BD1A5E" w:rsidRDefault="00C34407" w:rsidP="00084BFA">
      <w:pPr>
        <w:rPr>
          <w:rFonts w:cs="Arial"/>
          <w:sz w:val="20"/>
          <w:szCs w:val="20"/>
        </w:rPr>
      </w:pPr>
    </w:p>
    <w:p w14:paraId="2F1DC3FE" w14:textId="77777777" w:rsidR="00F17E74" w:rsidRPr="0057756D" w:rsidRDefault="00F17E74" w:rsidP="00606ADD">
      <w:pPr>
        <w:rPr>
          <w:rFonts w:eastAsia="Calibri" w:cs="Arial"/>
          <w:szCs w:val="20"/>
        </w:rPr>
      </w:pPr>
      <w:r w:rsidRPr="0035060D">
        <w:rPr>
          <w:rFonts w:cs="Arial"/>
          <w:bCs/>
          <w:szCs w:val="20"/>
        </w:rPr>
        <w:t xml:space="preserve">Opatření </w:t>
      </w:r>
      <w:r>
        <w:rPr>
          <w:rFonts w:cs="Arial"/>
          <w:bCs/>
          <w:szCs w:val="20"/>
        </w:rPr>
        <w:t>8</w:t>
      </w:r>
      <w:r>
        <w:rPr>
          <w:rFonts w:cs="Arial"/>
          <w:szCs w:val="20"/>
        </w:rPr>
        <w:t xml:space="preserve">.4.4 </w:t>
      </w:r>
      <w:r w:rsidRPr="0057756D">
        <w:rPr>
          <w:rFonts w:eastAsia="Calibri" w:cs="Arial"/>
          <w:szCs w:val="20"/>
        </w:rPr>
        <w:t>Využívat finanční nástroj v rámci státního rozpočtu pro vysoké školy na</w:t>
      </w:r>
      <w:r w:rsidR="00A72B16">
        <w:rPr>
          <w:rFonts w:eastAsia="Calibri" w:cs="Arial"/>
          <w:szCs w:val="20"/>
        </w:rPr>
        <w:t> </w:t>
      </w:r>
      <w:r w:rsidRPr="0057756D">
        <w:rPr>
          <w:rFonts w:eastAsia="Calibri" w:cs="Arial"/>
          <w:szCs w:val="20"/>
        </w:rPr>
        <w:t xml:space="preserve">kompenzaci zvýšených nákladů souvisejících se studiem studentů se specifickými potřebami v akreditovaných studijních programech. </w:t>
      </w:r>
    </w:p>
    <w:p w14:paraId="008B829C" w14:textId="3B446984" w:rsidR="0072558B" w:rsidRDefault="0072558B" w:rsidP="00606ADD">
      <w:pPr>
        <w:rPr>
          <w:rFonts w:eastAsia="Calibri" w:cs="Arial"/>
          <w:szCs w:val="20"/>
        </w:rPr>
      </w:pPr>
      <w:r w:rsidRPr="0057756D">
        <w:rPr>
          <w:rFonts w:eastAsia="Calibri" w:cs="Arial"/>
          <w:szCs w:val="20"/>
        </w:rPr>
        <w:t>Termín: průběžně</w:t>
      </w:r>
    </w:p>
    <w:p w14:paraId="23F4B966" w14:textId="77777777" w:rsidR="00F17E74" w:rsidRPr="0057756D" w:rsidRDefault="00F17E74" w:rsidP="00606ADD">
      <w:pPr>
        <w:rPr>
          <w:rFonts w:eastAsia="Calibri" w:cs="Arial"/>
          <w:szCs w:val="20"/>
        </w:rPr>
      </w:pPr>
      <w:r w:rsidRPr="0057756D">
        <w:rPr>
          <w:rFonts w:eastAsia="Calibri" w:cs="Arial"/>
          <w:szCs w:val="20"/>
        </w:rPr>
        <w:t>Gestor: MŠMT</w:t>
      </w:r>
    </w:p>
    <w:p w14:paraId="0AE0FAE9" w14:textId="4278021C" w:rsidR="00F17E74" w:rsidRDefault="00F17E74" w:rsidP="00606ADD">
      <w:pPr>
        <w:rPr>
          <w:rFonts w:cs="Arial"/>
          <w:szCs w:val="20"/>
        </w:rPr>
      </w:pPr>
      <w:r w:rsidRPr="00831152">
        <w:rPr>
          <w:rFonts w:cs="Arial"/>
          <w:szCs w:val="20"/>
        </w:rPr>
        <w:t>Indikátor:</w:t>
      </w:r>
      <w:r>
        <w:rPr>
          <w:rFonts w:cs="Arial"/>
          <w:szCs w:val="20"/>
        </w:rPr>
        <w:t xml:space="preserve"> Zvýšené náklady jsou kompenzovány prostřednictvím státního rozpočtu.</w:t>
      </w:r>
    </w:p>
    <w:p w14:paraId="10F5B874" w14:textId="77777777" w:rsidR="00606ADD" w:rsidRPr="00D21642" w:rsidRDefault="00606ADD" w:rsidP="00606ADD">
      <w:pPr>
        <w:rPr>
          <w:rFonts w:cs="Arial"/>
          <w:sz w:val="20"/>
          <w:szCs w:val="20"/>
        </w:rPr>
      </w:pPr>
    </w:p>
    <w:p w14:paraId="56A3BFDE" w14:textId="72C46B48" w:rsidR="00375391" w:rsidRPr="00735438" w:rsidRDefault="00375391" w:rsidP="00606ADD">
      <w:pPr>
        <w:tabs>
          <w:tab w:val="left" w:pos="720"/>
        </w:tabs>
        <w:rPr>
          <w:rFonts w:cs="Arial"/>
          <w:b/>
          <w:bCs/>
          <w:sz w:val="20"/>
          <w:szCs w:val="20"/>
          <w:lang w:eastAsia="cs-CZ"/>
        </w:rPr>
      </w:pPr>
      <w:r w:rsidRPr="00735438">
        <w:rPr>
          <w:rFonts w:cs="Arial"/>
          <w:b/>
          <w:bCs/>
          <w:sz w:val="20"/>
          <w:szCs w:val="20"/>
          <w:lang w:eastAsia="cs-CZ"/>
        </w:rPr>
        <w:t>PLNĚNÍ MŠMT:</w:t>
      </w:r>
    </w:p>
    <w:p w14:paraId="4D06FFBA" w14:textId="5DFD893E" w:rsidR="006723C0" w:rsidRPr="00735438" w:rsidRDefault="006723C0" w:rsidP="006723C0">
      <w:pPr>
        <w:rPr>
          <w:rFonts w:cs="Arial"/>
          <w:sz w:val="20"/>
          <w:szCs w:val="20"/>
        </w:rPr>
      </w:pPr>
      <w:r w:rsidRPr="00735438">
        <w:rPr>
          <w:rStyle w:val="ui-provider"/>
          <w:sz w:val="20"/>
          <w:szCs w:val="20"/>
        </w:rPr>
        <w:t xml:space="preserve">Plněno, viz </w:t>
      </w:r>
      <w:hyperlink r:id="rId108" w:history="1">
        <w:r w:rsidRPr="00834B5C">
          <w:rPr>
            <w:rStyle w:val="Hypertextovodkaz"/>
            <w:sz w:val="20"/>
            <w:szCs w:val="20"/>
          </w:rPr>
          <w:t>Pravidla pro poskytování příspěvku a dotací veřejným vysokým školám Ministerstvem školství, mládeže a tělovýchovy pro rok 2023</w:t>
        </w:r>
      </w:hyperlink>
      <w:r w:rsidRPr="00735438">
        <w:rPr>
          <w:rStyle w:val="ui-provider"/>
          <w:sz w:val="20"/>
          <w:szCs w:val="20"/>
        </w:rPr>
        <w:t>, specificky Příloha 3.</w:t>
      </w:r>
    </w:p>
    <w:p w14:paraId="40893754" w14:textId="7DA03D42" w:rsidR="00375391" w:rsidRPr="00735438" w:rsidRDefault="00375391" w:rsidP="00606ADD">
      <w:pPr>
        <w:keepNext/>
        <w:tabs>
          <w:tab w:val="left" w:pos="720"/>
        </w:tabs>
        <w:rPr>
          <w:rFonts w:cs="Arial"/>
          <w:b/>
          <w:bCs/>
          <w:sz w:val="20"/>
          <w:szCs w:val="20"/>
          <w:lang w:eastAsia="cs-CZ"/>
        </w:rPr>
      </w:pPr>
      <w:r w:rsidRPr="00735438">
        <w:rPr>
          <w:rFonts w:cs="Arial"/>
          <w:b/>
          <w:bCs/>
          <w:sz w:val="20"/>
          <w:szCs w:val="20"/>
          <w:lang w:eastAsia="cs-CZ"/>
        </w:rPr>
        <w:t>STANOVISKO K PLNĚNÍ:</w:t>
      </w:r>
      <w:r w:rsidR="00262D2B" w:rsidRPr="00735438">
        <w:rPr>
          <w:rFonts w:cs="Arial"/>
          <w:b/>
          <w:bCs/>
          <w:sz w:val="20"/>
          <w:szCs w:val="20"/>
          <w:lang w:eastAsia="cs-CZ"/>
        </w:rPr>
        <w:t xml:space="preserve"> Plněno.</w:t>
      </w:r>
    </w:p>
    <w:p w14:paraId="2DC3E9E4" w14:textId="77777777" w:rsidR="00375391" w:rsidRPr="00D21642" w:rsidRDefault="00375391" w:rsidP="00606ADD">
      <w:pPr>
        <w:rPr>
          <w:rFonts w:cs="Arial"/>
          <w:sz w:val="20"/>
          <w:szCs w:val="20"/>
        </w:rPr>
      </w:pPr>
    </w:p>
    <w:p w14:paraId="7406646E" w14:textId="77777777" w:rsidR="00F17E74" w:rsidRPr="0057756D" w:rsidRDefault="00F17E74" w:rsidP="00606ADD">
      <w:pPr>
        <w:rPr>
          <w:rFonts w:eastAsia="Calibri" w:cs="Arial"/>
          <w:b/>
          <w:bCs/>
          <w:szCs w:val="20"/>
        </w:rPr>
      </w:pPr>
      <w:r>
        <w:rPr>
          <w:rFonts w:eastAsia="Calibri" w:cs="Arial"/>
          <w:b/>
          <w:bCs/>
          <w:szCs w:val="20"/>
        </w:rPr>
        <w:t xml:space="preserve">8.5 </w:t>
      </w:r>
      <w:r w:rsidRPr="0057756D">
        <w:rPr>
          <w:rFonts w:eastAsia="Calibri" w:cs="Arial"/>
          <w:b/>
          <w:bCs/>
          <w:szCs w:val="20"/>
        </w:rPr>
        <w:t xml:space="preserve">Cíl: </w:t>
      </w:r>
      <w:r>
        <w:rPr>
          <w:rFonts w:eastAsia="Calibri" w:cs="Arial"/>
          <w:b/>
          <w:bCs/>
          <w:szCs w:val="20"/>
        </w:rPr>
        <w:t xml:space="preserve">Rozšíření možností </w:t>
      </w:r>
      <w:r w:rsidRPr="0057756D">
        <w:rPr>
          <w:rFonts w:eastAsia="Calibri" w:cs="Arial"/>
          <w:b/>
          <w:bCs/>
          <w:szCs w:val="20"/>
        </w:rPr>
        <w:t xml:space="preserve">celoživotního vzdělávání </w:t>
      </w:r>
      <w:r>
        <w:rPr>
          <w:rFonts w:eastAsia="Calibri" w:cs="Arial"/>
          <w:b/>
          <w:bCs/>
          <w:szCs w:val="20"/>
        </w:rPr>
        <w:t>osob</w:t>
      </w:r>
      <w:r w:rsidRPr="0057756D">
        <w:rPr>
          <w:rFonts w:eastAsia="Calibri" w:cs="Arial"/>
          <w:b/>
          <w:bCs/>
          <w:szCs w:val="20"/>
        </w:rPr>
        <w:t xml:space="preserve"> se zdravotním postižením. </w:t>
      </w:r>
    </w:p>
    <w:p w14:paraId="3EE1F16C" w14:textId="145D2E7B" w:rsidR="00F17E74" w:rsidRPr="0057756D" w:rsidRDefault="00F17E74" w:rsidP="00F17E74">
      <w:pPr>
        <w:rPr>
          <w:rFonts w:cs="Arial"/>
          <w:szCs w:val="20"/>
        </w:rPr>
      </w:pPr>
      <w:r w:rsidRPr="0035060D">
        <w:rPr>
          <w:rFonts w:cs="Arial"/>
          <w:bCs/>
          <w:szCs w:val="20"/>
        </w:rPr>
        <w:t xml:space="preserve">Opatření </w:t>
      </w:r>
      <w:r>
        <w:rPr>
          <w:rFonts w:cs="Arial"/>
          <w:bCs/>
          <w:szCs w:val="20"/>
        </w:rPr>
        <w:t>8</w:t>
      </w:r>
      <w:r>
        <w:rPr>
          <w:rFonts w:cs="Arial"/>
          <w:szCs w:val="20"/>
        </w:rPr>
        <w:t xml:space="preserve">.5.1 </w:t>
      </w:r>
      <w:r w:rsidR="00E67342" w:rsidRPr="00E67342">
        <w:rPr>
          <w:iCs/>
        </w:rPr>
        <w:t>Podporovat celoživotní vzdělávání osob se zdravotním postižením další nabídkou vzdělávacích programů včetně kurzů digitální gramotnosti.</w:t>
      </w:r>
    </w:p>
    <w:p w14:paraId="7CF78450" w14:textId="77777777" w:rsidR="00F17E74" w:rsidRPr="0057756D" w:rsidRDefault="00F17E74" w:rsidP="00F17E74">
      <w:pPr>
        <w:rPr>
          <w:rFonts w:cs="Arial"/>
          <w:szCs w:val="20"/>
        </w:rPr>
      </w:pPr>
      <w:r w:rsidRPr="0057756D">
        <w:rPr>
          <w:rFonts w:cs="Arial"/>
          <w:szCs w:val="20"/>
        </w:rPr>
        <w:t>Termín: průběžně</w:t>
      </w:r>
    </w:p>
    <w:p w14:paraId="3E9BE73A" w14:textId="77777777" w:rsidR="00F17E74" w:rsidRPr="0057756D" w:rsidRDefault="00F17E74" w:rsidP="00F17E74">
      <w:pPr>
        <w:rPr>
          <w:rFonts w:cs="Arial"/>
          <w:szCs w:val="20"/>
        </w:rPr>
      </w:pPr>
      <w:r w:rsidRPr="0057756D">
        <w:rPr>
          <w:rFonts w:cs="Arial"/>
          <w:szCs w:val="20"/>
        </w:rPr>
        <w:t>Gestor: MŠMT</w:t>
      </w:r>
    </w:p>
    <w:p w14:paraId="60F28618" w14:textId="09B87783" w:rsidR="00396DDA" w:rsidRDefault="00F17E74" w:rsidP="00606ADD">
      <w:pPr>
        <w:rPr>
          <w:iCs/>
        </w:rPr>
      </w:pPr>
      <w:r w:rsidRPr="00831152">
        <w:rPr>
          <w:rFonts w:cs="Arial"/>
          <w:szCs w:val="20"/>
        </w:rPr>
        <w:t>Indikátor:</w:t>
      </w:r>
      <w:r w:rsidRPr="00496714">
        <w:rPr>
          <w:rFonts w:cs="Arial"/>
          <w:szCs w:val="20"/>
        </w:rPr>
        <w:t xml:space="preserve"> </w:t>
      </w:r>
      <w:r w:rsidR="00E67342" w:rsidRPr="00E67342">
        <w:rPr>
          <w:iCs/>
        </w:rPr>
        <w:t>Existuje nabídka programů celoživotního vzdělávání vhodných pro osoby se zdravotním postižením a kurzy digitální gramotnosti vhodné pro osoby se zdravotním postižením vedoucí ke zkouškám z profesních kvalifikací z IT oblastí.</w:t>
      </w:r>
      <w:bookmarkStart w:id="36" w:name="_Toc38548794"/>
      <w:bookmarkStart w:id="37" w:name="_Toc38828891"/>
    </w:p>
    <w:p w14:paraId="04CD9EFB" w14:textId="77777777" w:rsidR="00606ADD" w:rsidRPr="00116763" w:rsidRDefault="00606ADD" w:rsidP="00606ADD">
      <w:pPr>
        <w:rPr>
          <w:iCs/>
          <w:sz w:val="20"/>
          <w:szCs w:val="20"/>
        </w:rPr>
      </w:pPr>
    </w:p>
    <w:p w14:paraId="08684599" w14:textId="6B1F4A11" w:rsidR="000D13D9" w:rsidRPr="002D1823" w:rsidRDefault="000D13D9" w:rsidP="00606ADD">
      <w:pPr>
        <w:tabs>
          <w:tab w:val="left" w:pos="720"/>
        </w:tabs>
        <w:rPr>
          <w:rFonts w:cs="Arial"/>
          <w:b/>
          <w:bCs/>
          <w:sz w:val="20"/>
          <w:szCs w:val="20"/>
          <w:lang w:eastAsia="cs-CZ"/>
        </w:rPr>
      </w:pPr>
      <w:r w:rsidRPr="002D1823">
        <w:rPr>
          <w:rFonts w:cs="Arial"/>
          <w:b/>
          <w:bCs/>
          <w:sz w:val="20"/>
          <w:szCs w:val="20"/>
          <w:lang w:eastAsia="cs-CZ"/>
        </w:rPr>
        <w:t>PLNĚNÍ MŠMT:</w:t>
      </w:r>
    </w:p>
    <w:p w14:paraId="1EC5CB1B" w14:textId="77777777" w:rsidR="002D1823" w:rsidRPr="002D1823" w:rsidRDefault="002D1823" w:rsidP="002D1823">
      <w:pPr>
        <w:rPr>
          <w:rFonts w:cs="Arial"/>
          <w:sz w:val="20"/>
          <w:szCs w:val="20"/>
        </w:rPr>
      </w:pPr>
      <w:r w:rsidRPr="002D1823">
        <w:rPr>
          <w:rFonts w:cs="Arial"/>
          <w:sz w:val="20"/>
          <w:szCs w:val="20"/>
        </w:rPr>
        <w:t xml:space="preserve">Profesní kvalifikace v Národní soustavě kvalifikací jsou ve spolupráci s NPI ČR a příslušnými autorizujícími orgány vytvářeny v souladu se zákonem č. 179/2006 Sb., o ověřování a uznávání výsledků dalšího vzdělávání tak, aby byly vstupní bariéry pro uchazeče o zkoušku nastaveny jako minimální. Dle zákona je podmínkou pro připuštění ke zkoušce dosažení věku 18 let a alespoň základů vzdělání, případně zdravotní způsobilost, pokud je s ohledem na specifikum dané kvalifikace vyžadována. U některých kvalifikací se uplatňují vstupní požadavky podmíněné další legislativou. </w:t>
      </w:r>
    </w:p>
    <w:p w14:paraId="095BB89B" w14:textId="2E278603" w:rsidR="002D1823" w:rsidRPr="002D1823" w:rsidRDefault="002D1823" w:rsidP="002D1823">
      <w:pPr>
        <w:rPr>
          <w:rFonts w:cs="Arial"/>
          <w:sz w:val="20"/>
          <w:szCs w:val="20"/>
        </w:rPr>
      </w:pPr>
      <w:r w:rsidRPr="002D1823">
        <w:rPr>
          <w:rFonts w:cs="Arial"/>
          <w:sz w:val="20"/>
          <w:szCs w:val="20"/>
        </w:rPr>
        <w:t>Rovněž rekvalifikační kurzy realizované v souladu se zákonem č. 435/2004 Sb., o zaměstnanosti, jsou akreditovány s minimálními vstupními požadavky (ty jsou zařazovány jen v odůvodněných případech dané kvalifikace). Systém získání a prokázání kvalifikace v dalším vzdělávání je tedy nastaven jako otevřený bez nadbytečných bariér a tudíž je možné a vhodné jej využívat pro potřeby skupin obyvatelstva se specifickými potřebami a zdravotním omezením.</w:t>
      </w:r>
    </w:p>
    <w:p w14:paraId="068CCE1F" w14:textId="77777777" w:rsidR="00501308" w:rsidRPr="002D1823" w:rsidRDefault="000D13D9" w:rsidP="00606ADD">
      <w:pPr>
        <w:keepNext/>
        <w:tabs>
          <w:tab w:val="left" w:pos="720"/>
        </w:tabs>
        <w:rPr>
          <w:rFonts w:cs="Arial"/>
          <w:b/>
          <w:bCs/>
          <w:sz w:val="20"/>
          <w:szCs w:val="20"/>
          <w:lang w:eastAsia="cs-CZ"/>
        </w:rPr>
      </w:pPr>
      <w:r w:rsidRPr="002D1823">
        <w:rPr>
          <w:rFonts w:cs="Arial"/>
          <w:b/>
          <w:bCs/>
          <w:sz w:val="20"/>
          <w:szCs w:val="20"/>
          <w:lang w:eastAsia="cs-CZ"/>
        </w:rPr>
        <w:lastRenderedPageBreak/>
        <w:t>STANOVISKO K PLNĚNÍ:</w:t>
      </w:r>
      <w:r w:rsidR="00501308" w:rsidRPr="002D1823">
        <w:rPr>
          <w:rFonts w:cs="Arial"/>
          <w:b/>
          <w:bCs/>
          <w:sz w:val="20"/>
          <w:szCs w:val="20"/>
          <w:lang w:eastAsia="cs-CZ"/>
        </w:rPr>
        <w:t xml:space="preserve"> Plněno.</w:t>
      </w:r>
    </w:p>
    <w:p w14:paraId="4E8A2466" w14:textId="75790847" w:rsidR="003569E0" w:rsidRPr="00116763" w:rsidRDefault="003569E0" w:rsidP="00606ADD">
      <w:pPr>
        <w:jc w:val="left"/>
        <w:rPr>
          <w:rFonts w:ascii="Cambria" w:eastAsia="Calibri" w:hAnsi="Cambria" w:cstheme="majorBidi"/>
          <w:b/>
          <w:bCs/>
          <w:color w:val="000000" w:themeColor="text1"/>
          <w:sz w:val="20"/>
          <w:szCs w:val="20"/>
        </w:rPr>
      </w:pPr>
    </w:p>
    <w:p w14:paraId="530F3071" w14:textId="5A8F8264" w:rsidR="00F17E74" w:rsidRPr="001127FE" w:rsidRDefault="00544214" w:rsidP="00606ADD">
      <w:pPr>
        <w:pStyle w:val="Nadpis2"/>
        <w:numPr>
          <w:ilvl w:val="0"/>
          <w:numId w:val="0"/>
        </w:numPr>
        <w:spacing w:before="0" w:after="120"/>
        <w:ind w:left="576" w:hanging="576"/>
      </w:pPr>
      <w:bookmarkStart w:id="38" w:name="_Toc101957897"/>
      <w:r w:rsidRPr="001A5E6F">
        <w:t>Oblast č. 9</w:t>
      </w:r>
      <w:r w:rsidR="00B345A2" w:rsidRPr="001A5E6F">
        <w:t>:</w:t>
      </w:r>
      <w:r w:rsidRPr="001A5E6F">
        <w:t xml:space="preserve"> </w:t>
      </w:r>
      <w:r w:rsidR="00F17E74" w:rsidRPr="001A5E6F">
        <w:t>Zdraví a zdravotní péče</w:t>
      </w:r>
      <w:bookmarkEnd w:id="36"/>
      <w:bookmarkEnd w:id="37"/>
      <w:bookmarkEnd w:id="38"/>
    </w:p>
    <w:p w14:paraId="1FBF60F9" w14:textId="0A00E8C8" w:rsidR="00F17E74" w:rsidRPr="0025570A" w:rsidRDefault="001F7D85" w:rsidP="00F17E74">
      <w:pPr>
        <w:rPr>
          <w:rFonts w:cs="Arial"/>
          <w:sz w:val="20"/>
          <w:szCs w:val="20"/>
        </w:rPr>
      </w:pPr>
      <w:r>
        <w:rPr>
          <w:rFonts w:cs="Arial"/>
          <w:sz w:val="20"/>
          <w:szCs w:val="20"/>
        </w:rPr>
        <w:t>Tato oblast je postavena na č</w:t>
      </w:r>
      <w:r w:rsidR="00F17E74" w:rsidRPr="0025570A">
        <w:rPr>
          <w:rFonts w:cs="Arial"/>
          <w:sz w:val="20"/>
          <w:szCs w:val="20"/>
        </w:rPr>
        <w:t>lánku 25 Úmluvy</w:t>
      </w:r>
      <w:r>
        <w:rPr>
          <w:rFonts w:cs="Arial"/>
          <w:sz w:val="20"/>
          <w:szCs w:val="20"/>
        </w:rPr>
        <w:t>, podle kterého</w:t>
      </w:r>
      <w:r w:rsidR="00F17E74" w:rsidRPr="0025570A">
        <w:rPr>
          <w:rFonts w:cs="Arial"/>
          <w:sz w:val="20"/>
          <w:szCs w:val="20"/>
        </w:rPr>
        <w:t xml:space="preserve"> mají osoby se zdravotním postižením právo na dosažení nejvyšší možné úrovně zdraví bez diskriminace a na přístup ke zdravotním službám ve stejném rozsahu a kvalitě jako ostatní občané a nesmějí být diskriminovány ani v rámci systému veřejného zdravotního pojištění. Je nezbytné rozvíjet takové zdravotní služby, které osoby se</w:t>
      </w:r>
      <w:r w:rsidR="007477D0" w:rsidRPr="0025570A">
        <w:rPr>
          <w:rFonts w:cs="Arial"/>
          <w:sz w:val="20"/>
          <w:szCs w:val="20"/>
        </w:rPr>
        <w:t> </w:t>
      </w:r>
      <w:r w:rsidR="00F17E74" w:rsidRPr="0025570A">
        <w:rPr>
          <w:rFonts w:cs="Arial"/>
          <w:sz w:val="20"/>
          <w:szCs w:val="20"/>
        </w:rPr>
        <w:t xml:space="preserve">zdravotním postižením potřebují s ohledem na své postižení včetně včasné intervence a služeb k prevenci vzniku sekundárních postižení. </w:t>
      </w:r>
    </w:p>
    <w:p w14:paraId="4459C6AC" w14:textId="4FBF7C5A" w:rsidR="00F17E74" w:rsidRPr="0025570A" w:rsidRDefault="00F17E74" w:rsidP="00F17E74">
      <w:pPr>
        <w:rPr>
          <w:rFonts w:cs="Arial"/>
          <w:sz w:val="20"/>
          <w:szCs w:val="20"/>
        </w:rPr>
      </w:pPr>
      <w:r w:rsidRPr="0025570A">
        <w:rPr>
          <w:rFonts w:cs="Arial"/>
          <w:sz w:val="20"/>
          <w:szCs w:val="20"/>
        </w:rPr>
        <w:t>Nedílnou součástí péče o vlastní zdraví je i prevence, jedním z nástrojů v oblasti prevence zdravotního postižení je i osvětová činnost zaměřená na širokou veřejnost i na samotné osoby se zdravotním postižením. Je potřebné, aby byla zajištěna informovanost týkající se</w:t>
      </w:r>
      <w:r w:rsidR="007477D0" w:rsidRPr="0025570A">
        <w:rPr>
          <w:rFonts w:cs="Arial"/>
          <w:sz w:val="20"/>
          <w:szCs w:val="20"/>
        </w:rPr>
        <w:t> </w:t>
      </w:r>
      <w:r w:rsidR="0032029C">
        <w:rPr>
          <w:rFonts w:cs="Arial"/>
          <w:sz w:val="20"/>
          <w:szCs w:val="20"/>
        </w:rPr>
        <w:t>péče o zdraví a </w:t>
      </w:r>
      <w:r w:rsidRPr="0025570A">
        <w:rPr>
          <w:rFonts w:cs="Arial"/>
          <w:sz w:val="20"/>
          <w:szCs w:val="20"/>
        </w:rPr>
        <w:t xml:space="preserve">předcházení komplikacím, zvláště těch, které jsou typické pro osoby s určitým typem zdravotního postižení. </w:t>
      </w:r>
    </w:p>
    <w:p w14:paraId="4327858F" w14:textId="66715889" w:rsidR="00F17E74" w:rsidRPr="0025570A" w:rsidRDefault="00F17E74" w:rsidP="00F17E74">
      <w:pPr>
        <w:rPr>
          <w:rFonts w:cs="Arial"/>
          <w:sz w:val="20"/>
          <w:szCs w:val="20"/>
        </w:rPr>
      </w:pPr>
      <w:r w:rsidRPr="0025570A">
        <w:rPr>
          <w:rFonts w:cs="Arial"/>
          <w:sz w:val="20"/>
          <w:szCs w:val="20"/>
        </w:rPr>
        <w:t>Důležitým úkolem je i pokračování v reformě psychiatrické péče, které se musí účastnit jak dotčené ústřední orgány státní správy</w:t>
      </w:r>
      <w:r w:rsidR="009B3699" w:rsidRPr="0025570A">
        <w:rPr>
          <w:rFonts w:cs="Arial"/>
          <w:sz w:val="20"/>
          <w:szCs w:val="20"/>
        </w:rPr>
        <w:t xml:space="preserve"> a</w:t>
      </w:r>
      <w:r w:rsidRPr="0025570A">
        <w:rPr>
          <w:rFonts w:cs="Arial"/>
          <w:sz w:val="20"/>
          <w:szCs w:val="20"/>
        </w:rPr>
        <w:t xml:space="preserve"> samosprávy, tak i nestátní organizace. </w:t>
      </w:r>
    </w:p>
    <w:p w14:paraId="41132A63" w14:textId="77777777" w:rsidR="001F7D85" w:rsidRDefault="001F7D85" w:rsidP="00116A42">
      <w:pPr>
        <w:rPr>
          <w:rFonts w:eastAsia="Calibri" w:cs="Arial"/>
          <w:b/>
          <w:bCs/>
          <w:szCs w:val="20"/>
        </w:rPr>
      </w:pPr>
    </w:p>
    <w:p w14:paraId="1240774A" w14:textId="10630067" w:rsidR="00F17E74" w:rsidRDefault="00F17E74" w:rsidP="00116A42">
      <w:pPr>
        <w:rPr>
          <w:rFonts w:eastAsia="Calibri" w:cs="Arial"/>
          <w:b/>
          <w:bCs/>
          <w:szCs w:val="20"/>
        </w:rPr>
      </w:pPr>
      <w:r>
        <w:rPr>
          <w:rFonts w:eastAsia="Calibri" w:cs="Arial"/>
          <w:b/>
          <w:bCs/>
          <w:szCs w:val="20"/>
        </w:rPr>
        <w:t xml:space="preserve">9.1 </w:t>
      </w:r>
      <w:r w:rsidRPr="0057756D">
        <w:rPr>
          <w:rFonts w:eastAsia="Calibri" w:cs="Arial"/>
          <w:b/>
          <w:bCs/>
          <w:szCs w:val="20"/>
        </w:rPr>
        <w:t xml:space="preserve">Cíl: </w:t>
      </w:r>
      <w:r w:rsidRPr="00491A66">
        <w:rPr>
          <w:rFonts w:eastAsia="Calibri" w:cs="Arial"/>
          <w:b/>
          <w:bCs/>
          <w:szCs w:val="20"/>
        </w:rPr>
        <w:t>Zohledňování specifických potřeb osob se zdravotním postižením při</w:t>
      </w:r>
      <w:r w:rsidR="004808AB">
        <w:rPr>
          <w:rFonts w:eastAsia="Calibri" w:cs="Arial"/>
          <w:b/>
          <w:bCs/>
          <w:szCs w:val="20"/>
        </w:rPr>
        <w:t> </w:t>
      </w:r>
      <w:r w:rsidRPr="00491A66">
        <w:rPr>
          <w:rFonts w:eastAsia="Calibri" w:cs="Arial"/>
          <w:b/>
          <w:bCs/>
          <w:szCs w:val="20"/>
        </w:rPr>
        <w:t xml:space="preserve">poskytování </w:t>
      </w:r>
      <w:r>
        <w:rPr>
          <w:rFonts w:eastAsia="Calibri" w:cs="Arial"/>
          <w:b/>
          <w:bCs/>
          <w:szCs w:val="20"/>
        </w:rPr>
        <w:t>zdravotní</w:t>
      </w:r>
      <w:r w:rsidRPr="00491A66">
        <w:rPr>
          <w:rFonts w:eastAsia="Calibri" w:cs="Arial"/>
          <w:b/>
          <w:bCs/>
          <w:szCs w:val="20"/>
        </w:rPr>
        <w:t xml:space="preserve"> péče.</w:t>
      </w:r>
      <w:r w:rsidRPr="0057756D">
        <w:rPr>
          <w:rFonts w:eastAsia="Calibri" w:cs="Arial"/>
          <w:b/>
          <w:bCs/>
          <w:szCs w:val="20"/>
        </w:rPr>
        <w:t xml:space="preserve"> </w:t>
      </w:r>
    </w:p>
    <w:p w14:paraId="32F68C48" w14:textId="77777777" w:rsidR="00F17E74" w:rsidRPr="0057756D" w:rsidRDefault="00F17E74" w:rsidP="00116A42">
      <w:pPr>
        <w:rPr>
          <w:rFonts w:cs="Arial"/>
          <w:szCs w:val="20"/>
        </w:rPr>
      </w:pPr>
      <w:r w:rsidRPr="0035060D">
        <w:rPr>
          <w:rFonts w:cs="Arial"/>
          <w:bCs/>
          <w:szCs w:val="20"/>
        </w:rPr>
        <w:t xml:space="preserve">Opatření </w:t>
      </w:r>
      <w:r>
        <w:rPr>
          <w:rFonts w:cs="Arial"/>
          <w:bCs/>
          <w:szCs w:val="20"/>
        </w:rPr>
        <w:t>9</w:t>
      </w:r>
      <w:r>
        <w:rPr>
          <w:rFonts w:cs="Arial"/>
          <w:szCs w:val="20"/>
        </w:rPr>
        <w:t xml:space="preserve">.1.1 </w:t>
      </w:r>
      <w:r w:rsidRPr="0057756D">
        <w:rPr>
          <w:rFonts w:cs="Arial"/>
          <w:szCs w:val="20"/>
        </w:rPr>
        <w:t>Podporovat vznik informačních materiálů a vzdělávacích aktivit o</w:t>
      </w:r>
      <w:r w:rsidR="00AA018A">
        <w:rPr>
          <w:rFonts w:cs="Arial"/>
          <w:szCs w:val="20"/>
        </w:rPr>
        <w:t> </w:t>
      </w:r>
      <w:r w:rsidRPr="0057756D">
        <w:rPr>
          <w:rFonts w:cs="Arial"/>
          <w:szCs w:val="20"/>
        </w:rPr>
        <w:t>problematice osob se zdravotním postižením (zejména o způsobech, metodách a formách komunikace) zohledňujících také specifické potřeby žen</w:t>
      </w:r>
      <w:r>
        <w:rPr>
          <w:rFonts w:cs="Arial"/>
          <w:szCs w:val="20"/>
        </w:rPr>
        <w:t>,</w:t>
      </w:r>
      <w:r w:rsidRPr="0057756D">
        <w:rPr>
          <w:rFonts w:cs="Arial"/>
          <w:szCs w:val="20"/>
        </w:rPr>
        <w:t xml:space="preserve"> mužů</w:t>
      </w:r>
      <w:r>
        <w:rPr>
          <w:rFonts w:cs="Arial"/>
          <w:szCs w:val="20"/>
        </w:rPr>
        <w:t xml:space="preserve"> a dětí</w:t>
      </w:r>
      <w:r w:rsidRPr="0057756D">
        <w:rPr>
          <w:rFonts w:cs="Arial"/>
          <w:szCs w:val="20"/>
        </w:rPr>
        <w:t xml:space="preserve"> se zdravotním postižením a napomoci tyto informace šířit mezi zdravotnickou veřejnost.</w:t>
      </w:r>
      <w:r w:rsidRPr="0057756D">
        <w:rPr>
          <w:rFonts w:cs="Arial"/>
          <w:szCs w:val="20"/>
        </w:rPr>
        <w:tab/>
      </w:r>
    </w:p>
    <w:p w14:paraId="37706F36" w14:textId="77777777" w:rsidR="00F17E74" w:rsidRPr="0057756D" w:rsidRDefault="00F17E74" w:rsidP="00116A42">
      <w:pPr>
        <w:rPr>
          <w:rFonts w:cs="Arial"/>
          <w:szCs w:val="20"/>
        </w:rPr>
      </w:pPr>
      <w:r w:rsidRPr="0057756D">
        <w:rPr>
          <w:rFonts w:cs="Arial"/>
          <w:szCs w:val="20"/>
        </w:rPr>
        <w:t>Termín: průběžně</w:t>
      </w:r>
    </w:p>
    <w:p w14:paraId="6F674846" w14:textId="77777777" w:rsidR="00F17E74" w:rsidRPr="0057756D" w:rsidRDefault="00F17E74" w:rsidP="00116A42">
      <w:pPr>
        <w:rPr>
          <w:rFonts w:cs="Arial"/>
          <w:szCs w:val="20"/>
        </w:rPr>
      </w:pPr>
      <w:r w:rsidRPr="0057756D">
        <w:rPr>
          <w:rFonts w:cs="Arial"/>
          <w:szCs w:val="20"/>
        </w:rPr>
        <w:t>Gestor: MZ</w:t>
      </w:r>
    </w:p>
    <w:p w14:paraId="684CA794" w14:textId="5A34C126" w:rsidR="00F17E74" w:rsidRDefault="00F17E74" w:rsidP="00116A42">
      <w:pPr>
        <w:rPr>
          <w:rFonts w:cs="Arial"/>
          <w:szCs w:val="20"/>
        </w:rPr>
      </w:pPr>
      <w:r w:rsidRPr="00831152">
        <w:rPr>
          <w:rFonts w:cs="Arial"/>
          <w:szCs w:val="20"/>
        </w:rPr>
        <w:t>Indikátor:</w:t>
      </w:r>
      <w:r w:rsidRPr="00496714">
        <w:rPr>
          <w:rFonts w:cs="Arial"/>
          <w:szCs w:val="20"/>
        </w:rPr>
        <w:t xml:space="preserve"> </w:t>
      </w:r>
      <w:r>
        <w:rPr>
          <w:rFonts w:cs="Arial"/>
          <w:szCs w:val="20"/>
        </w:rPr>
        <w:t>Je vyhlašován dotační</w:t>
      </w:r>
      <w:r w:rsidR="006B4509">
        <w:rPr>
          <w:rFonts w:cs="Arial"/>
          <w:szCs w:val="20"/>
        </w:rPr>
        <w:t xml:space="preserve"> program s uvedeným zaměřením.</w:t>
      </w:r>
    </w:p>
    <w:p w14:paraId="722D29FD" w14:textId="77777777" w:rsidR="00116A42" w:rsidRPr="00B73D1F" w:rsidRDefault="00116A42" w:rsidP="00B73D1F">
      <w:pPr>
        <w:rPr>
          <w:rFonts w:cs="Arial"/>
          <w:sz w:val="20"/>
          <w:szCs w:val="20"/>
        </w:rPr>
      </w:pPr>
    </w:p>
    <w:p w14:paraId="4334C705" w14:textId="5DA61DA6" w:rsidR="00456CEF" w:rsidRPr="00B9591C" w:rsidRDefault="00456CEF" w:rsidP="00B9591C">
      <w:pPr>
        <w:tabs>
          <w:tab w:val="left" w:pos="720"/>
        </w:tabs>
        <w:rPr>
          <w:rFonts w:cs="Arial"/>
          <w:b/>
          <w:bCs/>
          <w:sz w:val="20"/>
          <w:szCs w:val="20"/>
          <w:lang w:eastAsia="cs-CZ"/>
        </w:rPr>
      </w:pPr>
      <w:r w:rsidRPr="00B9591C">
        <w:rPr>
          <w:rFonts w:cs="Arial"/>
          <w:b/>
          <w:bCs/>
          <w:sz w:val="20"/>
          <w:szCs w:val="20"/>
          <w:lang w:eastAsia="cs-CZ"/>
        </w:rPr>
        <w:t>PLNĚNÍ MZ:</w:t>
      </w:r>
    </w:p>
    <w:p w14:paraId="171F3BD5" w14:textId="38ABF126" w:rsidR="00B9591C" w:rsidRPr="00B9591C" w:rsidRDefault="00B9591C" w:rsidP="00B9591C">
      <w:pPr>
        <w:rPr>
          <w:rFonts w:cs="Arial"/>
          <w:color w:val="000000" w:themeColor="text1"/>
          <w:sz w:val="20"/>
          <w:szCs w:val="20"/>
        </w:rPr>
      </w:pPr>
      <w:r w:rsidRPr="00B9591C">
        <w:rPr>
          <w:rFonts w:cs="Arial"/>
          <w:color w:val="000000" w:themeColor="text1"/>
          <w:sz w:val="20"/>
          <w:szCs w:val="20"/>
        </w:rPr>
        <w:t>V rámci programu Vyrovnávání příležitostí pro občany se zdravotním postižením byla vyhlášena aktivita C1 Vznik informačních materiálů a vzdělávacích aktivit o problematice osob se zdravotním postižením a chronickým onemocněním (zejména o způsobech, metodách a formách komunikace) zohledňujících také specifické potřeby žen a mužů se zdravotním postižením nebo chronickým onemocněním, pro zdravotnickou veřejnost.</w:t>
      </w:r>
    </w:p>
    <w:p w14:paraId="55C8B245" w14:textId="7A598164" w:rsidR="00B9591C" w:rsidRPr="00B9591C" w:rsidRDefault="00B9591C" w:rsidP="00B9591C">
      <w:pPr>
        <w:rPr>
          <w:rFonts w:cs="Arial"/>
          <w:color w:val="000000" w:themeColor="text1"/>
          <w:sz w:val="20"/>
          <w:szCs w:val="20"/>
        </w:rPr>
      </w:pPr>
      <w:r w:rsidRPr="00B9591C">
        <w:rPr>
          <w:rFonts w:cs="Arial"/>
          <w:color w:val="000000" w:themeColor="text1"/>
          <w:sz w:val="20"/>
          <w:szCs w:val="20"/>
        </w:rPr>
        <w:t>V roce 2023 bylo předloženo 31 žádostí zaměřených na aktivitu C1 (mimo jiné). Bylo podpořeno 24 projektů. Nelze zde uvést výši přidělených finančních p</w:t>
      </w:r>
      <w:r w:rsidR="0032029C">
        <w:rPr>
          <w:rFonts w:cs="Arial"/>
          <w:color w:val="000000" w:themeColor="text1"/>
          <w:sz w:val="20"/>
          <w:szCs w:val="20"/>
        </w:rPr>
        <w:t xml:space="preserve">rostředků, jelikož se </w:t>
      </w:r>
      <w:r w:rsidRPr="00B9591C">
        <w:rPr>
          <w:rFonts w:cs="Arial"/>
          <w:color w:val="000000" w:themeColor="text1"/>
          <w:sz w:val="20"/>
          <w:szCs w:val="20"/>
        </w:rPr>
        <w:t>v projektech aktivity C1 – C5 prolínají.</w:t>
      </w:r>
    </w:p>
    <w:p w14:paraId="0F6BF668" w14:textId="77777777" w:rsidR="00B9591C" w:rsidRPr="00B9591C" w:rsidRDefault="00B9591C" w:rsidP="00B9591C">
      <w:pPr>
        <w:rPr>
          <w:rFonts w:cs="Arial"/>
          <w:color w:val="000000" w:themeColor="text1"/>
          <w:sz w:val="20"/>
          <w:szCs w:val="20"/>
        </w:rPr>
      </w:pPr>
      <w:r w:rsidRPr="00B9591C">
        <w:rPr>
          <w:rFonts w:cs="Arial"/>
          <w:color w:val="000000" w:themeColor="text1"/>
          <w:sz w:val="20"/>
          <w:szCs w:val="20"/>
        </w:rPr>
        <w:t>Příklady podpořených projektů:</w:t>
      </w:r>
    </w:p>
    <w:p w14:paraId="3BD8B87E" w14:textId="77777777" w:rsidR="00B9591C" w:rsidRPr="00B9591C" w:rsidRDefault="00B9591C" w:rsidP="008263CB">
      <w:pPr>
        <w:pStyle w:val="Odstavecseseznamem"/>
        <w:numPr>
          <w:ilvl w:val="0"/>
          <w:numId w:val="37"/>
        </w:numPr>
        <w:rPr>
          <w:rFonts w:cs="Arial"/>
          <w:color w:val="000000" w:themeColor="text1"/>
          <w:sz w:val="20"/>
          <w:szCs w:val="20"/>
        </w:rPr>
      </w:pPr>
      <w:r w:rsidRPr="00B9591C">
        <w:rPr>
          <w:rFonts w:cs="Arial"/>
          <w:color w:val="000000" w:themeColor="text1"/>
          <w:sz w:val="20"/>
          <w:szCs w:val="20"/>
        </w:rPr>
        <w:t>Spolek přátel Konta Bariéry - Časopis Můžeš</w:t>
      </w:r>
    </w:p>
    <w:p w14:paraId="6DECBC8B" w14:textId="15082A3D" w:rsidR="00B9591C" w:rsidRPr="00B9591C" w:rsidRDefault="00B9591C" w:rsidP="00B9591C">
      <w:pPr>
        <w:rPr>
          <w:rFonts w:cs="Arial"/>
          <w:color w:val="000000" w:themeColor="text1"/>
          <w:sz w:val="20"/>
          <w:szCs w:val="20"/>
        </w:rPr>
      </w:pPr>
      <w:r w:rsidRPr="00B9591C">
        <w:rPr>
          <w:rFonts w:cs="Arial"/>
          <w:color w:val="000000" w:themeColor="text1"/>
          <w:sz w:val="20"/>
          <w:szCs w:val="20"/>
        </w:rPr>
        <w:t>Záměrem projektu je vydávání celobarevného časopisu Můžeš, formou čtvrtletníku s rozšířeným obsahem, s kontinuální podporou webové prezentace a sociálních sí</w:t>
      </w:r>
      <w:r w:rsidR="0032029C">
        <w:rPr>
          <w:rFonts w:cs="Arial"/>
          <w:color w:val="000000" w:themeColor="text1"/>
          <w:sz w:val="20"/>
          <w:szCs w:val="20"/>
        </w:rPr>
        <w:t>tí. Prostřednictvím reportáží a </w:t>
      </w:r>
      <w:r w:rsidRPr="00B9591C">
        <w:rPr>
          <w:rFonts w:cs="Arial"/>
          <w:color w:val="000000" w:themeColor="text1"/>
          <w:sz w:val="20"/>
          <w:szCs w:val="20"/>
        </w:rPr>
        <w:t>rozhovorů se zaměřuje na minoritní problematiku smyslově, fyzicky i mentálně handicapovaných, na sociální politiku, občanskou společnost a zdravotnictví. Hledá spo</w:t>
      </w:r>
      <w:r w:rsidR="0032029C">
        <w:rPr>
          <w:rFonts w:cs="Arial"/>
          <w:color w:val="000000" w:themeColor="text1"/>
          <w:sz w:val="20"/>
          <w:szCs w:val="20"/>
        </w:rPr>
        <w:t>lečenské souvislosti sociální a </w:t>
      </w:r>
      <w:r w:rsidRPr="00B9591C">
        <w:rPr>
          <w:rFonts w:cs="Arial"/>
          <w:color w:val="000000" w:themeColor="text1"/>
          <w:sz w:val="20"/>
          <w:szCs w:val="20"/>
        </w:rPr>
        <w:t>zdravotně preventivní práce a ukazuje cesty integrace do společnosti, možnosti pracovního i</w:t>
      </w:r>
      <w:r w:rsidR="0032029C">
        <w:rPr>
          <w:rFonts w:cs="Arial"/>
          <w:color w:val="000000" w:themeColor="text1"/>
          <w:sz w:val="20"/>
          <w:szCs w:val="20"/>
        </w:rPr>
        <w:t> </w:t>
      </w:r>
      <w:r w:rsidRPr="00B9591C">
        <w:rPr>
          <w:rFonts w:cs="Arial"/>
          <w:color w:val="000000" w:themeColor="text1"/>
          <w:sz w:val="20"/>
          <w:szCs w:val="20"/>
        </w:rPr>
        <w:t>společenského uplatnění a maximální možné soběstačnosti.</w:t>
      </w:r>
    </w:p>
    <w:p w14:paraId="2E0A1E87" w14:textId="77777777" w:rsidR="00B9591C" w:rsidRPr="00B9591C" w:rsidRDefault="00B9591C" w:rsidP="008263CB">
      <w:pPr>
        <w:pStyle w:val="Odstavecseseznamem"/>
        <w:numPr>
          <w:ilvl w:val="0"/>
          <w:numId w:val="37"/>
        </w:numPr>
        <w:rPr>
          <w:rFonts w:cs="Arial"/>
          <w:color w:val="000000" w:themeColor="text1"/>
          <w:sz w:val="20"/>
          <w:szCs w:val="20"/>
        </w:rPr>
      </w:pPr>
      <w:r w:rsidRPr="00B9591C">
        <w:rPr>
          <w:rFonts w:cs="Arial"/>
          <w:color w:val="000000" w:themeColor="text1"/>
          <w:sz w:val="20"/>
          <w:szCs w:val="20"/>
        </w:rPr>
        <w:t xml:space="preserve">DUPV - Dech </w:t>
      </w:r>
      <w:proofErr w:type="gramStart"/>
      <w:r w:rsidRPr="00B9591C">
        <w:rPr>
          <w:rFonts w:cs="Arial"/>
          <w:color w:val="000000" w:themeColor="text1"/>
          <w:sz w:val="20"/>
          <w:szCs w:val="20"/>
        </w:rPr>
        <w:t>života, z. ú.</w:t>
      </w:r>
      <w:proofErr w:type="gramEnd"/>
      <w:r w:rsidRPr="00B9591C">
        <w:rPr>
          <w:rFonts w:cs="Arial"/>
          <w:color w:val="000000" w:themeColor="text1"/>
          <w:sz w:val="20"/>
          <w:szCs w:val="20"/>
        </w:rPr>
        <w:t xml:space="preserve"> - Tvorba instruktážních videí pro pacienty na DUPV II</w:t>
      </w:r>
    </w:p>
    <w:p w14:paraId="08F5AF4F" w14:textId="558EC8D4" w:rsidR="00B9591C" w:rsidRPr="00B9591C" w:rsidRDefault="00B9591C" w:rsidP="00B9591C">
      <w:pPr>
        <w:rPr>
          <w:rFonts w:cs="Arial"/>
          <w:color w:val="000000" w:themeColor="text1"/>
          <w:sz w:val="20"/>
          <w:szCs w:val="20"/>
        </w:rPr>
      </w:pPr>
      <w:r w:rsidRPr="00B9591C">
        <w:rPr>
          <w:rFonts w:cs="Arial"/>
          <w:color w:val="000000" w:themeColor="text1"/>
          <w:sz w:val="20"/>
          <w:szCs w:val="20"/>
        </w:rPr>
        <w:t xml:space="preserve">Cílem je tvorba instruktážních videí pro pacienty. V roce 2021 podpořilo Ministerstvo zdravotnictví ČR tvorbu 7 instruktážních videí pro pacienty na DUPV. Tento projekt se setkal s úspěchem a v současnosti jsou videa volně přístupná na Youtube kanálu organizace. Během tvorby videí narazili na </w:t>
      </w:r>
      <w:r w:rsidRPr="00B9591C">
        <w:rPr>
          <w:rFonts w:cs="Arial"/>
          <w:color w:val="000000" w:themeColor="text1"/>
          <w:sz w:val="20"/>
          <w:szCs w:val="20"/>
        </w:rPr>
        <w:lastRenderedPageBreak/>
        <w:t>nová témata, se kterými pacienti při přechodu do domácího prostředí bojují a jejichž zpracování by pro ně bylo velmi přínosné.</w:t>
      </w:r>
    </w:p>
    <w:p w14:paraId="293326AD" w14:textId="4B6691B2" w:rsidR="00456CEF" w:rsidRPr="00B9591C" w:rsidRDefault="00456CEF" w:rsidP="00B9591C">
      <w:pPr>
        <w:keepNext/>
        <w:tabs>
          <w:tab w:val="left" w:pos="720"/>
        </w:tabs>
        <w:rPr>
          <w:rFonts w:cs="Arial"/>
          <w:b/>
          <w:bCs/>
          <w:sz w:val="20"/>
          <w:szCs w:val="20"/>
          <w:lang w:eastAsia="cs-CZ"/>
        </w:rPr>
      </w:pPr>
      <w:r w:rsidRPr="00B9591C">
        <w:rPr>
          <w:rFonts w:cs="Arial"/>
          <w:b/>
          <w:bCs/>
          <w:sz w:val="20"/>
          <w:szCs w:val="20"/>
          <w:lang w:eastAsia="cs-CZ"/>
        </w:rPr>
        <w:t>STANOVISKO K PLNĚNÍ:</w:t>
      </w:r>
      <w:r w:rsidR="0011136E" w:rsidRPr="00B9591C">
        <w:rPr>
          <w:rFonts w:cs="Arial"/>
          <w:b/>
          <w:sz w:val="20"/>
          <w:szCs w:val="20"/>
        </w:rPr>
        <w:t xml:space="preserve"> Plněno.</w:t>
      </w:r>
    </w:p>
    <w:p w14:paraId="20DC17CF" w14:textId="77777777" w:rsidR="00456CEF" w:rsidRPr="00B73D1F" w:rsidRDefault="00456CEF" w:rsidP="00B73D1F">
      <w:pPr>
        <w:rPr>
          <w:rFonts w:cs="Arial"/>
          <w:sz w:val="20"/>
          <w:szCs w:val="20"/>
        </w:rPr>
      </w:pPr>
    </w:p>
    <w:p w14:paraId="5FC5C63C" w14:textId="303068AA" w:rsidR="00F17E74" w:rsidRDefault="00F17E74" w:rsidP="00116A42">
      <w:pPr>
        <w:rPr>
          <w:rFonts w:cs="Arial"/>
          <w:szCs w:val="20"/>
        </w:rPr>
      </w:pPr>
      <w:r>
        <w:rPr>
          <w:rFonts w:cs="Arial"/>
          <w:szCs w:val="20"/>
        </w:rPr>
        <w:t xml:space="preserve">Opatření 9.1.2 </w:t>
      </w:r>
      <w:r w:rsidR="003579BA">
        <w:rPr>
          <w:rFonts w:cs="Arial"/>
          <w:szCs w:val="20"/>
        </w:rPr>
        <w:t>Při poskytování</w:t>
      </w:r>
      <w:r w:rsidRPr="00562583">
        <w:rPr>
          <w:rFonts w:cs="Arial"/>
          <w:szCs w:val="20"/>
        </w:rPr>
        <w:t xml:space="preserve"> zdravotní péče </w:t>
      </w:r>
      <w:r w:rsidR="003579BA">
        <w:rPr>
          <w:rFonts w:cs="Arial"/>
          <w:szCs w:val="20"/>
        </w:rPr>
        <w:t>respektovat specifické</w:t>
      </w:r>
      <w:r w:rsidRPr="00562583">
        <w:rPr>
          <w:rFonts w:cs="Arial"/>
          <w:szCs w:val="20"/>
        </w:rPr>
        <w:t xml:space="preserve"> potřeb</w:t>
      </w:r>
      <w:r w:rsidR="003579BA">
        <w:rPr>
          <w:rFonts w:cs="Arial"/>
          <w:szCs w:val="20"/>
        </w:rPr>
        <w:t>y osob se </w:t>
      </w:r>
      <w:r w:rsidRPr="00562583">
        <w:rPr>
          <w:rFonts w:cs="Arial"/>
          <w:szCs w:val="20"/>
        </w:rPr>
        <w:t>smyslovým či mentálním postižením nebo osob s vážným omezením</w:t>
      </w:r>
      <w:r>
        <w:rPr>
          <w:rFonts w:cs="Arial"/>
          <w:szCs w:val="20"/>
        </w:rPr>
        <w:t xml:space="preserve"> </w:t>
      </w:r>
      <w:r w:rsidRPr="00562583">
        <w:rPr>
          <w:rFonts w:cs="Arial"/>
          <w:szCs w:val="20"/>
        </w:rPr>
        <w:t>hybnosti</w:t>
      </w:r>
      <w:r>
        <w:rPr>
          <w:rFonts w:cs="Arial"/>
          <w:szCs w:val="20"/>
        </w:rPr>
        <w:t>.</w:t>
      </w:r>
    </w:p>
    <w:p w14:paraId="4152D419" w14:textId="77777777" w:rsidR="00F17E74" w:rsidRPr="0057756D" w:rsidRDefault="00F17E74" w:rsidP="00F17E74">
      <w:pPr>
        <w:rPr>
          <w:rFonts w:cs="Arial"/>
          <w:szCs w:val="20"/>
        </w:rPr>
      </w:pPr>
      <w:r w:rsidRPr="0057756D">
        <w:rPr>
          <w:rFonts w:cs="Arial"/>
          <w:szCs w:val="20"/>
        </w:rPr>
        <w:t>Termín: průběžně</w:t>
      </w:r>
    </w:p>
    <w:p w14:paraId="219F96EE" w14:textId="77777777" w:rsidR="00F17E74" w:rsidRPr="0057756D" w:rsidRDefault="00F17E74" w:rsidP="00116A42">
      <w:pPr>
        <w:rPr>
          <w:rFonts w:cs="Arial"/>
          <w:szCs w:val="20"/>
        </w:rPr>
      </w:pPr>
      <w:r w:rsidRPr="0057756D">
        <w:rPr>
          <w:rFonts w:cs="Arial"/>
          <w:szCs w:val="20"/>
        </w:rPr>
        <w:t>Gestor: MZ</w:t>
      </w:r>
    </w:p>
    <w:p w14:paraId="71BD58D0" w14:textId="739F7F48" w:rsidR="00316A32" w:rsidRDefault="00F17E74" w:rsidP="00116A42">
      <w:pPr>
        <w:rPr>
          <w:rFonts w:cs="Arial"/>
          <w:szCs w:val="20"/>
        </w:rPr>
      </w:pPr>
      <w:r w:rsidRPr="00831152">
        <w:rPr>
          <w:rFonts w:cs="Arial"/>
          <w:szCs w:val="20"/>
        </w:rPr>
        <w:t>Indikátor:</w:t>
      </w:r>
      <w:r w:rsidRPr="00496714">
        <w:rPr>
          <w:rFonts w:cs="Arial"/>
          <w:szCs w:val="20"/>
        </w:rPr>
        <w:t xml:space="preserve"> </w:t>
      </w:r>
      <w:r w:rsidR="00D76826">
        <w:rPr>
          <w:rFonts w:cs="Arial"/>
          <w:szCs w:val="20"/>
        </w:rPr>
        <w:t xml:space="preserve">Jsou nastavena pravidla </w:t>
      </w:r>
      <w:r w:rsidR="00774E6C">
        <w:rPr>
          <w:rFonts w:cs="Arial"/>
          <w:szCs w:val="20"/>
        </w:rPr>
        <w:t xml:space="preserve">pro </w:t>
      </w:r>
      <w:r w:rsidR="00D76826">
        <w:rPr>
          <w:rFonts w:cs="Arial"/>
          <w:szCs w:val="20"/>
        </w:rPr>
        <w:t xml:space="preserve">respektování </w:t>
      </w:r>
      <w:r w:rsidR="00D76826" w:rsidRPr="00562583">
        <w:rPr>
          <w:rFonts w:cs="Arial"/>
          <w:szCs w:val="20"/>
        </w:rPr>
        <w:t xml:space="preserve">specifických potřeb </w:t>
      </w:r>
      <w:r w:rsidR="00D76826">
        <w:rPr>
          <w:rFonts w:cs="Arial"/>
          <w:szCs w:val="20"/>
        </w:rPr>
        <w:t xml:space="preserve">uvedených skupin </w:t>
      </w:r>
      <w:r w:rsidR="00D76826" w:rsidRPr="00562583">
        <w:rPr>
          <w:rFonts w:cs="Arial"/>
          <w:szCs w:val="20"/>
        </w:rPr>
        <w:t>osob</w:t>
      </w:r>
      <w:r w:rsidR="00D76826">
        <w:rPr>
          <w:rFonts w:cs="Arial"/>
          <w:szCs w:val="20"/>
        </w:rPr>
        <w:t>.</w:t>
      </w:r>
    </w:p>
    <w:p w14:paraId="48E2E3D8" w14:textId="77777777" w:rsidR="00116A42" w:rsidRPr="00A833E5" w:rsidRDefault="00116A42" w:rsidP="00A833E5">
      <w:pPr>
        <w:rPr>
          <w:rFonts w:cs="Arial"/>
          <w:sz w:val="20"/>
          <w:szCs w:val="20"/>
        </w:rPr>
      </w:pPr>
    </w:p>
    <w:p w14:paraId="1609F220" w14:textId="50792BF6" w:rsidR="00005071" w:rsidRPr="00560C68" w:rsidRDefault="00005071" w:rsidP="00560C68">
      <w:pPr>
        <w:tabs>
          <w:tab w:val="left" w:pos="720"/>
        </w:tabs>
        <w:rPr>
          <w:rFonts w:cs="Arial"/>
          <w:b/>
          <w:bCs/>
          <w:sz w:val="20"/>
          <w:szCs w:val="20"/>
          <w:lang w:eastAsia="cs-CZ"/>
        </w:rPr>
      </w:pPr>
      <w:r w:rsidRPr="00560C68">
        <w:rPr>
          <w:rFonts w:cs="Arial"/>
          <w:b/>
          <w:bCs/>
          <w:sz w:val="20"/>
          <w:szCs w:val="20"/>
          <w:lang w:eastAsia="cs-CZ"/>
        </w:rPr>
        <w:t>PLNĚNÍ MZ:</w:t>
      </w:r>
    </w:p>
    <w:p w14:paraId="70009516" w14:textId="2BBC3B5A" w:rsidR="00560C68" w:rsidRPr="00560C68" w:rsidRDefault="00560C68" w:rsidP="00560C68">
      <w:pPr>
        <w:tabs>
          <w:tab w:val="left" w:pos="720"/>
        </w:tabs>
        <w:rPr>
          <w:rFonts w:cs="Arial"/>
          <w:color w:val="000000" w:themeColor="text1"/>
          <w:sz w:val="20"/>
          <w:szCs w:val="20"/>
        </w:rPr>
      </w:pPr>
      <w:r w:rsidRPr="00560C68">
        <w:rPr>
          <w:rFonts w:cs="Arial"/>
          <w:color w:val="000000" w:themeColor="text1"/>
          <w:sz w:val="20"/>
          <w:szCs w:val="20"/>
        </w:rPr>
        <w:t xml:space="preserve">Ve všech legislativních, organizačních a technických opatření, které MZ realizuje, jsou zahrnuty podmínky pro zajištění rovnoprávnosti osob ohrožených vícenásobnou diskriminací (zejména se jedná o děti, ženy, seniory, příslušníky národnostních menšin, </w:t>
      </w:r>
      <w:r w:rsidRPr="00560C68">
        <w:rPr>
          <w:rFonts w:eastAsia="Calibri" w:cs="Arial"/>
          <w:color w:val="000000" w:themeColor="text1"/>
          <w:sz w:val="20"/>
          <w:szCs w:val="20"/>
        </w:rPr>
        <w:t>příslušníky různých náboženských vyznání apod.</w:t>
      </w:r>
      <w:r w:rsidRPr="00560C68">
        <w:rPr>
          <w:rFonts w:cs="Arial"/>
          <w:color w:val="000000" w:themeColor="text1"/>
          <w:sz w:val="20"/>
          <w:szCs w:val="20"/>
        </w:rPr>
        <w:t>) a to s ohledem na plnění závazků České republiky v oblasti ochrany zdraví a poskytování zdravotních služeb, které vyplývají z Mezinárodního paktu o občanských a politických právech, Evropské sociální charty a příslušných úmluv Organizace spojených národů.</w:t>
      </w:r>
    </w:p>
    <w:p w14:paraId="616470A4" w14:textId="77777777" w:rsidR="00560C68" w:rsidRPr="00560C68" w:rsidRDefault="00560C68" w:rsidP="00560C68">
      <w:pPr>
        <w:tabs>
          <w:tab w:val="left" w:pos="720"/>
        </w:tabs>
        <w:rPr>
          <w:rFonts w:eastAsia="Calibri" w:cs="Arial"/>
          <w:color w:val="000000" w:themeColor="text1"/>
          <w:sz w:val="20"/>
          <w:szCs w:val="20"/>
        </w:rPr>
      </w:pPr>
      <w:r w:rsidRPr="00560C68">
        <w:rPr>
          <w:rFonts w:eastAsia="Calibri" w:cs="Arial"/>
          <w:color w:val="000000" w:themeColor="text1"/>
          <w:sz w:val="20"/>
          <w:szCs w:val="20"/>
        </w:rPr>
        <w:t>Do zákona č. 372/2011 Sb., o zdravotních službách a podmínkách jejich poskytování, byla zapracována v plném rozsahu práva pacientů, vyplývající z Úmluvy o lidských právech a biomedicíně a dodatkového protokolu k Úmluvě na ochranu lidských práv a důstojnosti lidské bytosti.</w:t>
      </w:r>
    </w:p>
    <w:p w14:paraId="654222F6" w14:textId="259926F2" w:rsidR="00560C68" w:rsidRPr="00560C68" w:rsidRDefault="00560C68" w:rsidP="00560C68">
      <w:pPr>
        <w:tabs>
          <w:tab w:val="left" w:pos="720"/>
        </w:tabs>
        <w:rPr>
          <w:rFonts w:cs="Arial"/>
          <w:color w:val="000000" w:themeColor="text1"/>
          <w:sz w:val="20"/>
          <w:szCs w:val="20"/>
        </w:rPr>
      </w:pPr>
      <w:r w:rsidRPr="00560C68">
        <w:rPr>
          <w:rFonts w:cs="Arial"/>
          <w:color w:val="000000" w:themeColor="text1"/>
          <w:sz w:val="20"/>
          <w:szCs w:val="20"/>
        </w:rPr>
        <w:t>Strategický rámec péče o zdraví v České republice do roku 2030 problematiku a potřeby osob se zdravotním postižením zohledňuje. V rámci Implementačního plánu 2</w:t>
      </w:r>
      <w:r w:rsidR="0032029C">
        <w:rPr>
          <w:rFonts w:cs="Arial"/>
          <w:color w:val="000000" w:themeColor="text1"/>
          <w:sz w:val="20"/>
          <w:szCs w:val="20"/>
        </w:rPr>
        <w:t>.1 je řešena oblast zajištění a </w:t>
      </w:r>
      <w:r w:rsidRPr="00560C68">
        <w:rPr>
          <w:rFonts w:cs="Arial"/>
          <w:color w:val="000000" w:themeColor="text1"/>
          <w:sz w:val="20"/>
          <w:szCs w:val="20"/>
        </w:rPr>
        <w:t>podpory integrované a integrované sociální a zdravotní péče pro osoby s vysokou mírou disability. Opatření v tomto plánu jsou zaměřena od nastavení systémových stěžejních aktivit vedoucích k ukotvení tohoto druhu péče. V současné době je realizován projekt na podporu plánování integrovaných zdravotních a sociálních služeb a dále projekt na</w:t>
      </w:r>
      <w:r w:rsidR="0032029C">
        <w:rPr>
          <w:rFonts w:cs="Arial"/>
          <w:color w:val="000000" w:themeColor="text1"/>
          <w:sz w:val="20"/>
          <w:szCs w:val="20"/>
        </w:rPr>
        <w:t xml:space="preserve"> podporu a standardizaci péče o </w:t>
      </w:r>
      <w:r w:rsidRPr="00560C68">
        <w:rPr>
          <w:rFonts w:cs="Arial"/>
          <w:color w:val="000000" w:themeColor="text1"/>
          <w:sz w:val="20"/>
          <w:szCs w:val="20"/>
        </w:rPr>
        <w:t xml:space="preserve">pacienty se vzácným onemocněním, a to včetně komplexní zdravotně sociální péče. V roce 2023 byl úspěšně obhájen i projekt, jehož cílem je rozvoj poskytování obecné </w:t>
      </w:r>
      <w:r w:rsidR="0032029C">
        <w:rPr>
          <w:rFonts w:cs="Arial"/>
          <w:color w:val="000000" w:themeColor="text1"/>
          <w:sz w:val="20"/>
          <w:szCs w:val="20"/>
        </w:rPr>
        <w:t>paliativní péče v nemocnicích a </w:t>
      </w:r>
      <w:r w:rsidRPr="00560C68">
        <w:rPr>
          <w:rFonts w:cs="Arial"/>
          <w:color w:val="000000" w:themeColor="text1"/>
          <w:sz w:val="20"/>
          <w:szCs w:val="20"/>
        </w:rPr>
        <w:t>ve vlastním sociálním prostředí pacientů. Jeho realizace začala v roce 2024.</w:t>
      </w:r>
    </w:p>
    <w:p w14:paraId="354419F9" w14:textId="77777777" w:rsidR="00560C68" w:rsidRPr="00560C68" w:rsidRDefault="00560C68" w:rsidP="00560C68">
      <w:pPr>
        <w:tabs>
          <w:tab w:val="left" w:pos="720"/>
        </w:tabs>
        <w:rPr>
          <w:rFonts w:eastAsia="Calibri" w:cs="Arial"/>
          <w:color w:val="000000" w:themeColor="text1"/>
          <w:sz w:val="20"/>
          <w:szCs w:val="20"/>
        </w:rPr>
      </w:pPr>
      <w:r w:rsidRPr="00560C68">
        <w:rPr>
          <w:rFonts w:eastAsia="Calibri" w:cs="Arial"/>
          <w:color w:val="000000" w:themeColor="text1"/>
          <w:sz w:val="20"/>
          <w:szCs w:val="20"/>
        </w:rPr>
        <w:t xml:space="preserve">Resort je členem odborné skupiny pro přístupnost veřejné správy a veřejných služeb při Úřadu vlády, konkrétně je za MZ stálým členem koordinátorka pro osoby se zdravotním postižením, a je tedy možné flexibilněji reagovat na aktuální požadavky a potřeby ze strany osob se zdravotním postižením napříč aktivitami Ministerstva zdravotnictví. </w:t>
      </w:r>
    </w:p>
    <w:p w14:paraId="538D54F1" w14:textId="45DAFCF5" w:rsidR="00560C68" w:rsidRPr="00560C68" w:rsidRDefault="00560C68" w:rsidP="00560C68">
      <w:pPr>
        <w:tabs>
          <w:tab w:val="left" w:pos="720"/>
        </w:tabs>
        <w:rPr>
          <w:rFonts w:eastAsia="Calibri" w:cs="Arial"/>
          <w:color w:val="000000" w:themeColor="text1"/>
          <w:sz w:val="20"/>
          <w:szCs w:val="20"/>
        </w:rPr>
      </w:pPr>
      <w:r w:rsidRPr="00560C68">
        <w:rPr>
          <w:rFonts w:eastAsia="Calibri" w:cs="Arial"/>
          <w:color w:val="000000" w:themeColor="text1"/>
          <w:sz w:val="20"/>
          <w:szCs w:val="20"/>
        </w:rPr>
        <w:t xml:space="preserve">MZ bylo přizváno ze strany MPSV ke konzultaci </w:t>
      </w:r>
      <w:r w:rsidRPr="00560C68">
        <w:rPr>
          <w:rFonts w:cs="Arial"/>
          <w:color w:val="000000" w:themeColor="text1"/>
          <w:sz w:val="20"/>
          <w:szCs w:val="20"/>
        </w:rPr>
        <w:t>materiálu k návrhu zákona o asistenčních psech. K tomuto materiálu podalo MZ podněty k cílovým skupinám, požadovaným dovednostem asistenčních psů a jejich kompenzačnímu rozsahu. MZ následně materiál připomínkovalo.</w:t>
      </w:r>
    </w:p>
    <w:p w14:paraId="40EC2C02" w14:textId="3A8711F2" w:rsidR="00005071" w:rsidRPr="00560C68" w:rsidRDefault="00005071" w:rsidP="00560C68">
      <w:pPr>
        <w:keepNext/>
        <w:tabs>
          <w:tab w:val="left" w:pos="720"/>
        </w:tabs>
        <w:rPr>
          <w:rFonts w:cs="Arial"/>
          <w:b/>
          <w:bCs/>
          <w:sz w:val="20"/>
          <w:szCs w:val="20"/>
          <w:lang w:eastAsia="cs-CZ"/>
        </w:rPr>
      </w:pPr>
      <w:r w:rsidRPr="00560C68">
        <w:rPr>
          <w:rFonts w:cs="Arial"/>
          <w:b/>
          <w:bCs/>
          <w:sz w:val="20"/>
          <w:szCs w:val="20"/>
          <w:lang w:eastAsia="cs-CZ"/>
        </w:rPr>
        <w:t>STANOVISKO K PLNĚNÍ:</w:t>
      </w:r>
      <w:r w:rsidR="008F7474" w:rsidRPr="00560C68">
        <w:rPr>
          <w:rFonts w:cs="Arial"/>
          <w:b/>
          <w:sz w:val="20"/>
          <w:szCs w:val="20"/>
        </w:rPr>
        <w:t xml:space="preserve"> Plněno.</w:t>
      </w:r>
    </w:p>
    <w:p w14:paraId="4FA06268" w14:textId="77777777" w:rsidR="00005071" w:rsidRPr="00560C68" w:rsidRDefault="00005071" w:rsidP="00560C68">
      <w:pPr>
        <w:rPr>
          <w:rFonts w:cs="Arial"/>
          <w:sz w:val="20"/>
          <w:szCs w:val="20"/>
        </w:rPr>
      </w:pPr>
    </w:p>
    <w:p w14:paraId="4D13E6EB" w14:textId="700040E6" w:rsidR="00F17E74" w:rsidRPr="00CA1382" w:rsidRDefault="00F17E74" w:rsidP="00F17E74">
      <w:pPr>
        <w:spacing w:after="160"/>
        <w:rPr>
          <w:rFonts w:cs="Arial"/>
          <w:szCs w:val="20"/>
        </w:rPr>
      </w:pPr>
      <w:r w:rsidRPr="001750C8">
        <w:rPr>
          <w:rFonts w:cs="Arial"/>
          <w:bCs/>
          <w:szCs w:val="20"/>
        </w:rPr>
        <w:t xml:space="preserve">Opatření </w:t>
      </w:r>
      <w:r>
        <w:rPr>
          <w:rFonts w:cs="Arial"/>
          <w:bCs/>
          <w:szCs w:val="20"/>
        </w:rPr>
        <w:t>9</w:t>
      </w:r>
      <w:r w:rsidRPr="001750C8">
        <w:rPr>
          <w:rFonts w:cs="Arial"/>
          <w:bCs/>
          <w:szCs w:val="20"/>
        </w:rPr>
        <w:t>.</w:t>
      </w:r>
      <w:r>
        <w:rPr>
          <w:rFonts w:cs="Arial"/>
          <w:bCs/>
          <w:szCs w:val="20"/>
        </w:rPr>
        <w:t>1</w:t>
      </w:r>
      <w:r w:rsidRPr="001750C8">
        <w:rPr>
          <w:rFonts w:cs="Arial"/>
          <w:bCs/>
          <w:szCs w:val="20"/>
        </w:rPr>
        <w:t>.</w:t>
      </w:r>
      <w:r>
        <w:rPr>
          <w:rFonts w:cs="Arial"/>
          <w:bCs/>
          <w:szCs w:val="20"/>
        </w:rPr>
        <w:t>3</w:t>
      </w:r>
      <w:r w:rsidRPr="001750C8">
        <w:rPr>
          <w:rFonts w:cs="Arial"/>
          <w:bCs/>
          <w:szCs w:val="20"/>
        </w:rPr>
        <w:t xml:space="preserve"> Prostřednictvím osvěty upozorňovat poskytovatele zdravotních služeb na</w:t>
      </w:r>
      <w:r w:rsidR="00732D22">
        <w:rPr>
          <w:rFonts w:cs="Arial"/>
          <w:bCs/>
          <w:szCs w:val="20"/>
        </w:rPr>
        <w:t> </w:t>
      </w:r>
      <w:r w:rsidRPr="001750C8">
        <w:rPr>
          <w:rFonts w:cs="Arial"/>
          <w:bCs/>
          <w:szCs w:val="20"/>
        </w:rPr>
        <w:t>povinnosti stanovené těmto poskytovatelům v </w:t>
      </w:r>
      <w:r w:rsidRPr="00FE08FB">
        <w:rPr>
          <w:rFonts w:cs="Arial"/>
          <w:bCs/>
          <w:szCs w:val="20"/>
        </w:rPr>
        <w:t>§ 46 </w:t>
      </w:r>
      <w:r>
        <w:rPr>
          <w:rFonts w:cs="Arial"/>
          <w:szCs w:val="20"/>
        </w:rPr>
        <w:t>z</w:t>
      </w:r>
      <w:r w:rsidRPr="00D82B56">
        <w:rPr>
          <w:rFonts w:cs="Arial"/>
          <w:szCs w:val="20"/>
        </w:rPr>
        <w:t>ákon</w:t>
      </w:r>
      <w:r>
        <w:rPr>
          <w:rFonts w:cs="Arial"/>
          <w:szCs w:val="20"/>
        </w:rPr>
        <w:t>a</w:t>
      </w:r>
      <w:r w:rsidRPr="00D82B56">
        <w:rPr>
          <w:rFonts w:cs="Arial"/>
          <w:szCs w:val="20"/>
        </w:rPr>
        <w:t xml:space="preserve"> č. 372/2011 </w:t>
      </w:r>
      <w:r>
        <w:rPr>
          <w:rFonts w:cs="Arial"/>
          <w:szCs w:val="20"/>
        </w:rPr>
        <w:t xml:space="preserve">Sb., </w:t>
      </w:r>
      <w:r w:rsidRPr="00D82B56">
        <w:rPr>
          <w:rFonts w:cs="Arial"/>
          <w:szCs w:val="20"/>
        </w:rPr>
        <w:t>o zdravotních službách a podmínkách jejich poskytování (zákon o zdravotních službách)</w:t>
      </w:r>
      <w:r>
        <w:rPr>
          <w:rFonts w:cs="Arial"/>
          <w:szCs w:val="20"/>
        </w:rPr>
        <w:t>, ve znění pozdějších předpisů</w:t>
      </w:r>
      <w:r w:rsidR="00746F46">
        <w:rPr>
          <w:rFonts w:cs="Arial"/>
          <w:szCs w:val="20"/>
        </w:rPr>
        <w:t>,</w:t>
      </w:r>
      <w:r w:rsidRPr="001750C8">
        <w:rPr>
          <w:rFonts w:cs="Arial"/>
          <w:bCs/>
          <w:szCs w:val="20"/>
        </w:rPr>
        <w:t xml:space="preserve"> týkající se</w:t>
      </w:r>
      <w:r>
        <w:rPr>
          <w:rFonts w:cs="Arial"/>
          <w:bCs/>
          <w:szCs w:val="20"/>
        </w:rPr>
        <w:t xml:space="preserve"> </w:t>
      </w:r>
      <w:r w:rsidRPr="001750C8">
        <w:rPr>
          <w:rFonts w:cs="Arial"/>
          <w:bCs/>
          <w:szCs w:val="20"/>
        </w:rPr>
        <w:t xml:space="preserve">informování pacienta o dalších zdravotních </w:t>
      </w:r>
      <w:r>
        <w:rPr>
          <w:rFonts w:cs="Arial"/>
          <w:bCs/>
          <w:szCs w:val="20"/>
        </w:rPr>
        <w:t xml:space="preserve">a sociálních </w:t>
      </w:r>
      <w:r w:rsidRPr="001750C8">
        <w:rPr>
          <w:rFonts w:cs="Arial"/>
          <w:bCs/>
          <w:szCs w:val="20"/>
        </w:rPr>
        <w:t>službách, které mohou zlepšit jeho zdravotní stav, zejména o možnostech sociální, pracovní a pedagogické rehabilitace.</w:t>
      </w:r>
    </w:p>
    <w:p w14:paraId="0F8E9BFE" w14:textId="77777777" w:rsidR="00F17E74" w:rsidRPr="0057756D" w:rsidRDefault="00F17E74" w:rsidP="00F17E74">
      <w:pPr>
        <w:rPr>
          <w:rFonts w:cs="Arial"/>
          <w:szCs w:val="20"/>
        </w:rPr>
      </w:pPr>
      <w:r w:rsidRPr="0057756D">
        <w:rPr>
          <w:rFonts w:cs="Arial"/>
          <w:szCs w:val="20"/>
        </w:rPr>
        <w:t>Termín: průběžně</w:t>
      </w:r>
    </w:p>
    <w:p w14:paraId="6D0328DA" w14:textId="77777777" w:rsidR="00F17E74" w:rsidRPr="0057756D" w:rsidRDefault="00F17E74" w:rsidP="00F17E74">
      <w:pPr>
        <w:rPr>
          <w:rFonts w:cs="Arial"/>
          <w:szCs w:val="20"/>
        </w:rPr>
      </w:pPr>
      <w:r w:rsidRPr="0057756D">
        <w:rPr>
          <w:rFonts w:cs="Arial"/>
          <w:szCs w:val="20"/>
        </w:rPr>
        <w:t>Gestor: MZ</w:t>
      </w:r>
    </w:p>
    <w:p w14:paraId="2D431B46" w14:textId="26AA15AE" w:rsidR="00F17E74" w:rsidRDefault="00F17E74" w:rsidP="00572B11">
      <w:pPr>
        <w:rPr>
          <w:rFonts w:cs="Arial"/>
          <w:szCs w:val="20"/>
        </w:rPr>
      </w:pPr>
      <w:r w:rsidRPr="00646485">
        <w:rPr>
          <w:rFonts w:cs="Arial"/>
          <w:szCs w:val="20"/>
        </w:rPr>
        <w:lastRenderedPageBreak/>
        <w:t>Indikátor: Za dané období proběhla školení či byla vypracová</w:t>
      </w:r>
      <w:r>
        <w:rPr>
          <w:rFonts w:cs="Arial"/>
          <w:szCs w:val="20"/>
        </w:rPr>
        <w:t>na</w:t>
      </w:r>
      <w:r w:rsidRPr="00646485">
        <w:rPr>
          <w:rFonts w:cs="Arial"/>
          <w:szCs w:val="20"/>
        </w:rPr>
        <w:t xml:space="preserve"> a zveřejněna metodická </w:t>
      </w:r>
      <w:r>
        <w:rPr>
          <w:rFonts w:cs="Arial"/>
          <w:szCs w:val="20"/>
        </w:rPr>
        <w:t>informace v uvedené</w:t>
      </w:r>
      <w:r w:rsidR="00014F2D">
        <w:rPr>
          <w:rFonts w:cs="Arial"/>
          <w:szCs w:val="20"/>
        </w:rPr>
        <w:t xml:space="preserve"> věci.</w:t>
      </w:r>
    </w:p>
    <w:p w14:paraId="1F2C4FA3" w14:textId="77777777" w:rsidR="00572B11" w:rsidRPr="00A94B74" w:rsidRDefault="00572B11" w:rsidP="00A94B74">
      <w:pPr>
        <w:rPr>
          <w:rFonts w:cs="Arial"/>
          <w:sz w:val="20"/>
          <w:szCs w:val="20"/>
        </w:rPr>
      </w:pPr>
    </w:p>
    <w:p w14:paraId="0D0A2613" w14:textId="1881FF4C" w:rsidR="00122D1A" w:rsidRPr="0062198A" w:rsidRDefault="00122D1A" w:rsidP="0062198A">
      <w:pPr>
        <w:tabs>
          <w:tab w:val="left" w:pos="720"/>
        </w:tabs>
        <w:rPr>
          <w:rFonts w:cs="Arial"/>
          <w:b/>
          <w:bCs/>
          <w:sz w:val="20"/>
          <w:szCs w:val="20"/>
          <w:lang w:eastAsia="cs-CZ"/>
        </w:rPr>
      </w:pPr>
      <w:r w:rsidRPr="0062198A">
        <w:rPr>
          <w:rFonts w:cs="Arial"/>
          <w:b/>
          <w:bCs/>
          <w:sz w:val="20"/>
          <w:szCs w:val="20"/>
          <w:lang w:eastAsia="cs-CZ"/>
        </w:rPr>
        <w:t>PLNĚNÍ MZ:</w:t>
      </w:r>
    </w:p>
    <w:p w14:paraId="0FBD50A4" w14:textId="645D1480" w:rsidR="0062198A" w:rsidRPr="0062198A" w:rsidRDefault="0062198A" w:rsidP="0062198A">
      <w:pPr>
        <w:rPr>
          <w:rFonts w:cs="Arial"/>
          <w:color w:val="000000" w:themeColor="text1"/>
          <w:sz w:val="20"/>
          <w:szCs w:val="20"/>
        </w:rPr>
      </w:pPr>
      <w:r w:rsidRPr="0062198A">
        <w:rPr>
          <w:rFonts w:cs="Arial"/>
          <w:color w:val="000000" w:themeColor="text1"/>
          <w:sz w:val="20"/>
          <w:szCs w:val="20"/>
        </w:rPr>
        <w:t xml:space="preserve">Mezi náplň práce Oddělení podpory práv pacientů (OPP) mimo jiné patří i šíření informací o činnosti pacientských organizací, a to i směrem k odborné veřejnosti. V roce 2023 byl např. prezentován příspěvek na webináři Společnosti všeobecného lékařství, konferenci NZIP či setkání nemocničních ombudsmanů. Ve spolupráci s Národní asociací pacientských organizací (NAPO) bylo vytvořeno edukačně osvětové video o užitečnosti pacientských organizací a je nabízeno poskytovatelům ke sdílení. </w:t>
      </w:r>
      <w:proofErr w:type="gramStart"/>
      <w:r w:rsidRPr="0062198A">
        <w:rPr>
          <w:rFonts w:cs="Arial"/>
          <w:color w:val="000000" w:themeColor="text1"/>
          <w:sz w:val="20"/>
          <w:szCs w:val="20"/>
        </w:rPr>
        <w:t>OPP</w:t>
      </w:r>
      <w:proofErr w:type="gramEnd"/>
      <w:r w:rsidRPr="0062198A">
        <w:rPr>
          <w:rFonts w:cs="Arial"/>
          <w:color w:val="000000" w:themeColor="text1"/>
          <w:sz w:val="20"/>
          <w:szCs w:val="20"/>
        </w:rPr>
        <w:t xml:space="preserve"> vytvořilo Metodický </w:t>
      </w:r>
      <w:proofErr w:type="gramStart"/>
      <w:r w:rsidRPr="0062198A">
        <w:rPr>
          <w:rFonts w:cs="Arial"/>
          <w:color w:val="000000" w:themeColor="text1"/>
          <w:sz w:val="20"/>
          <w:szCs w:val="20"/>
        </w:rPr>
        <w:t>pokyn</w:t>
      </w:r>
      <w:proofErr w:type="gramEnd"/>
      <w:r w:rsidRPr="0062198A">
        <w:rPr>
          <w:rFonts w:cs="Arial"/>
          <w:color w:val="000000" w:themeColor="text1"/>
          <w:sz w:val="20"/>
          <w:szCs w:val="20"/>
        </w:rPr>
        <w:t xml:space="preserve"> k činnosti nemocničních ombudsmanů, kteří jsou v úzkém kontaktu s pacienty, často i v oblasti následné péče a kteří dále školí zdravotníky pracující u daného poskytovatele. </w:t>
      </w:r>
    </w:p>
    <w:p w14:paraId="4FB7E72E" w14:textId="261114DF" w:rsidR="0062198A" w:rsidRPr="0062198A" w:rsidRDefault="0062198A" w:rsidP="0062198A">
      <w:pPr>
        <w:rPr>
          <w:rFonts w:cs="Arial"/>
          <w:color w:val="000000" w:themeColor="text1"/>
          <w:sz w:val="20"/>
          <w:szCs w:val="20"/>
        </w:rPr>
      </w:pPr>
      <w:r w:rsidRPr="0062198A">
        <w:rPr>
          <w:rFonts w:cs="Arial"/>
          <w:color w:val="000000" w:themeColor="text1"/>
          <w:sz w:val="20"/>
          <w:szCs w:val="20"/>
        </w:rPr>
        <w:t>Národní informační zdravotnický portál pořádá pravidelné konference, kde jsou prezentována některá témata i tvůrci souvisejících článků zveřejněných na tomto portálu</w:t>
      </w:r>
      <w:r w:rsidR="00DF1FDF">
        <w:rPr>
          <w:rFonts w:cs="Arial"/>
          <w:color w:val="000000" w:themeColor="text1"/>
          <w:sz w:val="20"/>
          <w:szCs w:val="20"/>
        </w:rPr>
        <w:t>. Pravidelnými účastníky jsou i </w:t>
      </w:r>
      <w:r w:rsidRPr="0062198A">
        <w:rPr>
          <w:rFonts w:cs="Arial"/>
          <w:color w:val="000000" w:themeColor="text1"/>
          <w:sz w:val="20"/>
          <w:szCs w:val="20"/>
        </w:rPr>
        <w:t>zástupci poskytovatelů zdravotních služeb. Konference se v roce 2023 konaly 7. června a 13. prosince v Praze.</w:t>
      </w:r>
    </w:p>
    <w:p w14:paraId="27B90848" w14:textId="3CE9F713" w:rsidR="0062198A" w:rsidRPr="0062198A" w:rsidRDefault="0062198A" w:rsidP="0062198A">
      <w:pPr>
        <w:shd w:val="clear" w:color="auto" w:fill="FFFFFF"/>
        <w:rPr>
          <w:rFonts w:cs="Arial"/>
          <w:color w:val="000000" w:themeColor="text1"/>
          <w:sz w:val="20"/>
          <w:szCs w:val="20"/>
          <w:shd w:val="clear" w:color="auto" w:fill="FFFFFF"/>
        </w:rPr>
      </w:pPr>
      <w:r w:rsidRPr="0062198A">
        <w:rPr>
          <w:rFonts w:cs="Arial"/>
          <w:color w:val="000000" w:themeColor="text1"/>
          <w:sz w:val="20"/>
          <w:szCs w:val="20"/>
        </w:rPr>
        <w:t xml:space="preserve">Při </w:t>
      </w:r>
      <w:r w:rsidRPr="0062198A">
        <w:rPr>
          <w:rFonts w:cs="Arial"/>
          <w:color w:val="000000" w:themeColor="text1"/>
          <w:sz w:val="20"/>
          <w:szCs w:val="20"/>
          <w:shd w:val="clear" w:color="auto" w:fill="FFFFFF"/>
        </w:rPr>
        <w:t>Národním centru ošetřovatelství a nelékařských zdravotnických oborů vznikla v roce 2022 nová pracovní skupina se zaměřením na oblast podpory neformálních pečujících, kde mají své zástupce nejen MZ a MPSV, ale i některé pověřené pacientské organizace. Pracovní skupina pracovala v roce 2023 na podpo</w:t>
      </w:r>
      <w:r w:rsidR="00FD3A7F">
        <w:rPr>
          <w:rFonts w:cs="Arial"/>
          <w:color w:val="000000" w:themeColor="text1"/>
          <w:sz w:val="20"/>
          <w:szCs w:val="20"/>
          <w:shd w:val="clear" w:color="auto" w:fill="FFFFFF"/>
        </w:rPr>
        <w:t>ře</w:t>
      </w:r>
      <w:r w:rsidRPr="0062198A">
        <w:rPr>
          <w:rFonts w:cs="Arial"/>
          <w:color w:val="000000" w:themeColor="text1"/>
          <w:sz w:val="20"/>
          <w:szCs w:val="20"/>
          <w:shd w:val="clear" w:color="auto" w:fill="FFFFFF"/>
        </w:rPr>
        <w:t xml:space="preserve"> vyšší jistoty pečujících v oblasti informovanosti o možnostech sociálně zdravotní podpory při péči o pacienta v jeho vlastním sociálním prostředí, před ukončením hospitalizace apod., a to prostřednictvím vzniku metodiky, která bude obsahovat základní rozlišení dostupných služeb a</w:t>
      </w:r>
      <w:r w:rsidR="00DF1FDF">
        <w:rPr>
          <w:rFonts w:cs="Arial"/>
          <w:color w:val="000000" w:themeColor="text1"/>
          <w:sz w:val="20"/>
          <w:szCs w:val="20"/>
          <w:shd w:val="clear" w:color="auto" w:fill="FFFFFF"/>
        </w:rPr>
        <w:t> </w:t>
      </w:r>
      <w:r w:rsidRPr="0062198A">
        <w:rPr>
          <w:rFonts w:cs="Arial"/>
          <w:color w:val="000000" w:themeColor="text1"/>
          <w:sz w:val="20"/>
          <w:szCs w:val="20"/>
          <w:shd w:val="clear" w:color="auto" w:fill="FFFFFF"/>
        </w:rPr>
        <w:t>jejich cílových skupin, základní okruhy informací pro nefo</w:t>
      </w:r>
      <w:r w:rsidR="00DF1FDF">
        <w:rPr>
          <w:rFonts w:cs="Arial"/>
          <w:color w:val="000000" w:themeColor="text1"/>
          <w:sz w:val="20"/>
          <w:szCs w:val="20"/>
          <w:shd w:val="clear" w:color="auto" w:fill="FFFFFF"/>
        </w:rPr>
        <w:t xml:space="preserve">rmální pečující a způsoby práce s neformálními pečujícími. </w:t>
      </w:r>
      <w:r w:rsidRPr="0062198A">
        <w:rPr>
          <w:rFonts w:cs="Arial"/>
          <w:color w:val="000000" w:themeColor="text1"/>
          <w:sz w:val="20"/>
          <w:szCs w:val="20"/>
          <w:shd w:val="clear" w:color="auto" w:fill="FFFFFF"/>
        </w:rPr>
        <w:t>Dále je plánována tvorba informačního videa informačního materiálu pro pečující, kdy byly v roce 2023 specifikovány požadavky na jeho obsah.</w:t>
      </w:r>
    </w:p>
    <w:p w14:paraId="52BD365A" w14:textId="5E6C0110" w:rsidR="00122D1A" w:rsidRPr="0062198A" w:rsidRDefault="00122D1A" w:rsidP="0062198A">
      <w:pPr>
        <w:keepNext/>
        <w:tabs>
          <w:tab w:val="left" w:pos="720"/>
        </w:tabs>
        <w:rPr>
          <w:rFonts w:cs="Arial"/>
          <w:b/>
          <w:bCs/>
          <w:sz w:val="20"/>
          <w:szCs w:val="20"/>
          <w:lang w:eastAsia="cs-CZ"/>
        </w:rPr>
      </w:pPr>
      <w:r w:rsidRPr="0062198A">
        <w:rPr>
          <w:rFonts w:cs="Arial"/>
          <w:b/>
          <w:bCs/>
          <w:sz w:val="20"/>
          <w:szCs w:val="20"/>
          <w:lang w:eastAsia="cs-CZ"/>
        </w:rPr>
        <w:t>STANOVISKO K PLNĚNÍ:</w:t>
      </w:r>
      <w:r w:rsidR="00BD3581" w:rsidRPr="0062198A">
        <w:rPr>
          <w:rFonts w:cs="Arial"/>
          <w:b/>
          <w:sz w:val="20"/>
          <w:szCs w:val="20"/>
        </w:rPr>
        <w:t xml:space="preserve"> Plněno.</w:t>
      </w:r>
    </w:p>
    <w:p w14:paraId="23B18746" w14:textId="77777777" w:rsidR="00122D1A" w:rsidRPr="0062198A" w:rsidRDefault="00122D1A" w:rsidP="0062198A">
      <w:pPr>
        <w:rPr>
          <w:rFonts w:cs="Arial"/>
          <w:sz w:val="20"/>
          <w:szCs w:val="20"/>
        </w:rPr>
      </w:pPr>
    </w:p>
    <w:p w14:paraId="027A0B73" w14:textId="77777777" w:rsidR="00F17E74" w:rsidRDefault="00F17E74" w:rsidP="002A7132">
      <w:pPr>
        <w:rPr>
          <w:rFonts w:cs="Arial"/>
          <w:szCs w:val="20"/>
        </w:rPr>
      </w:pPr>
      <w:r>
        <w:rPr>
          <w:rFonts w:cs="Arial"/>
          <w:szCs w:val="20"/>
        </w:rPr>
        <w:t xml:space="preserve">Opatření 9.1.4 </w:t>
      </w:r>
      <w:r w:rsidRPr="005A3FDA">
        <w:rPr>
          <w:rFonts w:cs="Arial"/>
          <w:szCs w:val="20"/>
        </w:rPr>
        <w:t>Podporovat rozvoj dobrovolnických programů a aktivit u poskytovatelů zdravotních služeb zaměřen</w:t>
      </w:r>
      <w:r w:rsidR="00197DF5">
        <w:rPr>
          <w:rFonts w:cs="Arial"/>
          <w:szCs w:val="20"/>
        </w:rPr>
        <w:t>ých</w:t>
      </w:r>
      <w:r w:rsidRPr="005A3FDA">
        <w:rPr>
          <w:rFonts w:cs="Arial"/>
          <w:szCs w:val="20"/>
        </w:rPr>
        <w:t xml:space="preserve"> na </w:t>
      </w:r>
      <w:r w:rsidR="004808AB">
        <w:rPr>
          <w:rFonts w:cs="Arial"/>
          <w:szCs w:val="20"/>
        </w:rPr>
        <w:t xml:space="preserve">osoby </w:t>
      </w:r>
      <w:r w:rsidRPr="005A3FDA">
        <w:rPr>
          <w:rFonts w:cs="Arial"/>
          <w:szCs w:val="20"/>
        </w:rPr>
        <w:t>chronicky nemocné a zdravotně postižené</w:t>
      </w:r>
      <w:r>
        <w:rPr>
          <w:rFonts w:cs="Arial"/>
          <w:szCs w:val="20"/>
        </w:rPr>
        <w:t>.</w:t>
      </w:r>
    </w:p>
    <w:p w14:paraId="1F15E50A" w14:textId="77777777" w:rsidR="00F17E74" w:rsidRPr="0057756D" w:rsidRDefault="00F17E74" w:rsidP="002A7132">
      <w:pPr>
        <w:rPr>
          <w:rFonts w:cs="Arial"/>
          <w:szCs w:val="20"/>
        </w:rPr>
      </w:pPr>
      <w:r w:rsidRPr="0057756D">
        <w:rPr>
          <w:rFonts w:cs="Arial"/>
          <w:szCs w:val="20"/>
        </w:rPr>
        <w:t>Termín: průběžně</w:t>
      </w:r>
    </w:p>
    <w:p w14:paraId="26007532" w14:textId="77777777" w:rsidR="00F17E74" w:rsidRPr="0057756D" w:rsidRDefault="00F17E74" w:rsidP="002A7132">
      <w:pPr>
        <w:rPr>
          <w:rFonts w:cs="Arial"/>
          <w:szCs w:val="20"/>
        </w:rPr>
      </w:pPr>
      <w:r w:rsidRPr="0057756D">
        <w:rPr>
          <w:rFonts w:cs="Arial"/>
          <w:szCs w:val="20"/>
        </w:rPr>
        <w:t>Gestor: MZ</w:t>
      </w:r>
    </w:p>
    <w:p w14:paraId="7A9CD15B" w14:textId="57DBBDC9" w:rsidR="00F17E74" w:rsidRDefault="00F17E74" w:rsidP="002A7132">
      <w:pPr>
        <w:rPr>
          <w:rFonts w:cs="Arial"/>
          <w:szCs w:val="20"/>
        </w:rPr>
      </w:pPr>
      <w:r w:rsidRPr="00646485">
        <w:rPr>
          <w:rFonts w:cs="Arial"/>
          <w:szCs w:val="20"/>
        </w:rPr>
        <w:t xml:space="preserve">Indikátor: </w:t>
      </w:r>
      <w:r>
        <w:rPr>
          <w:rFonts w:cs="Arial"/>
          <w:szCs w:val="20"/>
        </w:rPr>
        <w:t xml:space="preserve">Je vyhlašován dotační program s uvedeným zaměřením.  </w:t>
      </w:r>
    </w:p>
    <w:p w14:paraId="240CB425" w14:textId="77777777" w:rsidR="002A7132" w:rsidRPr="00B6422D" w:rsidRDefault="002A7132" w:rsidP="00B6422D">
      <w:pPr>
        <w:rPr>
          <w:rFonts w:cs="Arial"/>
          <w:sz w:val="20"/>
          <w:szCs w:val="20"/>
        </w:rPr>
      </w:pPr>
    </w:p>
    <w:p w14:paraId="0316C93B" w14:textId="39F9F367" w:rsidR="0038495B" w:rsidRPr="00BF5A32" w:rsidRDefault="0038495B" w:rsidP="00BF5A32">
      <w:pPr>
        <w:tabs>
          <w:tab w:val="left" w:pos="720"/>
        </w:tabs>
        <w:rPr>
          <w:rFonts w:cs="Arial"/>
          <w:b/>
          <w:bCs/>
          <w:sz w:val="20"/>
          <w:szCs w:val="20"/>
          <w:lang w:eastAsia="cs-CZ"/>
        </w:rPr>
      </w:pPr>
      <w:r w:rsidRPr="00BF5A32">
        <w:rPr>
          <w:rFonts w:cs="Arial"/>
          <w:b/>
          <w:bCs/>
          <w:sz w:val="20"/>
          <w:szCs w:val="20"/>
          <w:lang w:eastAsia="cs-CZ"/>
        </w:rPr>
        <w:t>PLNĚNÍ MZ:</w:t>
      </w:r>
    </w:p>
    <w:p w14:paraId="719871DC" w14:textId="6C39FC2C" w:rsidR="00BF5A32" w:rsidRPr="00BF5A32" w:rsidRDefault="00BF5A32" w:rsidP="00BF5A32">
      <w:pPr>
        <w:rPr>
          <w:rFonts w:eastAsia="Calibri" w:cs="Arial"/>
          <w:color w:val="000000" w:themeColor="text1"/>
          <w:sz w:val="20"/>
          <w:szCs w:val="20"/>
        </w:rPr>
      </w:pPr>
      <w:bookmarkStart w:id="39" w:name="_Hlk125625842"/>
      <w:r w:rsidRPr="00BF5A32">
        <w:rPr>
          <w:rFonts w:eastAsia="Calibri" w:cs="Arial"/>
          <w:color w:val="000000" w:themeColor="text1"/>
          <w:sz w:val="20"/>
          <w:szCs w:val="20"/>
        </w:rPr>
        <w:t xml:space="preserve">V roce 2023 bylo předloženo 30 žádostí </w:t>
      </w:r>
      <w:r w:rsidRPr="00BF5A32">
        <w:rPr>
          <w:rFonts w:cs="Arial"/>
          <w:color w:val="000000" w:themeColor="text1"/>
          <w:sz w:val="20"/>
          <w:szCs w:val="20"/>
        </w:rPr>
        <w:t>zaměřených na prioritu A</w:t>
      </w:r>
      <w:r w:rsidR="00DF1FDF">
        <w:rPr>
          <w:rFonts w:eastAsia="Calibri" w:cs="Arial"/>
          <w:color w:val="000000" w:themeColor="text1"/>
          <w:sz w:val="20"/>
          <w:szCs w:val="20"/>
        </w:rPr>
        <w:t xml:space="preserve">. Bylo podpořeno </w:t>
      </w:r>
      <w:r w:rsidRPr="00BF5A32">
        <w:rPr>
          <w:rFonts w:eastAsia="Calibri" w:cs="Arial"/>
          <w:color w:val="000000" w:themeColor="text1"/>
          <w:sz w:val="20"/>
          <w:szCs w:val="20"/>
        </w:rPr>
        <w:t>26 projektů v celkové výši 2 741 850,00 Kč.</w:t>
      </w:r>
      <w:bookmarkEnd w:id="39"/>
      <w:r w:rsidRPr="00BF5A32">
        <w:rPr>
          <w:rFonts w:eastAsia="Calibri" w:cs="Arial"/>
          <w:color w:val="000000" w:themeColor="text1"/>
          <w:sz w:val="20"/>
          <w:szCs w:val="20"/>
        </w:rPr>
        <w:t xml:space="preserve"> </w:t>
      </w:r>
    </w:p>
    <w:p w14:paraId="569046F1" w14:textId="1A7E20AB" w:rsidR="00BF5A32" w:rsidRPr="00BF5A32" w:rsidRDefault="00BF5A32" w:rsidP="00BF5A32">
      <w:pPr>
        <w:rPr>
          <w:rFonts w:eastAsia="Calibri" w:cs="Arial"/>
          <w:color w:val="000000" w:themeColor="text1"/>
          <w:sz w:val="20"/>
          <w:szCs w:val="20"/>
        </w:rPr>
      </w:pPr>
      <w:r w:rsidRPr="00BF5A32">
        <w:rPr>
          <w:rFonts w:eastAsia="Calibri" w:cs="Arial"/>
          <w:color w:val="000000" w:themeColor="text1"/>
          <w:sz w:val="20"/>
          <w:szCs w:val="20"/>
        </w:rPr>
        <w:t xml:space="preserve">Příklady </w:t>
      </w:r>
      <w:r w:rsidRPr="00BF5A32">
        <w:rPr>
          <w:rFonts w:cs="Arial"/>
          <w:color w:val="000000" w:themeColor="text1"/>
          <w:sz w:val="20"/>
          <w:szCs w:val="20"/>
        </w:rPr>
        <w:t>podpořených projektů</w:t>
      </w:r>
      <w:r w:rsidRPr="00BF5A32">
        <w:rPr>
          <w:rFonts w:eastAsia="Calibri" w:cs="Arial"/>
          <w:color w:val="000000" w:themeColor="text1"/>
          <w:sz w:val="20"/>
          <w:szCs w:val="20"/>
        </w:rPr>
        <w:t>:</w:t>
      </w:r>
    </w:p>
    <w:p w14:paraId="77FE7BA4" w14:textId="65C66F4F" w:rsidR="00BF5A32" w:rsidRPr="00BF5A32" w:rsidRDefault="00BF5A32" w:rsidP="008263CB">
      <w:pPr>
        <w:numPr>
          <w:ilvl w:val="0"/>
          <w:numId w:val="38"/>
        </w:numPr>
        <w:contextualSpacing/>
        <w:rPr>
          <w:rFonts w:eastAsia="Calibri" w:cs="Arial"/>
          <w:color w:val="000000" w:themeColor="text1"/>
          <w:sz w:val="20"/>
          <w:szCs w:val="20"/>
        </w:rPr>
      </w:pPr>
      <w:r w:rsidRPr="00BF5A32">
        <w:rPr>
          <w:rFonts w:eastAsia="Calibri" w:cs="Arial"/>
          <w:color w:val="000000" w:themeColor="text1"/>
          <w:sz w:val="20"/>
          <w:szCs w:val="20"/>
        </w:rPr>
        <w:t xml:space="preserve">ADRA, o.p.s. - Dobrovolníci ve zdravotnických zařízeních v Ostravě a okolí </w:t>
      </w:r>
    </w:p>
    <w:p w14:paraId="68E1BD29" w14:textId="3787821F" w:rsidR="00BF5A32" w:rsidRPr="00BF5A32" w:rsidRDefault="00BF5A32" w:rsidP="002236E6">
      <w:pPr>
        <w:contextualSpacing/>
        <w:rPr>
          <w:rFonts w:eastAsia="Calibri" w:cs="Arial"/>
          <w:color w:val="000000" w:themeColor="text1"/>
          <w:sz w:val="20"/>
          <w:szCs w:val="20"/>
        </w:rPr>
      </w:pPr>
      <w:r w:rsidRPr="00BF5A32">
        <w:rPr>
          <w:rFonts w:eastAsia="Calibri" w:cs="Arial"/>
          <w:color w:val="000000" w:themeColor="text1"/>
          <w:sz w:val="20"/>
          <w:szCs w:val="20"/>
        </w:rPr>
        <w:t>Dobrovolnické centrum ADRA Ostrava vysílá dobrovolníky do zdra</w:t>
      </w:r>
      <w:r w:rsidR="00DF1FDF">
        <w:rPr>
          <w:rFonts w:eastAsia="Calibri" w:cs="Arial"/>
          <w:color w:val="000000" w:themeColor="text1"/>
          <w:sz w:val="20"/>
          <w:szCs w:val="20"/>
        </w:rPr>
        <w:t>votnických zařízení v Ostravě a </w:t>
      </w:r>
      <w:r w:rsidRPr="00BF5A32">
        <w:rPr>
          <w:rFonts w:eastAsia="Calibri" w:cs="Arial"/>
          <w:color w:val="000000" w:themeColor="text1"/>
          <w:sz w:val="20"/>
          <w:szCs w:val="20"/>
        </w:rPr>
        <w:t>okolí. Hlavní rolí dobrovolníků bude zpříjemňovat pacientům pobyt v nemocnici povídáním, hraním her anebo jinak společně stráveným časem. Dobrovolníci nejsou ale pouze zpestřením, poskytují pacientům také důležitou psychickou podporu v době, kdy jsou vytrženi ze svého domácího prostředí, mají strach z léčby anebo nejisté budoucnosti a cítí se osamělí. Jejich přítomnost tudíž pozitivně působí na psychický stav pacientů, který příznivě ovlivňuje jejich uzdravení.</w:t>
      </w:r>
    </w:p>
    <w:p w14:paraId="3722ADBB" w14:textId="77777777" w:rsidR="00BF5A32" w:rsidRPr="00BF5A32" w:rsidRDefault="00BF5A32" w:rsidP="008263CB">
      <w:pPr>
        <w:numPr>
          <w:ilvl w:val="0"/>
          <w:numId w:val="38"/>
        </w:numPr>
        <w:contextualSpacing/>
        <w:rPr>
          <w:rFonts w:eastAsia="Calibri" w:cs="Arial"/>
          <w:color w:val="000000" w:themeColor="text1"/>
          <w:sz w:val="20"/>
          <w:szCs w:val="20"/>
        </w:rPr>
      </w:pPr>
      <w:proofErr w:type="gramStart"/>
      <w:r w:rsidRPr="00BF5A32">
        <w:rPr>
          <w:rFonts w:eastAsia="Calibri" w:cs="Arial"/>
          <w:color w:val="000000" w:themeColor="text1"/>
          <w:sz w:val="20"/>
          <w:szCs w:val="20"/>
        </w:rPr>
        <w:t>Amelie, z.s.</w:t>
      </w:r>
      <w:proofErr w:type="gramEnd"/>
      <w:r w:rsidRPr="00BF5A32">
        <w:rPr>
          <w:rFonts w:eastAsia="Calibri" w:cs="Arial"/>
          <w:color w:val="000000" w:themeColor="text1"/>
          <w:sz w:val="20"/>
          <w:szCs w:val="20"/>
        </w:rPr>
        <w:t xml:space="preserve"> - Dobrovolníci Amelie pomáhají žít život s rakovinou </w:t>
      </w:r>
    </w:p>
    <w:p w14:paraId="7D2522BC" w14:textId="66716B20" w:rsidR="00BF5A32" w:rsidRPr="00BF5A32" w:rsidRDefault="00BF5A32" w:rsidP="002236E6">
      <w:pPr>
        <w:rPr>
          <w:rFonts w:eastAsia="Calibri" w:cs="Arial"/>
          <w:color w:val="000000" w:themeColor="text1"/>
          <w:sz w:val="20"/>
          <w:szCs w:val="20"/>
        </w:rPr>
      </w:pPr>
      <w:r w:rsidRPr="00BF5A32">
        <w:rPr>
          <w:rFonts w:eastAsia="Calibri" w:cs="Arial"/>
          <w:color w:val="000000" w:themeColor="text1"/>
          <w:sz w:val="20"/>
          <w:szCs w:val="20"/>
        </w:rPr>
        <w:t>Cílem je zpříjemnit pacientovi pobyt v nemocnici, vytrhnout jej z monotónního prostředí a vlastních starostí, napomoci personálu přenesením kontaktu na sebe, nabídnout přirozený kontakt. Proto dobrovolníci nabízejí různé neformální, volně strukturované aktivity, které si pacienti sami volí - povídají si, čtou, nabízejí časopisy, mohou se jít projít po areálu nemocnice nebo mohou připravit pro pacienty společný program, obvykle zaměřený na výtvarnou aktivizaci.</w:t>
      </w:r>
    </w:p>
    <w:p w14:paraId="59FB9880" w14:textId="52A3B03A" w:rsidR="0038495B" w:rsidRPr="00BF5A32" w:rsidRDefault="0038495B" w:rsidP="00BF5A32">
      <w:pPr>
        <w:keepNext/>
        <w:tabs>
          <w:tab w:val="left" w:pos="720"/>
        </w:tabs>
        <w:rPr>
          <w:rFonts w:cs="Arial"/>
          <w:b/>
          <w:bCs/>
          <w:sz w:val="20"/>
          <w:szCs w:val="20"/>
          <w:lang w:eastAsia="cs-CZ"/>
        </w:rPr>
      </w:pPr>
      <w:r w:rsidRPr="00BF5A32">
        <w:rPr>
          <w:rFonts w:cs="Arial"/>
          <w:b/>
          <w:bCs/>
          <w:sz w:val="20"/>
          <w:szCs w:val="20"/>
          <w:lang w:eastAsia="cs-CZ"/>
        </w:rPr>
        <w:lastRenderedPageBreak/>
        <w:t>STANOVISKO K PLNĚNÍ:</w:t>
      </w:r>
      <w:r w:rsidR="0055333A" w:rsidRPr="00BF5A32">
        <w:rPr>
          <w:rFonts w:cs="Arial"/>
          <w:b/>
          <w:sz w:val="20"/>
          <w:szCs w:val="20"/>
        </w:rPr>
        <w:t xml:space="preserve"> Plněno.</w:t>
      </w:r>
    </w:p>
    <w:p w14:paraId="7AE57AD1" w14:textId="77777777" w:rsidR="0038495B" w:rsidRPr="007B15BA" w:rsidRDefault="0038495B" w:rsidP="002A7132">
      <w:pPr>
        <w:rPr>
          <w:rFonts w:cs="Arial"/>
          <w:sz w:val="20"/>
          <w:szCs w:val="20"/>
        </w:rPr>
      </w:pPr>
    </w:p>
    <w:p w14:paraId="6D189A39" w14:textId="77777777" w:rsidR="00F17E74" w:rsidRDefault="00F17E74" w:rsidP="002A7132">
      <w:pPr>
        <w:rPr>
          <w:rFonts w:cs="Arial"/>
          <w:b/>
          <w:szCs w:val="20"/>
        </w:rPr>
      </w:pPr>
      <w:r w:rsidRPr="00B97B28">
        <w:rPr>
          <w:rFonts w:cs="Arial"/>
          <w:b/>
          <w:szCs w:val="20"/>
        </w:rPr>
        <w:t xml:space="preserve">9.2 Cíl: </w:t>
      </w:r>
      <w:r w:rsidRPr="002D3B01">
        <w:rPr>
          <w:rFonts w:eastAsia="Calibri" w:cs="Arial"/>
          <w:b/>
          <w:bCs/>
          <w:szCs w:val="20"/>
        </w:rPr>
        <w:t>Předcházet</w:t>
      </w:r>
      <w:r w:rsidRPr="0057756D">
        <w:rPr>
          <w:rFonts w:cs="Arial"/>
          <w:b/>
          <w:szCs w:val="20"/>
        </w:rPr>
        <w:t xml:space="preserve"> zdravotnímu postižení a zmírňovat jeho důsledky. </w:t>
      </w:r>
    </w:p>
    <w:p w14:paraId="5C314C03" w14:textId="61ABC842" w:rsidR="00F17E74" w:rsidRPr="0057756D" w:rsidRDefault="00F17E74" w:rsidP="00F17E74">
      <w:pPr>
        <w:rPr>
          <w:rFonts w:cs="Arial"/>
          <w:szCs w:val="20"/>
        </w:rPr>
      </w:pPr>
      <w:r w:rsidRPr="0035060D">
        <w:rPr>
          <w:rFonts w:cs="Arial"/>
          <w:bCs/>
          <w:szCs w:val="20"/>
        </w:rPr>
        <w:t xml:space="preserve">Opatření </w:t>
      </w:r>
      <w:r>
        <w:rPr>
          <w:rFonts w:cs="Arial"/>
          <w:bCs/>
          <w:szCs w:val="20"/>
        </w:rPr>
        <w:t>9</w:t>
      </w:r>
      <w:r>
        <w:rPr>
          <w:rFonts w:cs="Arial"/>
          <w:szCs w:val="20"/>
        </w:rPr>
        <w:t xml:space="preserve">.2.1 </w:t>
      </w:r>
      <w:r w:rsidRPr="0057756D">
        <w:rPr>
          <w:rFonts w:cs="Arial"/>
          <w:szCs w:val="20"/>
        </w:rPr>
        <w:t>Podporovat vznik informačních a osvětových materiálů a aktivity zaměřené na</w:t>
      </w:r>
      <w:r w:rsidR="00732D22">
        <w:rPr>
          <w:rFonts w:cs="Arial"/>
          <w:szCs w:val="20"/>
        </w:rPr>
        <w:t> </w:t>
      </w:r>
      <w:r w:rsidRPr="0057756D">
        <w:rPr>
          <w:rFonts w:cs="Arial"/>
          <w:szCs w:val="20"/>
        </w:rPr>
        <w:t>širokou veřejnost v rámci preven</w:t>
      </w:r>
      <w:r>
        <w:rPr>
          <w:rFonts w:cs="Arial"/>
          <w:szCs w:val="20"/>
        </w:rPr>
        <w:t>ce vzniku zdravotního postižení</w:t>
      </w:r>
      <w:r w:rsidR="00041874">
        <w:rPr>
          <w:rFonts w:cs="Arial"/>
          <w:szCs w:val="20"/>
        </w:rPr>
        <w:t>.</w:t>
      </w:r>
    </w:p>
    <w:p w14:paraId="6A3DEFBF" w14:textId="77777777" w:rsidR="00F17E74" w:rsidRPr="0057756D" w:rsidRDefault="00F17E74" w:rsidP="00F17E74">
      <w:pPr>
        <w:rPr>
          <w:rFonts w:cs="Arial"/>
          <w:szCs w:val="20"/>
        </w:rPr>
      </w:pPr>
      <w:r w:rsidRPr="0057756D">
        <w:rPr>
          <w:rFonts w:cs="Arial"/>
          <w:szCs w:val="20"/>
        </w:rPr>
        <w:t>Termín: průběžně</w:t>
      </w:r>
    </w:p>
    <w:p w14:paraId="6523585D" w14:textId="77777777" w:rsidR="00F17E74" w:rsidRPr="0057756D" w:rsidRDefault="00F17E74" w:rsidP="00F17E74">
      <w:pPr>
        <w:rPr>
          <w:rFonts w:cs="Arial"/>
          <w:szCs w:val="20"/>
        </w:rPr>
      </w:pPr>
      <w:r w:rsidRPr="0057756D">
        <w:rPr>
          <w:rFonts w:cs="Arial"/>
          <w:szCs w:val="20"/>
        </w:rPr>
        <w:t>Gestor: MZ</w:t>
      </w:r>
    </w:p>
    <w:p w14:paraId="1801C9CB" w14:textId="716A62F5" w:rsidR="00F17E74" w:rsidRDefault="00F17E74" w:rsidP="0084549C">
      <w:pPr>
        <w:rPr>
          <w:rFonts w:cs="Arial"/>
          <w:szCs w:val="20"/>
        </w:rPr>
      </w:pPr>
      <w:r w:rsidRPr="00831152">
        <w:rPr>
          <w:rFonts w:cs="Arial"/>
          <w:szCs w:val="20"/>
        </w:rPr>
        <w:t>Indikátor:</w:t>
      </w:r>
      <w:r w:rsidRPr="00496714">
        <w:rPr>
          <w:rFonts w:cs="Arial"/>
          <w:szCs w:val="20"/>
        </w:rPr>
        <w:t xml:space="preserve"> </w:t>
      </w:r>
      <w:r>
        <w:rPr>
          <w:rFonts w:cs="Arial"/>
          <w:szCs w:val="20"/>
        </w:rPr>
        <w:t xml:space="preserve">Je vyhlašován dotační program s uvedeným zaměřením.  </w:t>
      </w:r>
    </w:p>
    <w:p w14:paraId="19635674" w14:textId="77777777" w:rsidR="0084549C" w:rsidRPr="001B1461" w:rsidRDefault="0084549C" w:rsidP="001B1461">
      <w:pPr>
        <w:rPr>
          <w:rFonts w:cs="Arial"/>
          <w:sz w:val="20"/>
          <w:szCs w:val="20"/>
        </w:rPr>
      </w:pPr>
    </w:p>
    <w:p w14:paraId="45ECF4F8" w14:textId="1DB534C1" w:rsidR="00742DD7" w:rsidRPr="006D0076" w:rsidRDefault="00742DD7" w:rsidP="006D0076">
      <w:pPr>
        <w:tabs>
          <w:tab w:val="left" w:pos="720"/>
        </w:tabs>
        <w:rPr>
          <w:rFonts w:cs="Arial"/>
          <w:b/>
          <w:bCs/>
          <w:sz w:val="20"/>
          <w:szCs w:val="20"/>
          <w:lang w:eastAsia="cs-CZ"/>
        </w:rPr>
      </w:pPr>
      <w:r w:rsidRPr="006D0076">
        <w:rPr>
          <w:rFonts w:cs="Arial"/>
          <w:b/>
          <w:bCs/>
          <w:sz w:val="20"/>
          <w:szCs w:val="20"/>
          <w:lang w:eastAsia="cs-CZ"/>
        </w:rPr>
        <w:t>PLNĚNÍ MZ:</w:t>
      </w:r>
    </w:p>
    <w:p w14:paraId="69E70DE6" w14:textId="0517F387" w:rsidR="006D0076" w:rsidRPr="006D0076" w:rsidRDefault="006D0076" w:rsidP="006D0076">
      <w:pPr>
        <w:rPr>
          <w:rFonts w:cs="Arial"/>
          <w:color w:val="000000" w:themeColor="text1"/>
          <w:sz w:val="20"/>
          <w:szCs w:val="20"/>
        </w:rPr>
      </w:pPr>
      <w:r w:rsidRPr="006D0076">
        <w:rPr>
          <w:rFonts w:cs="Arial"/>
          <w:color w:val="000000" w:themeColor="text1"/>
          <w:sz w:val="20"/>
          <w:szCs w:val="20"/>
        </w:rPr>
        <w:t>V rámci programu Vyrovnávání příležitostí pro občany se zdravotním postižením byla vyhlášena aktivita C3 Vznik informačních a osvětových materiálů a aktivit za</w:t>
      </w:r>
      <w:r w:rsidR="002E03D1">
        <w:rPr>
          <w:rFonts w:cs="Arial"/>
          <w:color w:val="000000" w:themeColor="text1"/>
          <w:sz w:val="20"/>
          <w:szCs w:val="20"/>
        </w:rPr>
        <w:t>měřených na širokou veřejnost v </w:t>
      </w:r>
      <w:r w:rsidRPr="006D0076">
        <w:rPr>
          <w:rFonts w:cs="Arial"/>
          <w:color w:val="000000" w:themeColor="text1"/>
          <w:sz w:val="20"/>
          <w:szCs w:val="20"/>
        </w:rPr>
        <w:t xml:space="preserve">rámci prevence vzniku zdravotního postižení nebo chronického onemocnění, zohledňovat také rozdíly v příčinách zdravotního postižení mužů a žen. </w:t>
      </w:r>
    </w:p>
    <w:p w14:paraId="70546ADA" w14:textId="3B812F46" w:rsidR="006D0076" w:rsidRPr="006D0076" w:rsidRDefault="006D0076" w:rsidP="006D0076">
      <w:pPr>
        <w:rPr>
          <w:rFonts w:cs="Arial"/>
          <w:color w:val="000000" w:themeColor="text1"/>
          <w:sz w:val="20"/>
          <w:szCs w:val="20"/>
        </w:rPr>
      </w:pPr>
      <w:r w:rsidRPr="006D0076">
        <w:rPr>
          <w:rFonts w:cs="Arial"/>
          <w:color w:val="000000" w:themeColor="text1"/>
          <w:sz w:val="20"/>
          <w:szCs w:val="20"/>
        </w:rPr>
        <w:t xml:space="preserve">V roce 2023 bylo předloženo 25 žádostí zaměřených na aktivitu C3 (mimo jiné). Bylo podpořeno 19 projektů. Nelze zde uvést výši přidělených finančních </w:t>
      </w:r>
      <w:r w:rsidR="00DF1FDF">
        <w:rPr>
          <w:rFonts w:cs="Arial"/>
          <w:color w:val="000000" w:themeColor="text1"/>
          <w:sz w:val="20"/>
          <w:szCs w:val="20"/>
        </w:rPr>
        <w:t>prostředků, jelikož se</w:t>
      </w:r>
      <w:r w:rsidRPr="006D0076">
        <w:rPr>
          <w:rFonts w:cs="Arial"/>
          <w:color w:val="000000" w:themeColor="text1"/>
          <w:sz w:val="20"/>
          <w:szCs w:val="20"/>
        </w:rPr>
        <w:t xml:space="preserve"> v projektech aktivity C1 – C5 prolínají.</w:t>
      </w:r>
    </w:p>
    <w:p w14:paraId="595439C5" w14:textId="72CF5F05" w:rsidR="006D0076" w:rsidRPr="006D0076" w:rsidRDefault="006D0076" w:rsidP="006D0076">
      <w:pPr>
        <w:rPr>
          <w:rFonts w:cs="Arial"/>
          <w:color w:val="000000" w:themeColor="text1"/>
          <w:sz w:val="20"/>
          <w:szCs w:val="20"/>
        </w:rPr>
      </w:pPr>
      <w:r w:rsidRPr="006D0076">
        <w:rPr>
          <w:rFonts w:cs="Arial"/>
          <w:color w:val="000000" w:themeColor="text1"/>
          <w:sz w:val="20"/>
          <w:szCs w:val="20"/>
        </w:rPr>
        <w:t>Příklady podpořených projektů:</w:t>
      </w:r>
    </w:p>
    <w:p w14:paraId="0F390DD1" w14:textId="77777777" w:rsidR="006D0076" w:rsidRPr="006D0076" w:rsidRDefault="006D0076" w:rsidP="008263CB">
      <w:pPr>
        <w:pStyle w:val="Odstavecseseznamem"/>
        <w:numPr>
          <w:ilvl w:val="0"/>
          <w:numId w:val="39"/>
        </w:numPr>
        <w:contextualSpacing w:val="0"/>
        <w:rPr>
          <w:rFonts w:cs="Arial"/>
          <w:color w:val="000000" w:themeColor="text1"/>
          <w:sz w:val="20"/>
          <w:szCs w:val="20"/>
        </w:rPr>
      </w:pPr>
      <w:r w:rsidRPr="006D0076">
        <w:rPr>
          <w:rFonts w:cs="Arial"/>
          <w:color w:val="000000" w:themeColor="text1"/>
          <w:sz w:val="20"/>
          <w:szCs w:val="20"/>
        </w:rPr>
        <w:t xml:space="preserve">Liga proti rakovině </w:t>
      </w:r>
      <w:proofErr w:type="gramStart"/>
      <w:r w:rsidRPr="006D0076">
        <w:rPr>
          <w:rFonts w:cs="Arial"/>
          <w:color w:val="000000" w:themeColor="text1"/>
          <w:sz w:val="20"/>
          <w:szCs w:val="20"/>
        </w:rPr>
        <w:t>Praha z. s.</w:t>
      </w:r>
      <w:proofErr w:type="gramEnd"/>
      <w:r w:rsidRPr="006D0076">
        <w:rPr>
          <w:rFonts w:cs="Arial"/>
          <w:color w:val="000000" w:themeColor="text1"/>
          <w:sz w:val="20"/>
          <w:szCs w:val="20"/>
        </w:rPr>
        <w:t xml:space="preserve"> - Informační materiály k prevenci nejen onkologických onemocnění</w:t>
      </w:r>
    </w:p>
    <w:p w14:paraId="1AD3B6D6" w14:textId="77777777" w:rsidR="006D0076" w:rsidRPr="006D0076" w:rsidRDefault="006D0076" w:rsidP="006D0076">
      <w:pPr>
        <w:rPr>
          <w:rFonts w:cs="Arial"/>
          <w:color w:val="000000" w:themeColor="text1"/>
          <w:sz w:val="20"/>
          <w:szCs w:val="20"/>
        </w:rPr>
      </w:pPr>
      <w:r w:rsidRPr="006D0076">
        <w:rPr>
          <w:rFonts w:cs="Arial"/>
          <w:color w:val="000000" w:themeColor="text1"/>
          <w:sz w:val="20"/>
          <w:szCs w:val="20"/>
        </w:rPr>
        <w:t>Vydání informačních materiálů zabývajících se skutečnou prevencí nejen nádorových onemocnění. Jednotlivé kapitoly obsahují nejnovější poznatky z oblasti výživy, zdravého stravování, zdravého dýchání, mentální hygieny, otužování, zdravého pohybu. Dalším vydávaným materiálem je zpravodaj, kde mohou pacienti s onkologickým onemocněním nalézt inspiraci na zkvalitnění a zpříjemnění svého života.</w:t>
      </w:r>
    </w:p>
    <w:p w14:paraId="4719F427" w14:textId="2ED880A7" w:rsidR="006D0076" w:rsidRPr="006D0076" w:rsidRDefault="006D0076" w:rsidP="008263CB">
      <w:pPr>
        <w:pStyle w:val="Odstavecseseznamem"/>
        <w:numPr>
          <w:ilvl w:val="0"/>
          <w:numId w:val="39"/>
        </w:numPr>
        <w:contextualSpacing w:val="0"/>
        <w:rPr>
          <w:rFonts w:cs="Arial"/>
          <w:color w:val="000000" w:themeColor="text1"/>
          <w:sz w:val="20"/>
          <w:szCs w:val="20"/>
        </w:rPr>
      </w:pPr>
      <w:r w:rsidRPr="006D0076">
        <w:rPr>
          <w:rFonts w:cs="Arial"/>
          <w:color w:val="000000" w:themeColor="text1"/>
          <w:sz w:val="20"/>
          <w:szCs w:val="20"/>
        </w:rPr>
        <w:t xml:space="preserve">CEREBRUM - Asociace osob po získaném poškození </w:t>
      </w:r>
      <w:proofErr w:type="gramStart"/>
      <w:r w:rsidRPr="006D0076">
        <w:rPr>
          <w:rFonts w:cs="Arial"/>
          <w:color w:val="000000" w:themeColor="text1"/>
          <w:sz w:val="20"/>
          <w:szCs w:val="20"/>
        </w:rPr>
        <w:t>mozku, z.s.</w:t>
      </w:r>
      <w:proofErr w:type="gramEnd"/>
      <w:r w:rsidRPr="006D0076">
        <w:rPr>
          <w:rFonts w:cs="Arial"/>
          <w:color w:val="000000" w:themeColor="text1"/>
          <w:sz w:val="20"/>
          <w:szCs w:val="20"/>
        </w:rPr>
        <w:t xml:space="preserve"> -</w:t>
      </w:r>
      <w:r w:rsidR="008B180E">
        <w:rPr>
          <w:rFonts w:cs="Arial"/>
          <w:color w:val="000000" w:themeColor="text1"/>
          <w:sz w:val="20"/>
          <w:szCs w:val="20"/>
        </w:rPr>
        <w:t xml:space="preserve"> </w:t>
      </w:r>
      <w:r w:rsidRPr="006D0076">
        <w:rPr>
          <w:rFonts w:cs="Arial"/>
          <w:color w:val="000000" w:themeColor="text1"/>
          <w:sz w:val="20"/>
          <w:szCs w:val="20"/>
        </w:rPr>
        <w:t>Chraň svou hlavu v davu!</w:t>
      </w:r>
    </w:p>
    <w:p w14:paraId="26641E31" w14:textId="0262197D" w:rsidR="006D0076" w:rsidRPr="006D0076" w:rsidRDefault="006D0076" w:rsidP="006D0076">
      <w:pPr>
        <w:rPr>
          <w:rFonts w:cs="Arial"/>
          <w:color w:val="000000" w:themeColor="text1"/>
          <w:sz w:val="20"/>
          <w:szCs w:val="20"/>
        </w:rPr>
      </w:pPr>
      <w:r w:rsidRPr="006D0076">
        <w:rPr>
          <w:rFonts w:cs="Arial"/>
          <w:color w:val="000000" w:themeColor="text1"/>
          <w:sz w:val="20"/>
          <w:szCs w:val="20"/>
        </w:rPr>
        <w:t>Cílem projektu je celostátní edukační a osvětová kampaň zaměřená na ekonomicky aktivní střední generaci blížící se rizikovému věku v oblasti prevence poranění a poškození mozku. Kampaň má upozornit na rizika poškození a poranění mozku u této generace, včetně dopadů na soukromý život (zátěž péče o blízké generující i ekonomické problémy, např. výpadek příjmů). Projektem chce žadatel přispět ke zvýšení informovanosti v obla</w:t>
      </w:r>
      <w:r w:rsidR="008B180E">
        <w:rPr>
          <w:rFonts w:cs="Arial"/>
          <w:color w:val="000000" w:themeColor="text1"/>
          <w:sz w:val="20"/>
          <w:szCs w:val="20"/>
        </w:rPr>
        <w:t>sti primární prevence a posílit</w:t>
      </w:r>
      <w:r w:rsidRPr="006D0076">
        <w:rPr>
          <w:rFonts w:cs="Arial"/>
          <w:color w:val="000000" w:themeColor="text1"/>
          <w:sz w:val="20"/>
          <w:szCs w:val="20"/>
        </w:rPr>
        <w:t xml:space="preserve"> zdravotní gramotnost cílové skupiny, která je předpokladem pro zkvalitnění životního stylu a dlouhodobé sebepéče.</w:t>
      </w:r>
    </w:p>
    <w:p w14:paraId="4BE36EA9" w14:textId="2668E1C9" w:rsidR="00742DD7" w:rsidRPr="006D0076" w:rsidRDefault="00742DD7" w:rsidP="006D0076">
      <w:pPr>
        <w:keepNext/>
        <w:tabs>
          <w:tab w:val="left" w:pos="720"/>
        </w:tabs>
        <w:rPr>
          <w:rFonts w:cs="Arial"/>
          <w:b/>
          <w:bCs/>
          <w:sz w:val="20"/>
          <w:szCs w:val="20"/>
          <w:lang w:eastAsia="cs-CZ"/>
        </w:rPr>
      </w:pPr>
      <w:r w:rsidRPr="006D0076">
        <w:rPr>
          <w:rFonts w:cs="Arial"/>
          <w:b/>
          <w:bCs/>
          <w:sz w:val="20"/>
          <w:szCs w:val="20"/>
          <w:lang w:eastAsia="cs-CZ"/>
        </w:rPr>
        <w:t>STANOVISKO K PLNĚNÍ:</w:t>
      </w:r>
      <w:r w:rsidR="00AD6BE3" w:rsidRPr="006D0076">
        <w:rPr>
          <w:rFonts w:cs="Arial"/>
          <w:b/>
          <w:sz w:val="20"/>
          <w:szCs w:val="20"/>
        </w:rPr>
        <w:t xml:space="preserve"> Plněno.</w:t>
      </w:r>
    </w:p>
    <w:p w14:paraId="4DED5124" w14:textId="77777777" w:rsidR="00742DD7" w:rsidRPr="006D0076" w:rsidRDefault="00742DD7" w:rsidP="006D0076">
      <w:pPr>
        <w:rPr>
          <w:rFonts w:cs="Arial"/>
          <w:sz w:val="20"/>
          <w:szCs w:val="20"/>
        </w:rPr>
      </w:pPr>
    </w:p>
    <w:p w14:paraId="17A73AB4" w14:textId="77777777" w:rsidR="00F17E74" w:rsidRPr="005B3B86" w:rsidRDefault="00F17E74" w:rsidP="00DB15A7">
      <w:pPr>
        <w:rPr>
          <w:rFonts w:cs="Arial"/>
          <w:szCs w:val="20"/>
        </w:rPr>
      </w:pPr>
      <w:r w:rsidRPr="005B3B86">
        <w:rPr>
          <w:rFonts w:cs="Arial"/>
          <w:color w:val="000000"/>
          <w:szCs w:val="20"/>
        </w:rPr>
        <w:t xml:space="preserve">Opatření 9.2.2 </w:t>
      </w:r>
      <w:r w:rsidRPr="005B3B86">
        <w:rPr>
          <w:rFonts w:cs="Arial"/>
          <w:szCs w:val="20"/>
        </w:rPr>
        <w:t>Prostřednictvím dotačních programů podporovat tuzemské rehabilitační a</w:t>
      </w:r>
      <w:r w:rsidR="00732D22">
        <w:rPr>
          <w:rFonts w:cs="Arial"/>
          <w:szCs w:val="20"/>
        </w:rPr>
        <w:t> </w:t>
      </w:r>
      <w:r w:rsidRPr="005B3B86">
        <w:rPr>
          <w:rFonts w:cs="Arial"/>
          <w:szCs w:val="20"/>
        </w:rPr>
        <w:t xml:space="preserve">edukační pobyty pro </w:t>
      </w:r>
      <w:r w:rsidR="004808AB">
        <w:rPr>
          <w:rFonts w:cs="Arial"/>
          <w:szCs w:val="20"/>
        </w:rPr>
        <w:t xml:space="preserve">osoby </w:t>
      </w:r>
      <w:r w:rsidRPr="005B3B86">
        <w:rPr>
          <w:rFonts w:cs="Arial"/>
          <w:szCs w:val="20"/>
        </w:rPr>
        <w:t>chronicky nemocné a zdravotně postižené.</w:t>
      </w:r>
    </w:p>
    <w:p w14:paraId="0583C996" w14:textId="77777777" w:rsidR="00F17E74" w:rsidRPr="005B3B86" w:rsidRDefault="00F17E74" w:rsidP="00DB15A7">
      <w:pPr>
        <w:rPr>
          <w:rFonts w:cs="Arial"/>
          <w:szCs w:val="20"/>
        </w:rPr>
      </w:pPr>
      <w:r w:rsidRPr="005B3B86">
        <w:rPr>
          <w:rFonts w:cs="Arial"/>
          <w:szCs w:val="20"/>
        </w:rPr>
        <w:t>Termín: průběžně</w:t>
      </w:r>
    </w:p>
    <w:p w14:paraId="2BD929D4" w14:textId="77777777" w:rsidR="00F17E74" w:rsidRPr="005B3B86" w:rsidRDefault="00F17E74" w:rsidP="00DB15A7">
      <w:pPr>
        <w:rPr>
          <w:rFonts w:cs="Arial"/>
          <w:szCs w:val="20"/>
        </w:rPr>
      </w:pPr>
      <w:r w:rsidRPr="005B3B86">
        <w:rPr>
          <w:rFonts w:cs="Arial"/>
          <w:szCs w:val="20"/>
        </w:rPr>
        <w:t>Gestor: MZ</w:t>
      </w:r>
    </w:p>
    <w:p w14:paraId="4526758B" w14:textId="2F032E28" w:rsidR="00F17E74" w:rsidRDefault="00F17E74" w:rsidP="00DB15A7">
      <w:pPr>
        <w:rPr>
          <w:rFonts w:cs="Arial"/>
          <w:szCs w:val="20"/>
        </w:rPr>
      </w:pPr>
      <w:r w:rsidRPr="005B3B86">
        <w:rPr>
          <w:rFonts w:cs="Arial"/>
          <w:szCs w:val="20"/>
        </w:rPr>
        <w:t>Indikátor:</w:t>
      </w:r>
      <w:r w:rsidRPr="00496714">
        <w:rPr>
          <w:rFonts w:cs="Arial"/>
          <w:szCs w:val="20"/>
        </w:rPr>
        <w:t xml:space="preserve"> </w:t>
      </w:r>
      <w:r>
        <w:rPr>
          <w:rFonts w:cs="Arial"/>
          <w:szCs w:val="20"/>
        </w:rPr>
        <w:t>Je vyhlašován dotační</w:t>
      </w:r>
      <w:r w:rsidR="00DB15A7">
        <w:rPr>
          <w:rFonts w:cs="Arial"/>
          <w:szCs w:val="20"/>
        </w:rPr>
        <w:t xml:space="preserve"> program s uvedeným zaměřením.</w:t>
      </w:r>
    </w:p>
    <w:p w14:paraId="280E7918" w14:textId="77777777" w:rsidR="00DB15A7" w:rsidRPr="00632E71" w:rsidRDefault="00DB15A7" w:rsidP="00632E71">
      <w:pPr>
        <w:rPr>
          <w:rFonts w:cs="Arial"/>
          <w:sz w:val="20"/>
          <w:szCs w:val="20"/>
        </w:rPr>
      </w:pPr>
    </w:p>
    <w:p w14:paraId="2482E12C" w14:textId="42D3212B" w:rsidR="0020451A" w:rsidRPr="00F64530" w:rsidRDefault="0020451A" w:rsidP="00F64530">
      <w:pPr>
        <w:tabs>
          <w:tab w:val="left" w:pos="720"/>
        </w:tabs>
        <w:rPr>
          <w:rFonts w:cs="Arial"/>
          <w:b/>
          <w:bCs/>
          <w:sz w:val="20"/>
          <w:szCs w:val="20"/>
          <w:lang w:eastAsia="cs-CZ"/>
        </w:rPr>
      </w:pPr>
      <w:r w:rsidRPr="00F64530">
        <w:rPr>
          <w:rFonts w:cs="Arial"/>
          <w:b/>
          <w:bCs/>
          <w:sz w:val="20"/>
          <w:szCs w:val="20"/>
          <w:lang w:eastAsia="cs-CZ"/>
        </w:rPr>
        <w:t>PLNĚNÍ MZ:</w:t>
      </w:r>
    </w:p>
    <w:p w14:paraId="37BCD09D" w14:textId="4BFC06DA" w:rsidR="00F64530" w:rsidRPr="00F64530" w:rsidRDefault="00F64530" w:rsidP="00F64530">
      <w:pPr>
        <w:rPr>
          <w:rFonts w:eastAsia="Calibri" w:cs="Arial"/>
          <w:color w:val="000000" w:themeColor="text1"/>
          <w:sz w:val="20"/>
          <w:szCs w:val="20"/>
        </w:rPr>
      </w:pPr>
      <w:r w:rsidRPr="00F64530">
        <w:rPr>
          <w:rFonts w:eastAsia="Calibri" w:cs="Arial"/>
          <w:color w:val="000000" w:themeColor="text1"/>
          <w:sz w:val="20"/>
          <w:szCs w:val="20"/>
        </w:rPr>
        <w:t xml:space="preserve">V programu Vyrovnávání příležitostí pro občany se zdravotním postižením byla vyhlášena priorita Podpora tuzemských rehabilitačních a edukačních pobytů (v rámci priority jsou 2 aktivity: aktivita E1 - Podpora dětí se zdravotním postižením nebo chronickým onemocněním a aktivita E2 - Podpora dospělých se zdravotním postižením nebo chronickým onemocněním). </w:t>
      </w:r>
    </w:p>
    <w:p w14:paraId="37158BCE" w14:textId="645A874B" w:rsidR="00F64530" w:rsidRPr="00F64530" w:rsidRDefault="00F64530" w:rsidP="00F64530">
      <w:pPr>
        <w:rPr>
          <w:rFonts w:eastAsia="Calibri" w:cs="Arial"/>
          <w:color w:val="000000" w:themeColor="text1"/>
          <w:sz w:val="20"/>
          <w:szCs w:val="20"/>
        </w:rPr>
      </w:pPr>
      <w:r w:rsidRPr="00F64530">
        <w:rPr>
          <w:rFonts w:eastAsia="Calibri" w:cs="Arial"/>
          <w:color w:val="000000" w:themeColor="text1"/>
          <w:sz w:val="20"/>
          <w:szCs w:val="20"/>
        </w:rPr>
        <w:lastRenderedPageBreak/>
        <w:t xml:space="preserve">V roce 2023 bylo předloženo 53 žádostí </w:t>
      </w:r>
      <w:r w:rsidRPr="00F64530">
        <w:rPr>
          <w:rFonts w:cs="Arial"/>
          <w:color w:val="000000" w:themeColor="text1"/>
          <w:sz w:val="20"/>
          <w:szCs w:val="20"/>
        </w:rPr>
        <w:t>zaměřených na prioritu E (z toho 16 na aktivitu E1 a 37 na aktivitu E2)</w:t>
      </w:r>
      <w:r w:rsidR="002E03D1">
        <w:rPr>
          <w:rFonts w:eastAsia="Calibri" w:cs="Arial"/>
          <w:color w:val="000000" w:themeColor="text1"/>
          <w:sz w:val="20"/>
          <w:szCs w:val="20"/>
        </w:rPr>
        <w:t xml:space="preserve">. Bylo podpořeno </w:t>
      </w:r>
      <w:r w:rsidRPr="00F64530">
        <w:rPr>
          <w:rFonts w:eastAsia="Calibri" w:cs="Arial"/>
          <w:color w:val="000000" w:themeColor="text1"/>
          <w:sz w:val="20"/>
          <w:szCs w:val="20"/>
        </w:rPr>
        <w:t xml:space="preserve">43 projektů </w:t>
      </w:r>
      <w:r w:rsidRPr="00F64530">
        <w:rPr>
          <w:rFonts w:cs="Arial"/>
          <w:color w:val="000000" w:themeColor="text1"/>
          <w:sz w:val="20"/>
          <w:szCs w:val="20"/>
        </w:rPr>
        <w:t xml:space="preserve">(z toho 13 na aktivitu E1 a 30 na aktivitu E2) </w:t>
      </w:r>
      <w:r w:rsidRPr="00F64530">
        <w:rPr>
          <w:rFonts w:eastAsia="Calibri" w:cs="Arial"/>
          <w:color w:val="000000" w:themeColor="text1"/>
          <w:sz w:val="20"/>
          <w:szCs w:val="20"/>
        </w:rPr>
        <w:t xml:space="preserve">v celkové výši 21 553 448,00 Kč </w:t>
      </w:r>
      <w:r w:rsidRPr="00F64530">
        <w:rPr>
          <w:rFonts w:cs="Arial"/>
          <w:color w:val="000000" w:themeColor="text1"/>
          <w:sz w:val="20"/>
          <w:szCs w:val="20"/>
        </w:rPr>
        <w:t>(z toho 3 041 032,00 Kč na aktivitu E1 a 18 512 416,00 Kč na aktivitu E2)</w:t>
      </w:r>
      <w:r w:rsidRPr="00F64530">
        <w:rPr>
          <w:rFonts w:eastAsia="Calibri" w:cs="Arial"/>
          <w:color w:val="000000" w:themeColor="text1"/>
          <w:sz w:val="20"/>
          <w:szCs w:val="20"/>
        </w:rPr>
        <w:t>.</w:t>
      </w:r>
    </w:p>
    <w:p w14:paraId="23792F0F" w14:textId="5AB41EF0" w:rsidR="00F64530" w:rsidRPr="008252CB" w:rsidRDefault="008252CB" w:rsidP="00F64530">
      <w:pPr>
        <w:rPr>
          <w:rFonts w:eastAsia="Calibri" w:cs="Arial"/>
          <w:color w:val="000000" w:themeColor="text1"/>
          <w:sz w:val="20"/>
          <w:szCs w:val="20"/>
        </w:rPr>
      </w:pPr>
      <w:r>
        <w:rPr>
          <w:rFonts w:cs="Arial"/>
          <w:color w:val="000000" w:themeColor="text1"/>
          <w:sz w:val="20"/>
          <w:szCs w:val="20"/>
        </w:rPr>
        <w:t xml:space="preserve">Podpořen byl např. </w:t>
      </w:r>
      <w:r w:rsidRPr="008252CB">
        <w:rPr>
          <w:rFonts w:cs="Arial"/>
          <w:color w:val="000000" w:themeColor="text1"/>
          <w:sz w:val="20"/>
          <w:szCs w:val="20"/>
        </w:rPr>
        <w:t>projekt</w:t>
      </w:r>
      <w:r w:rsidRPr="008252CB">
        <w:rPr>
          <w:rFonts w:eastAsia="Calibri" w:cs="Arial"/>
          <w:color w:val="000000" w:themeColor="text1"/>
          <w:sz w:val="20"/>
          <w:szCs w:val="20"/>
        </w:rPr>
        <w:t xml:space="preserve"> </w:t>
      </w:r>
      <w:r w:rsidR="00F64530" w:rsidRPr="008252CB">
        <w:rPr>
          <w:rFonts w:eastAsia="Calibri" w:cs="Arial"/>
          <w:color w:val="000000" w:themeColor="text1"/>
          <w:sz w:val="20"/>
          <w:szCs w:val="20"/>
        </w:rPr>
        <w:t>Společnost</w:t>
      </w:r>
      <w:r w:rsidR="00E042B2">
        <w:rPr>
          <w:rFonts w:eastAsia="Calibri" w:cs="Arial"/>
          <w:color w:val="000000" w:themeColor="text1"/>
          <w:sz w:val="20"/>
          <w:szCs w:val="20"/>
        </w:rPr>
        <w:t>i</w:t>
      </w:r>
      <w:r w:rsidR="00F64530" w:rsidRPr="008252CB">
        <w:rPr>
          <w:rFonts w:eastAsia="Calibri" w:cs="Arial"/>
          <w:color w:val="000000" w:themeColor="text1"/>
          <w:sz w:val="20"/>
          <w:szCs w:val="20"/>
        </w:rPr>
        <w:t xml:space="preserve"> pro podporu lidí s mentálním postižením v České </w:t>
      </w:r>
      <w:proofErr w:type="gramStart"/>
      <w:r w:rsidR="00F64530" w:rsidRPr="008252CB">
        <w:rPr>
          <w:rFonts w:eastAsia="Calibri" w:cs="Arial"/>
          <w:color w:val="000000" w:themeColor="text1"/>
          <w:sz w:val="20"/>
          <w:szCs w:val="20"/>
        </w:rPr>
        <w:t>republice, z.s.</w:t>
      </w:r>
      <w:proofErr w:type="gramEnd"/>
      <w:r w:rsidR="00F64530" w:rsidRPr="008252CB">
        <w:rPr>
          <w:rFonts w:eastAsia="Calibri" w:cs="Arial"/>
          <w:color w:val="000000" w:themeColor="text1"/>
          <w:sz w:val="20"/>
          <w:szCs w:val="20"/>
        </w:rPr>
        <w:t xml:space="preserve"> - Rehabilitační pobyty pro lidi s mentálním </w:t>
      </w:r>
      <w:r>
        <w:rPr>
          <w:rFonts w:eastAsia="Calibri" w:cs="Arial"/>
          <w:color w:val="000000" w:themeColor="text1"/>
          <w:sz w:val="20"/>
          <w:szCs w:val="20"/>
        </w:rPr>
        <w:t xml:space="preserve">a kombinovaným postižením </w:t>
      </w:r>
      <w:r w:rsidRPr="008252CB">
        <w:rPr>
          <w:rFonts w:eastAsia="Calibri" w:cs="Arial"/>
          <w:color w:val="000000" w:themeColor="text1"/>
          <w:sz w:val="20"/>
          <w:szCs w:val="20"/>
        </w:rPr>
        <w:t xml:space="preserve">2023. </w:t>
      </w:r>
      <w:r w:rsidR="00F64530" w:rsidRPr="008252CB">
        <w:rPr>
          <w:rFonts w:eastAsia="Calibri" w:cs="Arial"/>
          <w:color w:val="000000" w:themeColor="text1"/>
          <w:sz w:val="20"/>
          <w:szCs w:val="20"/>
        </w:rPr>
        <w:t>Cílem projektu je realizace dostupných tuzemských rehabilitačních pobytů pro dospěl</w:t>
      </w:r>
      <w:r w:rsidRPr="008252CB">
        <w:rPr>
          <w:rFonts w:eastAsia="Calibri" w:cs="Arial"/>
          <w:color w:val="000000" w:themeColor="text1"/>
          <w:sz w:val="20"/>
          <w:szCs w:val="20"/>
        </w:rPr>
        <w:t xml:space="preserve">é lidi s mentálním postižením. </w:t>
      </w:r>
      <w:r w:rsidR="00F64530" w:rsidRPr="008252CB">
        <w:rPr>
          <w:rFonts w:eastAsia="Calibri" w:cs="Arial"/>
          <w:color w:val="000000" w:themeColor="text1"/>
          <w:sz w:val="20"/>
          <w:szCs w:val="20"/>
        </w:rPr>
        <w:t>Pro lidi s mentálním postižením je pobyt příležitostí k navazování sociálních kontaktů mezi svými vrstevníky, k intenzivnímu sociálnímu učení, k rozvoji komunikace a duševních schopností. Pro rodiny je prostředím pro vzájemnou podporu mezi pečujícími a výměnu zkušeností, a zároveň poskytuje možnost využít poradenství ze strany odborníků.</w:t>
      </w:r>
    </w:p>
    <w:p w14:paraId="7A10D24B" w14:textId="57DA21DA" w:rsidR="0020451A" w:rsidRPr="00F64530" w:rsidRDefault="0020451A" w:rsidP="00F64530">
      <w:pPr>
        <w:keepNext/>
        <w:tabs>
          <w:tab w:val="left" w:pos="720"/>
        </w:tabs>
        <w:rPr>
          <w:rFonts w:cs="Arial"/>
          <w:b/>
          <w:bCs/>
          <w:sz w:val="20"/>
          <w:szCs w:val="20"/>
          <w:lang w:eastAsia="cs-CZ"/>
        </w:rPr>
      </w:pPr>
      <w:r w:rsidRPr="00F64530">
        <w:rPr>
          <w:rFonts w:cs="Arial"/>
          <w:b/>
          <w:bCs/>
          <w:sz w:val="20"/>
          <w:szCs w:val="20"/>
          <w:lang w:eastAsia="cs-CZ"/>
        </w:rPr>
        <w:t>STANOVISKO K PLNĚNÍ:</w:t>
      </w:r>
      <w:r w:rsidR="00215C00" w:rsidRPr="00F64530">
        <w:rPr>
          <w:rFonts w:cs="Arial"/>
          <w:b/>
          <w:sz w:val="20"/>
          <w:szCs w:val="20"/>
        </w:rPr>
        <w:t xml:space="preserve"> Plněno.</w:t>
      </w:r>
    </w:p>
    <w:p w14:paraId="33A346C7" w14:textId="77777777" w:rsidR="0020451A" w:rsidRPr="00F64530" w:rsidRDefault="0020451A" w:rsidP="00F64530">
      <w:pPr>
        <w:rPr>
          <w:rFonts w:cs="Arial"/>
          <w:sz w:val="20"/>
          <w:szCs w:val="20"/>
        </w:rPr>
      </w:pPr>
    </w:p>
    <w:p w14:paraId="6F7832EE" w14:textId="3F1E4162" w:rsidR="00F17E74" w:rsidRPr="0057756D" w:rsidRDefault="00F17E74" w:rsidP="005F765E">
      <w:pPr>
        <w:keepNext/>
        <w:rPr>
          <w:rFonts w:cs="Arial"/>
          <w:szCs w:val="20"/>
        </w:rPr>
      </w:pPr>
      <w:r w:rsidRPr="0035060D">
        <w:rPr>
          <w:rFonts w:cs="Arial"/>
          <w:bCs/>
          <w:szCs w:val="20"/>
        </w:rPr>
        <w:t xml:space="preserve">Opatření </w:t>
      </w:r>
      <w:r>
        <w:rPr>
          <w:rFonts w:cs="Arial"/>
          <w:bCs/>
          <w:szCs w:val="20"/>
        </w:rPr>
        <w:t>9</w:t>
      </w:r>
      <w:r>
        <w:rPr>
          <w:rFonts w:cs="Arial"/>
          <w:szCs w:val="20"/>
        </w:rPr>
        <w:t xml:space="preserve">.2.3 </w:t>
      </w:r>
      <w:r w:rsidRPr="0057756D">
        <w:rPr>
          <w:rFonts w:cs="Arial"/>
          <w:szCs w:val="20"/>
        </w:rPr>
        <w:t>Podporovat centra rehabilitace s důrazem na specializaci pro jednotlivé skupiny</w:t>
      </w:r>
      <w:r w:rsidR="00625363">
        <w:rPr>
          <w:rFonts w:cs="Arial"/>
          <w:szCs w:val="20"/>
        </w:rPr>
        <w:t xml:space="preserve"> osob se zdravotním postižením.</w:t>
      </w:r>
    </w:p>
    <w:p w14:paraId="7146C1B4" w14:textId="77777777" w:rsidR="00F17E74" w:rsidRPr="0057756D" w:rsidRDefault="00F17E74" w:rsidP="005F765E">
      <w:pPr>
        <w:rPr>
          <w:rFonts w:cs="Arial"/>
          <w:szCs w:val="20"/>
        </w:rPr>
      </w:pPr>
      <w:r w:rsidRPr="0057756D">
        <w:rPr>
          <w:rFonts w:cs="Arial"/>
          <w:szCs w:val="20"/>
        </w:rPr>
        <w:t>Termín: průběžně</w:t>
      </w:r>
    </w:p>
    <w:p w14:paraId="4282104D" w14:textId="77777777" w:rsidR="00F17E74" w:rsidRPr="0057756D" w:rsidRDefault="00F17E74" w:rsidP="005F765E">
      <w:pPr>
        <w:rPr>
          <w:rFonts w:cs="Arial"/>
          <w:szCs w:val="20"/>
        </w:rPr>
      </w:pPr>
      <w:r w:rsidRPr="0057756D">
        <w:rPr>
          <w:rFonts w:cs="Arial"/>
          <w:szCs w:val="20"/>
        </w:rPr>
        <w:t>Gestor: MZ</w:t>
      </w:r>
    </w:p>
    <w:p w14:paraId="4761DE5D" w14:textId="4D959754" w:rsidR="0045347A" w:rsidRDefault="00F17E74" w:rsidP="005F765E">
      <w:pPr>
        <w:rPr>
          <w:rFonts w:cs="Arial"/>
          <w:szCs w:val="20"/>
        </w:rPr>
      </w:pPr>
      <w:r w:rsidRPr="00831152">
        <w:rPr>
          <w:rFonts w:cs="Arial"/>
          <w:szCs w:val="20"/>
        </w:rPr>
        <w:t>Indikátor:</w:t>
      </w:r>
      <w:r w:rsidRPr="00496714">
        <w:rPr>
          <w:rFonts w:cs="Arial"/>
          <w:szCs w:val="20"/>
        </w:rPr>
        <w:t xml:space="preserve"> </w:t>
      </w:r>
      <w:r>
        <w:rPr>
          <w:rFonts w:cs="Arial"/>
          <w:szCs w:val="20"/>
        </w:rPr>
        <w:t>Je vyhlašován dotační</w:t>
      </w:r>
      <w:r w:rsidR="005F765E">
        <w:rPr>
          <w:rFonts w:cs="Arial"/>
          <w:szCs w:val="20"/>
        </w:rPr>
        <w:t xml:space="preserve"> program s uvedeným zaměřením.</w:t>
      </w:r>
    </w:p>
    <w:p w14:paraId="7EDB4595" w14:textId="77777777" w:rsidR="005F765E" w:rsidRPr="00D32932" w:rsidRDefault="005F765E" w:rsidP="00D32932">
      <w:pPr>
        <w:rPr>
          <w:rFonts w:cs="Arial"/>
          <w:sz w:val="20"/>
          <w:szCs w:val="20"/>
        </w:rPr>
      </w:pPr>
    </w:p>
    <w:p w14:paraId="5A99BA8F" w14:textId="06CB0284" w:rsidR="002B4CD6" w:rsidRPr="00972AAF" w:rsidRDefault="002B4CD6" w:rsidP="00972AAF">
      <w:pPr>
        <w:tabs>
          <w:tab w:val="left" w:pos="720"/>
        </w:tabs>
        <w:rPr>
          <w:rFonts w:cs="Arial"/>
          <w:b/>
          <w:bCs/>
          <w:sz w:val="20"/>
          <w:szCs w:val="20"/>
          <w:lang w:eastAsia="cs-CZ"/>
        </w:rPr>
      </w:pPr>
      <w:r w:rsidRPr="00972AAF">
        <w:rPr>
          <w:rFonts w:cs="Arial"/>
          <w:b/>
          <w:bCs/>
          <w:sz w:val="20"/>
          <w:szCs w:val="20"/>
          <w:lang w:eastAsia="cs-CZ"/>
        </w:rPr>
        <w:t>PLNĚNÍ MZ:</w:t>
      </w:r>
    </w:p>
    <w:p w14:paraId="1B708051" w14:textId="77777777" w:rsidR="00972AAF" w:rsidRPr="00972AAF" w:rsidRDefault="00972AAF" w:rsidP="00972AAF">
      <w:pPr>
        <w:rPr>
          <w:rFonts w:cs="Arial"/>
          <w:color w:val="000000" w:themeColor="text1"/>
          <w:sz w:val="20"/>
          <w:szCs w:val="20"/>
        </w:rPr>
      </w:pPr>
      <w:r w:rsidRPr="00972AAF">
        <w:rPr>
          <w:rFonts w:cs="Arial"/>
          <w:color w:val="000000" w:themeColor="text1"/>
          <w:sz w:val="20"/>
          <w:szCs w:val="20"/>
        </w:rPr>
        <w:t xml:space="preserve">V programu Vyrovnávání příležitostí pro občany se zdravotním postižením byla vyhlášena priorita Podpora center rehabilitace s důrazem na specializaci pro jednotlivé skupiny osob se zdravotním postižením (nevztahuje se na hiporehabilitace). </w:t>
      </w:r>
    </w:p>
    <w:p w14:paraId="4045E5A1" w14:textId="1AEF9D37" w:rsidR="00972AAF" w:rsidRPr="00972AAF" w:rsidRDefault="00972AAF" w:rsidP="00972AAF">
      <w:pPr>
        <w:rPr>
          <w:rFonts w:cs="Arial"/>
          <w:color w:val="000000" w:themeColor="text1"/>
          <w:sz w:val="20"/>
          <w:szCs w:val="20"/>
        </w:rPr>
      </w:pPr>
      <w:r w:rsidRPr="00972AAF">
        <w:rPr>
          <w:rFonts w:cs="Arial"/>
          <w:color w:val="000000" w:themeColor="text1"/>
          <w:sz w:val="20"/>
          <w:szCs w:val="20"/>
        </w:rPr>
        <w:t xml:space="preserve">V roce 2023 </w:t>
      </w:r>
      <w:proofErr w:type="gramStart"/>
      <w:r w:rsidRPr="00972AAF">
        <w:rPr>
          <w:rFonts w:cs="Arial"/>
          <w:color w:val="000000" w:themeColor="text1"/>
          <w:sz w:val="20"/>
          <w:szCs w:val="20"/>
        </w:rPr>
        <w:t>bylo</w:t>
      </w:r>
      <w:proofErr w:type="gramEnd"/>
      <w:r w:rsidRPr="00972AAF">
        <w:rPr>
          <w:rFonts w:cs="Arial"/>
          <w:color w:val="000000" w:themeColor="text1"/>
          <w:sz w:val="20"/>
          <w:szCs w:val="20"/>
        </w:rPr>
        <w:t xml:space="preserve"> předloženo 16 žádostí zaměřených na prioritu D. </w:t>
      </w:r>
      <w:proofErr w:type="gramStart"/>
      <w:r w:rsidRPr="00972AAF">
        <w:rPr>
          <w:rFonts w:cs="Arial"/>
          <w:color w:val="000000" w:themeColor="text1"/>
          <w:sz w:val="20"/>
          <w:szCs w:val="20"/>
        </w:rPr>
        <w:t>Bylo</w:t>
      </w:r>
      <w:proofErr w:type="gramEnd"/>
      <w:r w:rsidRPr="00972AAF">
        <w:rPr>
          <w:rFonts w:cs="Arial"/>
          <w:color w:val="000000" w:themeColor="text1"/>
          <w:sz w:val="20"/>
          <w:szCs w:val="20"/>
        </w:rPr>
        <w:t xml:space="preserve"> podpořeno 12 projektů v celkové výši 4 121 738,00 Kč.</w:t>
      </w:r>
    </w:p>
    <w:p w14:paraId="41A52488" w14:textId="45138522" w:rsidR="00972AAF" w:rsidRPr="00972AAF" w:rsidRDefault="00BF639A" w:rsidP="00BF639A">
      <w:pPr>
        <w:rPr>
          <w:rFonts w:cs="Arial"/>
          <w:color w:val="000000" w:themeColor="text1"/>
          <w:sz w:val="20"/>
          <w:szCs w:val="20"/>
        </w:rPr>
      </w:pPr>
      <w:r>
        <w:rPr>
          <w:rFonts w:cs="Arial"/>
          <w:color w:val="000000" w:themeColor="text1"/>
          <w:sz w:val="20"/>
          <w:szCs w:val="20"/>
        </w:rPr>
        <w:t xml:space="preserve">Podpořen byl např. projekt </w:t>
      </w:r>
      <w:r w:rsidR="00972AAF" w:rsidRPr="00BF639A">
        <w:rPr>
          <w:rFonts w:cs="Arial"/>
          <w:color w:val="000000" w:themeColor="text1"/>
          <w:sz w:val="20"/>
          <w:szCs w:val="20"/>
        </w:rPr>
        <w:t xml:space="preserve">ParaCENTRUM </w:t>
      </w:r>
      <w:proofErr w:type="gramStart"/>
      <w:r w:rsidR="00972AAF" w:rsidRPr="00BF639A">
        <w:rPr>
          <w:rFonts w:cs="Arial"/>
          <w:color w:val="000000" w:themeColor="text1"/>
          <w:sz w:val="20"/>
          <w:szCs w:val="20"/>
        </w:rPr>
        <w:t>Fenix, z. s.</w:t>
      </w:r>
      <w:proofErr w:type="gramEnd"/>
      <w:r w:rsidR="00972AAF" w:rsidRPr="00BF639A">
        <w:rPr>
          <w:rFonts w:cs="Arial"/>
          <w:color w:val="000000" w:themeColor="text1"/>
          <w:sz w:val="20"/>
          <w:szCs w:val="20"/>
        </w:rPr>
        <w:t xml:space="preserve"> - Rozvoj zdravotních služeb na Fenixu</w:t>
      </w:r>
      <w:r>
        <w:rPr>
          <w:rFonts w:cs="Arial"/>
          <w:color w:val="000000" w:themeColor="text1"/>
          <w:sz w:val="20"/>
          <w:szCs w:val="20"/>
        </w:rPr>
        <w:t xml:space="preserve">. </w:t>
      </w:r>
      <w:r w:rsidR="00972AAF" w:rsidRPr="00972AAF">
        <w:rPr>
          <w:rFonts w:cs="Arial"/>
          <w:color w:val="000000" w:themeColor="text1"/>
          <w:sz w:val="20"/>
          <w:szCs w:val="20"/>
        </w:rPr>
        <w:t>Základní myšlenkou projektu je poskytnout osobám po poranění míchy rehabilitační (fyzioterapeutickou a ergoterapeutickou) podporu, která jim umožní co nejdříve od vzniku postižení dosáhnout maximálního využití svého fyzického potenciálu a násl</w:t>
      </w:r>
      <w:r w:rsidR="009E39CF">
        <w:rPr>
          <w:rFonts w:cs="Arial"/>
          <w:color w:val="000000" w:themeColor="text1"/>
          <w:sz w:val="20"/>
          <w:szCs w:val="20"/>
        </w:rPr>
        <w:t>edně si ho co nejdéle udržet (s </w:t>
      </w:r>
      <w:r w:rsidR="00972AAF" w:rsidRPr="00972AAF">
        <w:rPr>
          <w:rFonts w:cs="Arial"/>
          <w:color w:val="000000" w:themeColor="text1"/>
          <w:sz w:val="20"/>
          <w:szCs w:val="20"/>
        </w:rPr>
        <w:t>ohledem na stárnutí). Tento projekt přímo navazuje na systematickou péči poskytovanou bezprostředně po vzniku postižení v rámci Spinálních jednotek a Spinálních rehabilitačních jednotek.</w:t>
      </w:r>
    </w:p>
    <w:p w14:paraId="7447CAE3" w14:textId="329672B5" w:rsidR="002B4CD6" w:rsidRPr="00972AAF" w:rsidRDefault="002B4CD6" w:rsidP="00972AAF">
      <w:pPr>
        <w:keepNext/>
        <w:tabs>
          <w:tab w:val="left" w:pos="720"/>
        </w:tabs>
        <w:rPr>
          <w:rFonts w:cs="Arial"/>
          <w:b/>
          <w:bCs/>
          <w:sz w:val="20"/>
          <w:szCs w:val="20"/>
          <w:lang w:eastAsia="cs-CZ"/>
        </w:rPr>
      </w:pPr>
      <w:r w:rsidRPr="00972AAF">
        <w:rPr>
          <w:rFonts w:cs="Arial"/>
          <w:b/>
          <w:bCs/>
          <w:sz w:val="20"/>
          <w:szCs w:val="20"/>
          <w:lang w:eastAsia="cs-CZ"/>
        </w:rPr>
        <w:t>STANOVISKO K PLNĚNÍ:</w:t>
      </w:r>
      <w:r w:rsidR="00BE4B3F" w:rsidRPr="00972AAF">
        <w:rPr>
          <w:rFonts w:cs="Arial"/>
          <w:b/>
          <w:sz w:val="20"/>
          <w:szCs w:val="20"/>
        </w:rPr>
        <w:t xml:space="preserve"> Plněno.</w:t>
      </w:r>
    </w:p>
    <w:p w14:paraId="463A323B" w14:textId="77777777" w:rsidR="002B4CD6" w:rsidRPr="00D32932" w:rsidRDefault="002B4CD6" w:rsidP="00D32932">
      <w:pPr>
        <w:rPr>
          <w:rFonts w:cs="Arial"/>
          <w:sz w:val="20"/>
          <w:szCs w:val="20"/>
        </w:rPr>
      </w:pPr>
    </w:p>
    <w:p w14:paraId="2CDE0E56" w14:textId="77777777" w:rsidR="001127FE" w:rsidRDefault="00B26AB2" w:rsidP="005F765E">
      <w:pPr>
        <w:rPr>
          <w:rFonts w:cs="Arial"/>
          <w:szCs w:val="20"/>
        </w:rPr>
      </w:pPr>
      <w:r w:rsidRPr="001127FE">
        <w:rPr>
          <w:rFonts w:cs="Arial"/>
          <w:szCs w:val="20"/>
        </w:rPr>
        <w:t xml:space="preserve">Opatření </w:t>
      </w:r>
      <w:r w:rsidR="00154C9D" w:rsidRPr="001127FE">
        <w:rPr>
          <w:rFonts w:cs="Arial"/>
          <w:szCs w:val="20"/>
        </w:rPr>
        <w:t>9.2.4 Prostřednictvím dotačních programů podporovat docházkové dlouhodobé rehabilitační a edukační</w:t>
      </w:r>
      <w:r w:rsidR="00154C9D" w:rsidRPr="00154C9D">
        <w:rPr>
          <w:rFonts w:cs="Arial"/>
          <w:bCs/>
          <w:szCs w:val="20"/>
        </w:rPr>
        <w:t xml:space="preserve"> akce pro osoby chronicky nemocné nebo zdravotně postižené.</w:t>
      </w:r>
    </w:p>
    <w:p w14:paraId="0A9A0D12" w14:textId="5DD8BF73" w:rsidR="00154C9D" w:rsidRPr="001127FE" w:rsidRDefault="00154C9D" w:rsidP="005F765E">
      <w:pPr>
        <w:rPr>
          <w:rFonts w:cs="Arial"/>
          <w:szCs w:val="20"/>
        </w:rPr>
      </w:pPr>
      <w:r w:rsidRPr="001127FE">
        <w:rPr>
          <w:rFonts w:cs="Arial"/>
          <w:szCs w:val="20"/>
        </w:rPr>
        <w:t>Termín: průběžně</w:t>
      </w:r>
    </w:p>
    <w:p w14:paraId="52F4315F" w14:textId="77777777" w:rsidR="00154C9D" w:rsidRPr="001127FE" w:rsidRDefault="00154C9D" w:rsidP="001127FE">
      <w:pPr>
        <w:rPr>
          <w:rFonts w:cs="Arial"/>
          <w:szCs w:val="20"/>
        </w:rPr>
      </w:pPr>
      <w:r w:rsidRPr="001127FE">
        <w:rPr>
          <w:rFonts w:cs="Arial"/>
          <w:szCs w:val="20"/>
        </w:rPr>
        <w:t>Gestor: MZ</w:t>
      </w:r>
    </w:p>
    <w:p w14:paraId="3FB0B05D" w14:textId="56EE2F2D" w:rsidR="00154C9D" w:rsidRDefault="00154C9D" w:rsidP="001127FE">
      <w:pPr>
        <w:rPr>
          <w:rFonts w:cs="Arial"/>
          <w:szCs w:val="20"/>
        </w:rPr>
      </w:pPr>
      <w:r w:rsidRPr="001127FE">
        <w:rPr>
          <w:rFonts w:cs="Arial"/>
          <w:szCs w:val="20"/>
        </w:rPr>
        <w:t xml:space="preserve">Indikátor: Je vyhlašován dotační program s uvedeným zaměřením.  </w:t>
      </w:r>
    </w:p>
    <w:p w14:paraId="6AE58298" w14:textId="77777777" w:rsidR="00FF336C" w:rsidRPr="003A27DB" w:rsidRDefault="00FF336C" w:rsidP="003A27DB">
      <w:pPr>
        <w:tabs>
          <w:tab w:val="left" w:pos="720"/>
        </w:tabs>
        <w:rPr>
          <w:rFonts w:cs="Arial"/>
          <w:b/>
          <w:bCs/>
          <w:sz w:val="20"/>
          <w:szCs w:val="20"/>
          <w:lang w:eastAsia="cs-CZ"/>
        </w:rPr>
      </w:pPr>
    </w:p>
    <w:p w14:paraId="013499CF" w14:textId="53A3E6B5" w:rsidR="00FF336C" w:rsidRPr="000D3B8B" w:rsidRDefault="00FF336C" w:rsidP="000D3B8B">
      <w:pPr>
        <w:tabs>
          <w:tab w:val="left" w:pos="720"/>
        </w:tabs>
        <w:rPr>
          <w:rFonts w:cs="Arial"/>
          <w:b/>
          <w:bCs/>
          <w:sz w:val="20"/>
          <w:szCs w:val="20"/>
          <w:lang w:eastAsia="cs-CZ"/>
        </w:rPr>
      </w:pPr>
      <w:r w:rsidRPr="000D3B8B">
        <w:rPr>
          <w:rFonts w:cs="Arial"/>
          <w:b/>
          <w:bCs/>
          <w:sz w:val="20"/>
          <w:szCs w:val="20"/>
          <w:lang w:eastAsia="cs-CZ"/>
        </w:rPr>
        <w:t>PLNĚNÍ MZ:</w:t>
      </w:r>
    </w:p>
    <w:p w14:paraId="584A41C3" w14:textId="77777777" w:rsidR="000D3B8B" w:rsidRPr="000D3B8B" w:rsidRDefault="000D3B8B" w:rsidP="000D3B8B">
      <w:pPr>
        <w:rPr>
          <w:rFonts w:cs="Arial"/>
          <w:color w:val="000000" w:themeColor="text1"/>
          <w:sz w:val="20"/>
          <w:szCs w:val="20"/>
        </w:rPr>
      </w:pPr>
      <w:r w:rsidRPr="000D3B8B">
        <w:rPr>
          <w:rFonts w:cs="Arial"/>
          <w:color w:val="000000" w:themeColor="text1"/>
          <w:sz w:val="20"/>
          <w:szCs w:val="20"/>
        </w:rPr>
        <w:t xml:space="preserve">V rámci programu Vyrovnávání příležitostí pro občany se zdravotním postižením byla vyhlášena aktivita C6 Edukační docházkové akce (průběžné kurzy, např. cvičení, plavání). </w:t>
      </w:r>
    </w:p>
    <w:p w14:paraId="5C8EFA89" w14:textId="780A43A6" w:rsidR="000D3B8B" w:rsidRPr="000D3B8B" w:rsidRDefault="000D3B8B" w:rsidP="000D3B8B">
      <w:pPr>
        <w:rPr>
          <w:rFonts w:cs="Arial"/>
          <w:color w:val="000000" w:themeColor="text1"/>
          <w:sz w:val="20"/>
          <w:szCs w:val="20"/>
        </w:rPr>
      </w:pPr>
      <w:r w:rsidRPr="000D3B8B">
        <w:rPr>
          <w:rFonts w:cs="Arial"/>
          <w:color w:val="000000" w:themeColor="text1"/>
          <w:sz w:val="20"/>
          <w:szCs w:val="20"/>
        </w:rPr>
        <w:t>V roce 2023 bylo předloženo 28 žádostí zaměřených na aktivitu C6. Bylo podpořeno 29 projektů v celkové výši 7 153 036 Kč.</w:t>
      </w:r>
    </w:p>
    <w:p w14:paraId="4A4C3575" w14:textId="55A9C7EA" w:rsidR="000D3B8B" w:rsidRPr="00634D56" w:rsidRDefault="00634D56" w:rsidP="000D3B8B">
      <w:pPr>
        <w:rPr>
          <w:rFonts w:cs="Arial"/>
          <w:color w:val="000000" w:themeColor="text1"/>
          <w:sz w:val="20"/>
          <w:szCs w:val="20"/>
        </w:rPr>
      </w:pPr>
      <w:r>
        <w:rPr>
          <w:rFonts w:cs="Arial"/>
          <w:color w:val="000000" w:themeColor="text1"/>
          <w:sz w:val="20"/>
          <w:szCs w:val="20"/>
        </w:rPr>
        <w:t xml:space="preserve">Podpořen byl např. projekt </w:t>
      </w:r>
      <w:r w:rsidR="000D3B8B" w:rsidRPr="00634D56">
        <w:rPr>
          <w:rFonts w:cs="Arial"/>
          <w:color w:val="000000" w:themeColor="text1"/>
          <w:sz w:val="20"/>
          <w:szCs w:val="20"/>
        </w:rPr>
        <w:t xml:space="preserve">Unie ROSKA - česká MS </w:t>
      </w:r>
      <w:proofErr w:type="gramStart"/>
      <w:r w:rsidR="000D3B8B" w:rsidRPr="00634D56">
        <w:rPr>
          <w:rFonts w:cs="Arial"/>
          <w:color w:val="000000" w:themeColor="text1"/>
          <w:sz w:val="20"/>
          <w:szCs w:val="20"/>
        </w:rPr>
        <w:t>společnost, z. s.</w:t>
      </w:r>
      <w:proofErr w:type="gramEnd"/>
      <w:r w:rsidR="000D3B8B" w:rsidRPr="00634D56">
        <w:rPr>
          <w:rFonts w:cs="Arial"/>
          <w:color w:val="000000" w:themeColor="text1"/>
          <w:sz w:val="20"/>
          <w:szCs w:val="20"/>
        </w:rPr>
        <w:t xml:space="preserve"> - Docházkové akce pro pacienty s</w:t>
      </w:r>
      <w:r>
        <w:rPr>
          <w:rFonts w:cs="Arial"/>
          <w:color w:val="000000" w:themeColor="text1"/>
          <w:sz w:val="20"/>
          <w:szCs w:val="20"/>
        </w:rPr>
        <w:t> </w:t>
      </w:r>
      <w:r w:rsidR="000D3B8B" w:rsidRPr="00634D56">
        <w:rPr>
          <w:rFonts w:cs="Arial"/>
          <w:color w:val="000000" w:themeColor="text1"/>
          <w:sz w:val="20"/>
          <w:szCs w:val="20"/>
        </w:rPr>
        <w:t>RS</w:t>
      </w:r>
      <w:r>
        <w:rPr>
          <w:rFonts w:cs="Arial"/>
          <w:color w:val="000000" w:themeColor="text1"/>
          <w:sz w:val="20"/>
          <w:szCs w:val="20"/>
        </w:rPr>
        <w:t xml:space="preserve">. </w:t>
      </w:r>
      <w:r w:rsidR="000D3B8B" w:rsidRPr="000D3B8B">
        <w:rPr>
          <w:rFonts w:cs="Arial"/>
          <w:color w:val="000000" w:themeColor="text1"/>
          <w:sz w:val="20"/>
          <w:szCs w:val="20"/>
        </w:rPr>
        <w:t>Projekt je zaměřen na celorepublikové docházko</w:t>
      </w:r>
      <w:r w:rsidR="009E39CF">
        <w:rPr>
          <w:rFonts w:cs="Arial"/>
          <w:color w:val="000000" w:themeColor="text1"/>
          <w:sz w:val="20"/>
          <w:szCs w:val="20"/>
        </w:rPr>
        <w:t>vé akce poskytované pacientům s </w:t>
      </w:r>
      <w:r w:rsidR="000D3B8B" w:rsidRPr="000D3B8B">
        <w:rPr>
          <w:rFonts w:cs="Arial"/>
          <w:color w:val="000000" w:themeColor="text1"/>
          <w:sz w:val="20"/>
          <w:szCs w:val="20"/>
        </w:rPr>
        <w:t xml:space="preserve">roztroušenou sklerózou. Jedná se především o aktivity cvičení, plavání, trénování paměti a další potřebné. Hlavním cílem poskytování těchto služeb je uchování pohybových návyků, procvičování </w:t>
      </w:r>
      <w:r w:rsidR="000D3B8B" w:rsidRPr="000D3B8B">
        <w:rPr>
          <w:rFonts w:cs="Arial"/>
          <w:color w:val="000000" w:themeColor="text1"/>
          <w:sz w:val="20"/>
          <w:szCs w:val="20"/>
        </w:rPr>
        <w:lastRenderedPageBreak/>
        <w:t xml:space="preserve">jemné motoriky a </w:t>
      </w:r>
      <w:r w:rsidR="000D3B8B" w:rsidRPr="001572C4">
        <w:rPr>
          <w:rFonts w:cs="Arial"/>
          <w:color w:val="000000" w:themeColor="text1"/>
          <w:sz w:val="20"/>
          <w:szCs w:val="20"/>
        </w:rPr>
        <w:t>mozkových funkcí u lidí s RS</w:t>
      </w:r>
      <w:r w:rsidR="000D3B8B" w:rsidRPr="00AA0FF5">
        <w:rPr>
          <w:rFonts w:cs="Arial"/>
          <w:color w:val="000000" w:themeColor="text1"/>
          <w:sz w:val="20"/>
          <w:szCs w:val="20"/>
        </w:rPr>
        <w:t>. Bez procvičování těchto návyků by lidé s RS nedokázali udržet svůj zdravotní stav a kondici v relativně dobrém stavu.</w:t>
      </w:r>
    </w:p>
    <w:p w14:paraId="66A7EB5D" w14:textId="59CF01E1" w:rsidR="00FF336C" w:rsidRPr="000D3B8B" w:rsidRDefault="00FF336C" w:rsidP="000D3B8B">
      <w:pPr>
        <w:keepNext/>
        <w:tabs>
          <w:tab w:val="left" w:pos="720"/>
        </w:tabs>
        <w:rPr>
          <w:rFonts w:cs="Arial"/>
          <w:b/>
          <w:bCs/>
          <w:sz w:val="20"/>
          <w:szCs w:val="20"/>
          <w:lang w:eastAsia="cs-CZ"/>
        </w:rPr>
      </w:pPr>
      <w:r w:rsidRPr="000D3B8B">
        <w:rPr>
          <w:rFonts w:cs="Arial"/>
          <w:b/>
          <w:bCs/>
          <w:sz w:val="20"/>
          <w:szCs w:val="20"/>
          <w:lang w:eastAsia="cs-CZ"/>
        </w:rPr>
        <w:t>STANOVISKO K PLNĚNÍ:</w:t>
      </w:r>
      <w:r w:rsidR="006C207C" w:rsidRPr="000D3B8B">
        <w:rPr>
          <w:rFonts w:cs="Arial"/>
          <w:b/>
          <w:sz w:val="20"/>
          <w:szCs w:val="20"/>
        </w:rPr>
        <w:t xml:space="preserve"> Plněno.</w:t>
      </w:r>
    </w:p>
    <w:p w14:paraId="0A94BD79" w14:textId="77777777" w:rsidR="00FF336C" w:rsidRPr="003A27DB" w:rsidRDefault="00FF336C" w:rsidP="003A27DB">
      <w:pPr>
        <w:rPr>
          <w:rFonts w:cs="Arial"/>
          <w:sz w:val="20"/>
          <w:szCs w:val="20"/>
        </w:rPr>
      </w:pPr>
    </w:p>
    <w:p w14:paraId="3CF6A346" w14:textId="67FFFED7" w:rsidR="00F17E74" w:rsidRDefault="00F17E74" w:rsidP="007833D2">
      <w:pPr>
        <w:rPr>
          <w:rFonts w:cs="Arial"/>
          <w:b/>
          <w:szCs w:val="20"/>
        </w:rPr>
      </w:pPr>
      <w:r>
        <w:rPr>
          <w:rFonts w:cs="Arial"/>
          <w:b/>
          <w:szCs w:val="20"/>
        </w:rPr>
        <w:t xml:space="preserve">9.3 </w:t>
      </w:r>
      <w:r w:rsidRPr="0057756D">
        <w:rPr>
          <w:rFonts w:cs="Arial"/>
          <w:b/>
          <w:szCs w:val="20"/>
        </w:rPr>
        <w:t xml:space="preserve">Cíl: </w:t>
      </w:r>
      <w:r w:rsidRPr="002D3B01">
        <w:rPr>
          <w:rFonts w:eastAsia="Calibri" w:cs="Arial"/>
          <w:b/>
          <w:bCs/>
          <w:szCs w:val="20"/>
        </w:rPr>
        <w:t>Realizace</w:t>
      </w:r>
      <w:r>
        <w:rPr>
          <w:rFonts w:cs="Arial"/>
          <w:b/>
          <w:szCs w:val="20"/>
        </w:rPr>
        <w:t xml:space="preserve"> reformy psychiatrické péče. </w:t>
      </w:r>
    </w:p>
    <w:p w14:paraId="24FBAFA5" w14:textId="77777777" w:rsidR="00476173" w:rsidRPr="0057756D" w:rsidRDefault="00476173" w:rsidP="00476173">
      <w:pPr>
        <w:rPr>
          <w:rFonts w:cs="Arial"/>
          <w:szCs w:val="20"/>
        </w:rPr>
      </w:pPr>
      <w:r>
        <w:rPr>
          <w:rFonts w:cs="Arial"/>
          <w:bCs/>
          <w:szCs w:val="20"/>
        </w:rPr>
        <w:t>9</w:t>
      </w:r>
      <w:r>
        <w:rPr>
          <w:rFonts w:cs="Arial"/>
          <w:szCs w:val="20"/>
        </w:rPr>
        <w:t xml:space="preserve">.3.1 </w:t>
      </w:r>
      <w:r w:rsidRPr="0057756D">
        <w:rPr>
          <w:rFonts w:cs="Arial"/>
          <w:szCs w:val="20"/>
        </w:rPr>
        <w:t>Integrovat péči o duševní zdraví do primární péče praktických lékařů formou zvýšení jejich kompetencí ve screeningu a péči o stabilizované pacienty, nasíťování na</w:t>
      </w:r>
      <w:r>
        <w:rPr>
          <w:rFonts w:cs="Arial"/>
          <w:szCs w:val="20"/>
        </w:rPr>
        <w:t> </w:t>
      </w:r>
      <w:r w:rsidRPr="0057756D">
        <w:rPr>
          <w:rFonts w:cs="Arial"/>
          <w:szCs w:val="20"/>
        </w:rPr>
        <w:t>specializovanou péči a</w:t>
      </w:r>
      <w:r>
        <w:rPr>
          <w:rFonts w:cs="Arial"/>
          <w:szCs w:val="20"/>
        </w:rPr>
        <w:t> </w:t>
      </w:r>
      <w:r w:rsidRPr="0057756D">
        <w:rPr>
          <w:rFonts w:cs="Arial"/>
          <w:szCs w:val="20"/>
        </w:rPr>
        <w:t xml:space="preserve">komunitní služby, </w:t>
      </w:r>
      <w:r w:rsidRPr="000A71C5">
        <w:rPr>
          <w:rFonts w:cs="Arial"/>
          <w:szCs w:val="20"/>
        </w:rPr>
        <w:t>zrušení indikačních omezení u definovaných léčiv.</w:t>
      </w:r>
    </w:p>
    <w:p w14:paraId="668E2175" w14:textId="35A8A2A3" w:rsidR="00476173" w:rsidRPr="0057756D" w:rsidRDefault="00BA5BCD" w:rsidP="00476173">
      <w:pPr>
        <w:rPr>
          <w:rFonts w:cs="Arial"/>
          <w:szCs w:val="20"/>
        </w:rPr>
      </w:pPr>
      <w:r>
        <w:rPr>
          <w:rFonts w:cs="Arial"/>
          <w:szCs w:val="20"/>
        </w:rPr>
        <w:t xml:space="preserve">Termín: </w:t>
      </w:r>
      <w:proofErr w:type="gramStart"/>
      <w:r>
        <w:rPr>
          <w:rFonts w:cs="Arial"/>
          <w:szCs w:val="20"/>
        </w:rPr>
        <w:t>31.12.2023</w:t>
      </w:r>
      <w:proofErr w:type="gramEnd"/>
      <w:r w:rsidR="00476173">
        <w:rPr>
          <w:rFonts w:cs="Arial"/>
          <w:szCs w:val="20"/>
        </w:rPr>
        <w:t>, dále průběžně</w:t>
      </w:r>
    </w:p>
    <w:p w14:paraId="75A68182" w14:textId="77777777" w:rsidR="00476173" w:rsidRPr="0057756D" w:rsidRDefault="00476173" w:rsidP="00476173">
      <w:pPr>
        <w:rPr>
          <w:rFonts w:cs="Arial"/>
          <w:szCs w:val="20"/>
        </w:rPr>
      </w:pPr>
      <w:r w:rsidRPr="0057756D">
        <w:rPr>
          <w:rFonts w:cs="Arial"/>
          <w:szCs w:val="20"/>
        </w:rPr>
        <w:t>Gestor: MZ</w:t>
      </w:r>
    </w:p>
    <w:p w14:paraId="0FC349AC" w14:textId="28E009D2" w:rsidR="00476173" w:rsidRDefault="00476173" w:rsidP="00551624">
      <w:pPr>
        <w:rPr>
          <w:rFonts w:cs="Arial"/>
          <w:szCs w:val="20"/>
        </w:rPr>
      </w:pPr>
      <w:r w:rsidRPr="00831152">
        <w:rPr>
          <w:rFonts w:cs="Arial"/>
          <w:szCs w:val="20"/>
        </w:rPr>
        <w:t>Indikátor:</w:t>
      </w:r>
      <w:r>
        <w:rPr>
          <w:rFonts w:cs="Arial"/>
          <w:szCs w:val="20"/>
        </w:rPr>
        <w:t xml:space="preserve"> Jsou pořádány</w:t>
      </w:r>
      <w:r w:rsidRPr="00F441BF">
        <w:rPr>
          <w:rFonts w:cs="Arial"/>
          <w:szCs w:val="20"/>
        </w:rPr>
        <w:t xml:space="preserve"> akreditované vzděláv</w:t>
      </w:r>
      <w:r>
        <w:rPr>
          <w:rFonts w:cs="Arial"/>
          <w:szCs w:val="20"/>
        </w:rPr>
        <w:t>ací kurzy</w:t>
      </w:r>
      <w:r w:rsidRPr="00F441BF">
        <w:rPr>
          <w:rFonts w:cs="Arial"/>
          <w:szCs w:val="20"/>
        </w:rPr>
        <w:t xml:space="preserve"> v oblasti duševního zdrav</w:t>
      </w:r>
      <w:r>
        <w:rPr>
          <w:rFonts w:cs="Arial"/>
          <w:szCs w:val="20"/>
        </w:rPr>
        <w:t>í pro praktické lékaře</w:t>
      </w:r>
      <w:r w:rsidRPr="00DB0FF6">
        <w:rPr>
          <w:rFonts w:cs="Arial"/>
          <w:szCs w:val="20"/>
        </w:rPr>
        <w:t>.</w:t>
      </w:r>
    </w:p>
    <w:p w14:paraId="29AD0856" w14:textId="77777777" w:rsidR="00551624" w:rsidRDefault="00551624" w:rsidP="00551624">
      <w:pPr>
        <w:rPr>
          <w:rFonts w:cs="Arial"/>
          <w:szCs w:val="20"/>
        </w:rPr>
      </w:pPr>
    </w:p>
    <w:p w14:paraId="2BB75E5C" w14:textId="3093F7ED" w:rsidR="00476173" w:rsidRPr="00551624" w:rsidRDefault="00476173" w:rsidP="00551624">
      <w:pPr>
        <w:tabs>
          <w:tab w:val="left" w:pos="720"/>
        </w:tabs>
        <w:rPr>
          <w:rFonts w:cs="Arial"/>
          <w:b/>
          <w:bCs/>
          <w:sz w:val="20"/>
          <w:szCs w:val="20"/>
          <w:lang w:eastAsia="cs-CZ"/>
        </w:rPr>
      </w:pPr>
      <w:r w:rsidRPr="00551624">
        <w:rPr>
          <w:rFonts w:cs="Arial"/>
          <w:b/>
          <w:bCs/>
          <w:sz w:val="20"/>
          <w:szCs w:val="20"/>
          <w:lang w:eastAsia="cs-CZ"/>
        </w:rPr>
        <w:t>PLNĚNÍ MZ:</w:t>
      </w:r>
    </w:p>
    <w:p w14:paraId="4B3EE35B" w14:textId="77777777" w:rsidR="00551624" w:rsidRPr="00551624" w:rsidRDefault="00551624" w:rsidP="00551624">
      <w:pPr>
        <w:rPr>
          <w:rFonts w:cs="Arial"/>
          <w:color w:val="000000" w:themeColor="text1"/>
          <w:sz w:val="20"/>
          <w:szCs w:val="20"/>
        </w:rPr>
      </w:pPr>
      <w:r w:rsidRPr="00551624">
        <w:rPr>
          <w:rFonts w:cs="Arial"/>
          <w:color w:val="000000" w:themeColor="text1"/>
          <w:sz w:val="20"/>
          <w:szCs w:val="20"/>
        </w:rPr>
        <w:t>Indikační omezení jsou už nyní v pozitivním směru upravena z dřívějších let u oblasti péče o lidi s Alzheimerovou nemocí i o lidi s duševním onemocněním.</w:t>
      </w:r>
    </w:p>
    <w:p w14:paraId="5CBA4752" w14:textId="4A9ADCE1" w:rsidR="00551624" w:rsidRPr="00551624" w:rsidRDefault="00551624" w:rsidP="00551624">
      <w:pPr>
        <w:rPr>
          <w:rFonts w:cs="Arial"/>
          <w:color w:val="000000" w:themeColor="text1"/>
          <w:sz w:val="20"/>
          <w:szCs w:val="20"/>
        </w:rPr>
      </w:pPr>
      <w:r w:rsidRPr="00551624">
        <w:rPr>
          <w:rFonts w:cs="Arial"/>
          <w:color w:val="000000" w:themeColor="text1"/>
          <w:sz w:val="20"/>
          <w:szCs w:val="20"/>
        </w:rPr>
        <w:t>Institut postgraduálního vzdělávání ve zdravotnictví nabízel v roce 2023 jako již tradičně řadu akreditovaných vzdělávacích akcí určených široké skupině lékařů, včetně praktických lékařů. Vzdělávací aktivity se zaměřují jak na témata psychofarmak, psychopatologie, tak komunikace s duševně nemocnými, psychologických vyšetření, psychosomatiky.</w:t>
      </w:r>
    </w:p>
    <w:p w14:paraId="35E57A0F" w14:textId="2E191224" w:rsidR="00476173" w:rsidRPr="00551624" w:rsidRDefault="00476173" w:rsidP="00551624">
      <w:pPr>
        <w:rPr>
          <w:rFonts w:cs="Arial"/>
          <w:bCs/>
          <w:color w:val="000000" w:themeColor="text1"/>
          <w:sz w:val="20"/>
          <w:szCs w:val="20"/>
        </w:rPr>
      </w:pPr>
      <w:r w:rsidRPr="00551624">
        <w:rPr>
          <w:rFonts w:cs="Arial"/>
          <w:b/>
          <w:bCs/>
          <w:sz w:val="20"/>
          <w:szCs w:val="20"/>
          <w:lang w:eastAsia="cs-CZ"/>
        </w:rPr>
        <w:t>STANOVISKO K PLNĚNÍ</w:t>
      </w:r>
      <w:r w:rsidRPr="00723B0F">
        <w:rPr>
          <w:rFonts w:cs="Arial"/>
          <w:b/>
          <w:bCs/>
          <w:sz w:val="20"/>
          <w:szCs w:val="20"/>
          <w:lang w:eastAsia="cs-CZ"/>
        </w:rPr>
        <w:t>:</w:t>
      </w:r>
      <w:r w:rsidRPr="00723B0F">
        <w:rPr>
          <w:rFonts w:cs="Arial"/>
          <w:b/>
          <w:sz w:val="20"/>
          <w:szCs w:val="20"/>
        </w:rPr>
        <w:t xml:space="preserve"> </w:t>
      </w:r>
      <w:r w:rsidR="000C2FE8" w:rsidRPr="00723B0F">
        <w:rPr>
          <w:rFonts w:cs="Arial"/>
          <w:b/>
          <w:sz w:val="20"/>
          <w:szCs w:val="20"/>
        </w:rPr>
        <w:t>S</w:t>
      </w:r>
      <w:r w:rsidR="00647F70" w:rsidRPr="00723B0F">
        <w:rPr>
          <w:rFonts w:cs="Arial"/>
          <w:b/>
          <w:sz w:val="20"/>
          <w:szCs w:val="20"/>
        </w:rPr>
        <w:t>p</w:t>
      </w:r>
      <w:r w:rsidRPr="00723B0F">
        <w:rPr>
          <w:rFonts w:cs="Arial"/>
          <w:b/>
          <w:sz w:val="20"/>
          <w:szCs w:val="20"/>
        </w:rPr>
        <w:t>lněno.</w:t>
      </w:r>
      <w:r w:rsidR="00647F70" w:rsidRPr="00551624">
        <w:rPr>
          <w:rFonts w:cs="Arial"/>
          <w:b/>
          <w:sz w:val="20"/>
          <w:szCs w:val="20"/>
        </w:rPr>
        <w:t xml:space="preserve"> </w:t>
      </w:r>
    </w:p>
    <w:p w14:paraId="62E07CF5" w14:textId="77777777" w:rsidR="00476173" w:rsidRPr="00647F70" w:rsidRDefault="00476173" w:rsidP="00647F70">
      <w:pPr>
        <w:rPr>
          <w:rFonts w:cs="Arial"/>
          <w:b/>
          <w:sz w:val="20"/>
          <w:szCs w:val="20"/>
        </w:rPr>
      </w:pPr>
    </w:p>
    <w:p w14:paraId="029DE9D1" w14:textId="363BDF01" w:rsidR="00F17E74" w:rsidRPr="0057756D" w:rsidRDefault="00F17E74" w:rsidP="00F17E74">
      <w:pPr>
        <w:rPr>
          <w:rFonts w:cs="Arial"/>
          <w:szCs w:val="20"/>
        </w:rPr>
      </w:pPr>
      <w:r w:rsidRPr="0035060D">
        <w:rPr>
          <w:rFonts w:cs="Arial"/>
          <w:bCs/>
          <w:szCs w:val="20"/>
        </w:rPr>
        <w:t xml:space="preserve">Opatření </w:t>
      </w:r>
      <w:r>
        <w:rPr>
          <w:rFonts w:cs="Arial"/>
          <w:bCs/>
          <w:szCs w:val="20"/>
        </w:rPr>
        <w:t>9</w:t>
      </w:r>
      <w:r>
        <w:rPr>
          <w:rFonts w:cs="Arial"/>
          <w:szCs w:val="20"/>
        </w:rPr>
        <w:t xml:space="preserve">.3.2 </w:t>
      </w:r>
      <w:r w:rsidRPr="0057756D">
        <w:rPr>
          <w:rFonts w:cs="Arial"/>
          <w:szCs w:val="20"/>
        </w:rPr>
        <w:t xml:space="preserve">Posílit partnerskou roli uživatelů péče v celém systému péče o duševní zdraví vytvořením specifických vzdělávacích programů </w:t>
      </w:r>
      <w:r w:rsidR="00197DF5">
        <w:rPr>
          <w:rFonts w:cs="Arial"/>
          <w:szCs w:val="20"/>
        </w:rPr>
        <w:t xml:space="preserve">jak </w:t>
      </w:r>
      <w:r w:rsidRPr="0057756D">
        <w:rPr>
          <w:rFonts w:cs="Arial"/>
          <w:szCs w:val="20"/>
        </w:rPr>
        <w:t xml:space="preserve">pro uživatele </w:t>
      </w:r>
      <w:r w:rsidR="00197DF5">
        <w:rPr>
          <w:rFonts w:cs="Arial"/>
          <w:szCs w:val="20"/>
        </w:rPr>
        <w:t xml:space="preserve">této </w:t>
      </w:r>
      <w:r w:rsidRPr="0057756D">
        <w:rPr>
          <w:rFonts w:cs="Arial"/>
          <w:szCs w:val="20"/>
        </w:rPr>
        <w:t>péče</w:t>
      </w:r>
      <w:r w:rsidR="00197DF5">
        <w:rPr>
          <w:rFonts w:cs="Arial"/>
          <w:szCs w:val="20"/>
        </w:rPr>
        <w:t>, tak pro</w:t>
      </w:r>
      <w:r w:rsidR="00154C9D">
        <w:rPr>
          <w:rFonts w:cs="Arial"/>
          <w:szCs w:val="20"/>
        </w:rPr>
        <w:t> </w:t>
      </w:r>
      <w:r>
        <w:rPr>
          <w:rFonts w:cs="Arial"/>
          <w:szCs w:val="20"/>
        </w:rPr>
        <w:t>odborníky</w:t>
      </w:r>
      <w:r w:rsidR="002C0D9C">
        <w:rPr>
          <w:rFonts w:cs="Arial"/>
          <w:szCs w:val="20"/>
        </w:rPr>
        <w:t>,</w:t>
      </w:r>
      <w:r>
        <w:rPr>
          <w:rFonts w:cs="Arial"/>
          <w:szCs w:val="20"/>
        </w:rPr>
        <w:t xml:space="preserve"> a </w:t>
      </w:r>
      <w:r w:rsidRPr="000A71C5">
        <w:rPr>
          <w:rFonts w:cs="Arial"/>
          <w:szCs w:val="20"/>
        </w:rPr>
        <w:t>organizačně-finanční zajištění existence pacientských organizací.</w:t>
      </w:r>
    </w:p>
    <w:p w14:paraId="7F1FBB08" w14:textId="13D929FD" w:rsidR="00F17E74" w:rsidRPr="0057756D" w:rsidRDefault="00F17E74" w:rsidP="00F17E74">
      <w:pPr>
        <w:rPr>
          <w:rFonts w:cs="Arial"/>
          <w:szCs w:val="20"/>
        </w:rPr>
      </w:pPr>
      <w:r w:rsidRPr="0057756D">
        <w:rPr>
          <w:rFonts w:cs="Arial"/>
          <w:szCs w:val="20"/>
        </w:rPr>
        <w:t xml:space="preserve">Termín: </w:t>
      </w:r>
      <w:r w:rsidR="00190DFF">
        <w:rPr>
          <w:rFonts w:cs="Arial"/>
          <w:szCs w:val="20"/>
        </w:rPr>
        <w:t>průběžně</w:t>
      </w:r>
      <w:r w:rsidR="001C1932">
        <w:rPr>
          <w:rFonts w:cs="Arial"/>
          <w:szCs w:val="20"/>
        </w:rPr>
        <w:t xml:space="preserve">, </w:t>
      </w:r>
      <w:proofErr w:type="gramStart"/>
      <w:r w:rsidR="001C1932">
        <w:rPr>
          <w:rFonts w:cs="Arial"/>
          <w:szCs w:val="20"/>
        </w:rPr>
        <w:t>31.12.2025</w:t>
      </w:r>
      <w:proofErr w:type="gramEnd"/>
      <w:r w:rsidR="001C1932">
        <w:rPr>
          <w:rFonts w:cs="Arial"/>
          <w:szCs w:val="20"/>
        </w:rPr>
        <w:t xml:space="preserve"> (evaluační zpráva z projektu Recovery College)</w:t>
      </w:r>
    </w:p>
    <w:p w14:paraId="7F572661" w14:textId="77777777" w:rsidR="00F17E74" w:rsidRPr="0057756D" w:rsidRDefault="00F17E74" w:rsidP="00F17E74">
      <w:pPr>
        <w:rPr>
          <w:rFonts w:cs="Arial"/>
          <w:szCs w:val="20"/>
        </w:rPr>
      </w:pPr>
      <w:r w:rsidRPr="0057756D">
        <w:rPr>
          <w:rFonts w:cs="Arial"/>
          <w:szCs w:val="20"/>
        </w:rPr>
        <w:t>Gestor: MZ</w:t>
      </w:r>
    </w:p>
    <w:p w14:paraId="4D684D8D" w14:textId="77777777" w:rsidR="00F17E74" w:rsidRPr="0057756D" w:rsidRDefault="00F17E74" w:rsidP="00C56B09">
      <w:pPr>
        <w:rPr>
          <w:rFonts w:cs="Arial"/>
          <w:szCs w:val="20"/>
        </w:rPr>
      </w:pPr>
      <w:r w:rsidRPr="0057756D">
        <w:rPr>
          <w:rFonts w:cs="Arial"/>
          <w:szCs w:val="20"/>
        </w:rPr>
        <w:t>Spolugestor: MPSV, MŠMT, MF</w:t>
      </w:r>
    </w:p>
    <w:p w14:paraId="3573ECDF" w14:textId="68D4428D" w:rsidR="00F17E74" w:rsidRDefault="00F17E74" w:rsidP="00C56B09">
      <w:pPr>
        <w:rPr>
          <w:rFonts w:cs="Arial"/>
          <w:szCs w:val="20"/>
        </w:rPr>
      </w:pPr>
      <w:r w:rsidRPr="00831152">
        <w:rPr>
          <w:rFonts w:cs="Arial"/>
          <w:szCs w:val="20"/>
        </w:rPr>
        <w:t>Indikátor:</w:t>
      </w:r>
      <w:r>
        <w:rPr>
          <w:rFonts w:cs="Arial"/>
          <w:szCs w:val="20"/>
        </w:rPr>
        <w:t xml:space="preserve"> Jsou vyhlašovány </w:t>
      </w:r>
      <w:r w:rsidRPr="00F441BF">
        <w:rPr>
          <w:rFonts w:cs="Arial"/>
          <w:szCs w:val="20"/>
        </w:rPr>
        <w:t xml:space="preserve">dotační </w:t>
      </w:r>
      <w:r>
        <w:rPr>
          <w:rFonts w:cs="Arial"/>
          <w:szCs w:val="20"/>
        </w:rPr>
        <w:t>programy</w:t>
      </w:r>
      <w:r w:rsidR="00190DFF">
        <w:rPr>
          <w:rFonts w:cs="Arial"/>
          <w:szCs w:val="20"/>
        </w:rPr>
        <w:t xml:space="preserve"> na podporu pacientských organizací</w:t>
      </w:r>
      <w:r w:rsidRPr="00F441BF">
        <w:rPr>
          <w:rFonts w:cs="Arial"/>
          <w:szCs w:val="20"/>
        </w:rPr>
        <w:t>, exist</w:t>
      </w:r>
      <w:r>
        <w:rPr>
          <w:rFonts w:cs="Arial"/>
          <w:szCs w:val="20"/>
        </w:rPr>
        <w:t>uje</w:t>
      </w:r>
      <w:r w:rsidRPr="00F441BF">
        <w:rPr>
          <w:rFonts w:cs="Arial"/>
          <w:szCs w:val="20"/>
        </w:rPr>
        <w:t xml:space="preserve"> platform</w:t>
      </w:r>
      <w:r>
        <w:rPr>
          <w:rFonts w:cs="Arial"/>
          <w:szCs w:val="20"/>
        </w:rPr>
        <w:t>a</w:t>
      </w:r>
      <w:r w:rsidRPr="00F441BF">
        <w:rPr>
          <w:rFonts w:cs="Arial"/>
          <w:szCs w:val="20"/>
        </w:rPr>
        <w:t xml:space="preserve"> pro zapojování uživatelů a</w:t>
      </w:r>
      <w:r w:rsidR="00B16200">
        <w:rPr>
          <w:rFonts w:cs="Arial"/>
          <w:szCs w:val="20"/>
        </w:rPr>
        <w:t> </w:t>
      </w:r>
      <w:r w:rsidRPr="00F441BF">
        <w:rPr>
          <w:rFonts w:cs="Arial"/>
          <w:szCs w:val="20"/>
        </w:rPr>
        <w:t xml:space="preserve">rodinných příslušníků </w:t>
      </w:r>
      <w:r>
        <w:rPr>
          <w:rFonts w:cs="Arial"/>
          <w:szCs w:val="20"/>
        </w:rPr>
        <w:t>v</w:t>
      </w:r>
      <w:r w:rsidRPr="00F441BF">
        <w:rPr>
          <w:rFonts w:cs="Arial"/>
          <w:szCs w:val="20"/>
        </w:rPr>
        <w:t xml:space="preserve"> každém kraji Č</w:t>
      </w:r>
      <w:r>
        <w:rPr>
          <w:rFonts w:cs="Arial"/>
          <w:szCs w:val="20"/>
        </w:rPr>
        <w:t>eské republiky</w:t>
      </w:r>
      <w:r w:rsidRPr="00F441BF">
        <w:rPr>
          <w:rFonts w:cs="Arial"/>
          <w:szCs w:val="20"/>
        </w:rPr>
        <w:t xml:space="preserve">, </w:t>
      </w:r>
      <w:r>
        <w:rPr>
          <w:rFonts w:cs="Arial"/>
          <w:szCs w:val="20"/>
        </w:rPr>
        <w:t xml:space="preserve">byla předložena </w:t>
      </w:r>
      <w:r w:rsidRPr="00F441BF">
        <w:rPr>
          <w:rFonts w:cs="Arial"/>
          <w:szCs w:val="20"/>
        </w:rPr>
        <w:t>evaluační zprá</w:t>
      </w:r>
      <w:r>
        <w:rPr>
          <w:rFonts w:cs="Arial"/>
          <w:szCs w:val="20"/>
        </w:rPr>
        <w:t>va z projektu Recovery College</w:t>
      </w:r>
      <w:r w:rsidR="00980456">
        <w:rPr>
          <w:rStyle w:val="Znakapoznpodarou"/>
          <w:rFonts w:cs="Arial"/>
          <w:szCs w:val="20"/>
        </w:rPr>
        <w:footnoteReference w:id="2"/>
      </w:r>
      <w:r>
        <w:rPr>
          <w:rFonts w:cs="Arial"/>
          <w:szCs w:val="20"/>
        </w:rPr>
        <w:t>.</w:t>
      </w:r>
    </w:p>
    <w:p w14:paraId="320A1B20" w14:textId="77777777" w:rsidR="00C56B09" w:rsidRPr="00755D6F" w:rsidRDefault="00C56B09" w:rsidP="00755D6F">
      <w:pPr>
        <w:rPr>
          <w:rFonts w:cs="Arial"/>
          <w:sz w:val="20"/>
          <w:szCs w:val="20"/>
        </w:rPr>
      </w:pPr>
    </w:p>
    <w:p w14:paraId="0A6D948B" w14:textId="793A4E61" w:rsidR="00C56B09" w:rsidRPr="00624859" w:rsidRDefault="00C56B09" w:rsidP="00624859">
      <w:pPr>
        <w:tabs>
          <w:tab w:val="left" w:pos="720"/>
        </w:tabs>
        <w:rPr>
          <w:rFonts w:cs="Arial"/>
          <w:b/>
          <w:bCs/>
          <w:sz w:val="20"/>
          <w:szCs w:val="20"/>
          <w:lang w:eastAsia="cs-CZ"/>
        </w:rPr>
      </w:pPr>
      <w:r w:rsidRPr="00624859">
        <w:rPr>
          <w:rFonts w:cs="Arial"/>
          <w:b/>
          <w:bCs/>
          <w:sz w:val="20"/>
          <w:szCs w:val="20"/>
          <w:lang w:eastAsia="cs-CZ"/>
        </w:rPr>
        <w:t>PLNĚNÍ MZ:</w:t>
      </w:r>
    </w:p>
    <w:p w14:paraId="55B96157" w14:textId="08F92D46" w:rsidR="00624859" w:rsidRPr="00624859" w:rsidRDefault="00624859" w:rsidP="00624859">
      <w:pPr>
        <w:rPr>
          <w:rFonts w:cs="Arial"/>
          <w:color w:val="000000" w:themeColor="text1"/>
          <w:sz w:val="20"/>
          <w:szCs w:val="20"/>
        </w:rPr>
      </w:pPr>
      <w:r w:rsidRPr="00624859">
        <w:rPr>
          <w:rFonts w:cs="Arial"/>
          <w:color w:val="000000" w:themeColor="text1"/>
          <w:sz w:val="20"/>
          <w:szCs w:val="20"/>
        </w:rPr>
        <w:t>Lidé se zkušeností s duševním onemocněním jsou na národní úrovni zapojováni do poradních a pra</w:t>
      </w:r>
      <w:r w:rsidR="00C35D30">
        <w:rPr>
          <w:rFonts w:cs="Arial"/>
          <w:color w:val="000000" w:themeColor="text1"/>
          <w:sz w:val="20"/>
          <w:szCs w:val="20"/>
        </w:rPr>
        <w:t>covních orgánů, které koordinují</w:t>
      </w:r>
      <w:r w:rsidRPr="00624859">
        <w:rPr>
          <w:rFonts w:cs="Arial"/>
          <w:color w:val="000000" w:themeColor="text1"/>
          <w:sz w:val="20"/>
          <w:szCs w:val="20"/>
        </w:rPr>
        <w:t xml:space="preserve"> a směrují reformu péče o duševní zdraví. V listopadu roku 2022 došlo k posílení jejich hlasu v Národní radě pro duševní zdraví (dříve Rada vlády pro duševní zdraví) navýšením počtu z 1 na 2 zástupce. Zároveň byla 6. prosince 2022 Národní radou pro duševní zdraví zřízena Platforma pro sdružení lidí se zkušeností s duševním onemocněním, jejíž činnost začala v roce 2023. Jejím účelem je zejména příprava podnětů pro Národní radu pro duševní zdraví, připomínkování materiálů i volení zástupců do pracovních skupin. Na Ministerstvu zdravotnictví jsou dále zástupci zapojeni do dalších 2 meziresortních a 2 resortních pracovních skupin přímo souvisejících s reformou péče o duševní zdraví. </w:t>
      </w:r>
    </w:p>
    <w:p w14:paraId="43D81EDF" w14:textId="12159131" w:rsidR="00624859" w:rsidRPr="00624859" w:rsidRDefault="00624859" w:rsidP="00624859">
      <w:pPr>
        <w:rPr>
          <w:rFonts w:cs="Arial"/>
          <w:color w:val="000000" w:themeColor="text1"/>
          <w:sz w:val="20"/>
          <w:szCs w:val="20"/>
        </w:rPr>
      </w:pPr>
      <w:r w:rsidRPr="00624859">
        <w:rPr>
          <w:rFonts w:cs="Arial"/>
          <w:color w:val="000000" w:themeColor="text1"/>
          <w:sz w:val="20"/>
          <w:szCs w:val="20"/>
        </w:rPr>
        <w:lastRenderedPageBreak/>
        <w:t>V roce 2023 byl také připraven projektový záměr Podpora uživatelů a neformálních pečujících v jejich zapojování do systému péče o duševní zdraví a do hodnocení jeho kvality. Jeho cílem je jednak podpořit sdružování lidí se zkušeností s duševním onemocněním a neformálních pečujících na regionální úrovni (vznik platforem) a také jejich zapojování na úrovni krajů, obcí i poskytovatelů péče. Součástí je také příprava a realizace vzdělávání lidí se zkuš</w:t>
      </w:r>
      <w:r w:rsidR="00175C12">
        <w:rPr>
          <w:rFonts w:cs="Arial"/>
          <w:color w:val="000000" w:themeColor="text1"/>
          <w:sz w:val="20"/>
          <w:szCs w:val="20"/>
        </w:rPr>
        <w:t>eností s duševním onemocněním a </w:t>
      </w:r>
      <w:r w:rsidRPr="00624859">
        <w:rPr>
          <w:rFonts w:cs="Arial"/>
          <w:color w:val="000000" w:themeColor="text1"/>
          <w:sz w:val="20"/>
          <w:szCs w:val="20"/>
        </w:rPr>
        <w:t>neformálních pečujících pro posílení jejich kompetencí v oblasti peer podpory, peer advokacie, lektorování a hodnocení služeb. Projektový záměr bude v roce 2024 rozpracován do projektové žádosti, hodnocen a zahájí realizaci.</w:t>
      </w:r>
    </w:p>
    <w:p w14:paraId="552529CD" w14:textId="5FE5A047" w:rsidR="00624859" w:rsidRPr="00624859" w:rsidRDefault="00624859" w:rsidP="00624859">
      <w:pPr>
        <w:rPr>
          <w:rFonts w:cs="Arial"/>
          <w:color w:val="000000" w:themeColor="text1"/>
          <w:sz w:val="20"/>
          <w:szCs w:val="20"/>
        </w:rPr>
      </w:pPr>
      <w:r w:rsidRPr="00624859">
        <w:rPr>
          <w:rFonts w:cs="Arial"/>
          <w:color w:val="000000" w:themeColor="text1"/>
          <w:sz w:val="20"/>
          <w:szCs w:val="20"/>
        </w:rPr>
        <w:t xml:space="preserve">Ministerstvo zdravotnictví vyhlásilo pro rok 2023 také </w:t>
      </w:r>
      <w:hyperlink r:id="rId109" w:history="1">
        <w:r w:rsidRPr="00624859">
          <w:rPr>
            <w:rStyle w:val="Hypertextovodkaz"/>
            <w:rFonts w:cs="Arial"/>
            <w:color w:val="000000" w:themeColor="text1"/>
            <w:sz w:val="20"/>
            <w:szCs w:val="20"/>
            <w:u w:val="none"/>
          </w:rPr>
          <w:t>Výzvu k předkládání žádostí o přidělení finančních prostředků v rámci dotačního programu Podpora zdraví, zvyšování efektivity a kvality zdravotní péče pro rok 2023 – Ministerstvo zdravotnictví (mzcr.cz)</w:t>
        </w:r>
      </w:hyperlink>
      <w:r w:rsidRPr="00624859">
        <w:rPr>
          <w:rFonts w:cs="Arial"/>
          <w:color w:val="000000" w:themeColor="text1"/>
          <w:sz w:val="20"/>
          <w:szCs w:val="20"/>
        </w:rPr>
        <w:t xml:space="preserve">, jejíž součástí je aktivita D1 zaměřená na metodickou podporu činnosti pacientských a rodičovských organizací. Výzva byla v roce 2023 vyhlášena i pro rok 2024 (viz </w:t>
      </w:r>
      <w:hyperlink r:id="rId110" w:history="1">
        <w:r w:rsidRPr="00624859">
          <w:rPr>
            <w:rStyle w:val="Hypertextovodkaz"/>
            <w:rFonts w:cs="Arial"/>
            <w:color w:val="000000" w:themeColor="text1"/>
            <w:sz w:val="20"/>
            <w:szCs w:val="20"/>
            <w:u w:val="none"/>
          </w:rPr>
          <w:t>Výzva k předkládání žádostí o př</w:t>
        </w:r>
        <w:r w:rsidR="00175C12">
          <w:rPr>
            <w:rStyle w:val="Hypertextovodkaz"/>
            <w:rFonts w:cs="Arial"/>
            <w:color w:val="000000" w:themeColor="text1"/>
            <w:sz w:val="20"/>
            <w:szCs w:val="20"/>
            <w:u w:val="none"/>
          </w:rPr>
          <w:t>idělení finančních prostředků v </w:t>
        </w:r>
        <w:r w:rsidRPr="00624859">
          <w:rPr>
            <w:rStyle w:val="Hypertextovodkaz"/>
            <w:rFonts w:cs="Arial"/>
            <w:color w:val="000000" w:themeColor="text1"/>
            <w:sz w:val="20"/>
            <w:szCs w:val="20"/>
            <w:u w:val="none"/>
          </w:rPr>
          <w:t>rámci dotačního programu Podpora zdraví, zvyšování efektivity a kvality zdravotní péče pro rok 2024 – Ministerstvo zdravotnictví (mzcr.cz)</w:t>
        </w:r>
      </w:hyperlink>
      <w:r w:rsidRPr="00624859">
        <w:rPr>
          <w:rFonts w:cs="Arial"/>
          <w:color w:val="000000" w:themeColor="text1"/>
          <w:sz w:val="20"/>
          <w:szCs w:val="20"/>
        </w:rPr>
        <w:t>).</w:t>
      </w:r>
    </w:p>
    <w:p w14:paraId="53725991" w14:textId="4BE8A0C5" w:rsidR="00624859" w:rsidRPr="00624859" w:rsidRDefault="00624859" w:rsidP="00624859">
      <w:pPr>
        <w:rPr>
          <w:rFonts w:cs="Arial"/>
          <w:color w:val="000000" w:themeColor="text1"/>
          <w:sz w:val="20"/>
          <w:szCs w:val="20"/>
        </w:rPr>
      </w:pPr>
      <w:r w:rsidRPr="00624859">
        <w:rPr>
          <w:rFonts w:cs="Arial"/>
          <w:color w:val="000000" w:themeColor="text1"/>
          <w:sz w:val="20"/>
          <w:szCs w:val="20"/>
        </w:rPr>
        <w:t xml:space="preserve">V rámci dotačního programu </w:t>
      </w:r>
      <w:r w:rsidRPr="00936C9F">
        <w:rPr>
          <w:rFonts w:cs="Arial"/>
          <w:color w:val="000000" w:themeColor="text1"/>
          <w:sz w:val="20"/>
          <w:szCs w:val="20"/>
        </w:rPr>
        <w:t>Podpora zdraví, zvyšování efektivity a kvality zdravotní péče</w:t>
      </w:r>
      <w:r w:rsidRPr="00624859">
        <w:rPr>
          <w:rFonts w:cs="Arial"/>
          <w:color w:val="000000" w:themeColor="text1"/>
          <w:sz w:val="20"/>
          <w:szCs w:val="20"/>
        </w:rPr>
        <w:t xml:space="preserve"> (PPZ) byly vyhlášeny priority:</w:t>
      </w:r>
    </w:p>
    <w:p w14:paraId="64E2FF04" w14:textId="77777777" w:rsidR="00624859" w:rsidRPr="00936C9F" w:rsidRDefault="00624859" w:rsidP="00624859">
      <w:pPr>
        <w:rPr>
          <w:rFonts w:cs="Arial"/>
          <w:bCs/>
          <w:color w:val="000000" w:themeColor="text1"/>
          <w:sz w:val="20"/>
          <w:szCs w:val="20"/>
        </w:rPr>
      </w:pPr>
      <w:r w:rsidRPr="00936C9F">
        <w:rPr>
          <w:rFonts w:cs="Arial"/>
          <w:bCs/>
          <w:color w:val="000000" w:themeColor="text1"/>
          <w:sz w:val="20"/>
          <w:szCs w:val="20"/>
        </w:rPr>
        <w:t>D – Zlepšení kvality života lidí s duševním onemocněním</w:t>
      </w:r>
    </w:p>
    <w:p w14:paraId="735E3981" w14:textId="3F31A458" w:rsidR="00624859" w:rsidRPr="00624859" w:rsidRDefault="00624859" w:rsidP="008263CB">
      <w:pPr>
        <w:pStyle w:val="Odstavecseseznamem"/>
        <w:numPr>
          <w:ilvl w:val="0"/>
          <w:numId w:val="43"/>
        </w:numPr>
        <w:rPr>
          <w:rFonts w:cs="Arial"/>
          <w:color w:val="000000" w:themeColor="text1"/>
          <w:sz w:val="20"/>
          <w:szCs w:val="20"/>
        </w:rPr>
      </w:pPr>
      <w:r w:rsidRPr="00624859">
        <w:rPr>
          <w:rFonts w:cs="Arial"/>
          <w:color w:val="000000" w:themeColor="text1"/>
          <w:sz w:val="20"/>
          <w:szCs w:val="20"/>
        </w:rPr>
        <w:t>Aktivita D1 Metodická podpora činnosti pacientských a rodičovských organizací v zajištění právního a jiného poradenství a vzdělávání pro potřebu své organiz</w:t>
      </w:r>
      <w:r w:rsidR="00175C12">
        <w:rPr>
          <w:rFonts w:cs="Arial"/>
          <w:color w:val="000000" w:themeColor="text1"/>
          <w:sz w:val="20"/>
          <w:szCs w:val="20"/>
        </w:rPr>
        <w:t>ace, v realizaci informačních a </w:t>
      </w:r>
      <w:r w:rsidRPr="00624859">
        <w:rPr>
          <w:rFonts w:cs="Arial"/>
          <w:color w:val="000000" w:themeColor="text1"/>
          <w:sz w:val="20"/>
          <w:szCs w:val="20"/>
        </w:rPr>
        <w:t>podpůrných aktivit pro osoby s duševním onemocněním a v metodické podpoře při žádání finančních prostředků z grantů/dotačních programů</w:t>
      </w:r>
    </w:p>
    <w:p w14:paraId="6F64D55F" w14:textId="4A2D6E2D" w:rsidR="00624859" w:rsidRPr="00624859" w:rsidRDefault="00624859" w:rsidP="008263CB">
      <w:pPr>
        <w:pStyle w:val="Odstavecseseznamem"/>
        <w:numPr>
          <w:ilvl w:val="0"/>
          <w:numId w:val="43"/>
        </w:numPr>
        <w:rPr>
          <w:rFonts w:cs="Arial"/>
          <w:color w:val="000000" w:themeColor="text1"/>
          <w:sz w:val="20"/>
          <w:szCs w:val="20"/>
        </w:rPr>
      </w:pPr>
      <w:r w:rsidRPr="00624859">
        <w:rPr>
          <w:rFonts w:cs="Arial"/>
          <w:color w:val="000000" w:themeColor="text1"/>
          <w:sz w:val="20"/>
          <w:szCs w:val="20"/>
        </w:rPr>
        <w:t>Aktivita D2 Zapojení peer konzultantů v oblasti duševního zdraví</w:t>
      </w:r>
    </w:p>
    <w:p w14:paraId="4D4821E5" w14:textId="0D671245" w:rsidR="00624859" w:rsidRPr="00624859" w:rsidRDefault="00624859" w:rsidP="00624859">
      <w:pPr>
        <w:rPr>
          <w:rFonts w:cs="Arial"/>
          <w:color w:val="000000" w:themeColor="text1"/>
          <w:sz w:val="20"/>
          <w:szCs w:val="20"/>
        </w:rPr>
      </w:pPr>
      <w:r w:rsidRPr="00624859">
        <w:rPr>
          <w:rFonts w:cs="Arial"/>
          <w:color w:val="000000" w:themeColor="text1"/>
          <w:sz w:val="20"/>
          <w:szCs w:val="20"/>
        </w:rPr>
        <w:t xml:space="preserve">V roce 2023 bylo v této prioritě předloženo 16 projektů, z čehož byl zamítnut jen 1. Podpořen byl např. projekt žadatele </w:t>
      </w:r>
      <w:proofErr w:type="gramStart"/>
      <w:r w:rsidRPr="00624859">
        <w:rPr>
          <w:rFonts w:cs="Arial"/>
          <w:color w:val="000000" w:themeColor="text1"/>
          <w:sz w:val="20"/>
          <w:szCs w:val="20"/>
        </w:rPr>
        <w:t>Ledovec, z.s.</w:t>
      </w:r>
      <w:proofErr w:type="gramEnd"/>
      <w:r w:rsidRPr="00624859">
        <w:rPr>
          <w:rFonts w:cs="Arial"/>
          <w:color w:val="000000" w:themeColor="text1"/>
          <w:sz w:val="20"/>
          <w:szCs w:val="20"/>
        </w:rPr>
        <w:t xml:space="preserve"> s názvem </w:t>
      </w:r>
      <w:r w:rsidRPr="00A819EC">
        <w:rPr>
          <w:rFonts w:cs="Arial"/>
          <w:color w:val="000000" w:themeColor="text1"/>
          <w:sz w:val="20"/>
          <w:szCs w:val="20"/>
        </w:rPr>
        <w:t>Club House a Recovery College při Ledovci 2023 (CHRC).</w:t>
      </w:r>
      <w:r w:rsidRPr="00624859">
        <w:rPr>
          <w:rFonts w:cs="Arial"/>
          <w:color w:val="000000" w:themeColor="text1"/>
          <w:sz w:val="20"/>
          <w:szCs w:val="20"/>
        </w:rPr>
        <w:t xml:space="preserve"> Cílem bylo podporovat lidi s duševním onemocněním v procesu vlastního zotavení prostřednictvím poskytnutí prostoru pro společensky prospěšnou činnost věnovanou dalším lidem s DO, svépomocné, destigmatizační, podpůrné a aktivity návazné na sociální a zdravotní služby. </w:t>
      </w:r>
    </w:p>
    <w:p w14:paraId="098BA155" w14:textId="77777777" w:rsidR="00624859" w:rsidRPr="00BF1ABF" w:rsidRDefault="00624859" w:rsidP="00624859">
      <w:pPr>
        <w:rPr>
          <w:rFonts w:cs="Arial"/>
          <w:bCs/>
          <w:color w:val="000000" w:themeColor="text1"/>
          <w:sz w:val="20"/>
          <w:szCs w:val="20"/>
        </w:rPr>
      </w:pPr>
      <w:r w:rsidRPr="00BF1ABF">
        <w:rPr>
          <w:rFonts w:cs="Arial"/>
          <w:bCs/>
          <w:color w:val="000000" w:themeColor="text1"/>
          <w:sz w:val="20"/>
          <w:szCs w:val="20"/>
        </w:rPr>
        <w:t>E – Zlepšení kvality života lidí s neurodegenerativním onemocněním</w:t>
      </w:r>
    </w:p>
    <w:p w14:paraId="4CB8DFA4" w14:textId="77777777" w:rsidR="00624859" w:rsidRPr="00624859" w:rsidRDefault="00624859" w:rsidP="008263CB">
      <w:pPr>
        <w:pStyle w:val="Odstavecseseznamem"/>
        <w:numPr>
          <w:ilvl w:val="0"/>
          <w:numId w:val="44"/>
        </w:numPr>
        <w:rPr>
          <w:rFonts w:cs="Arial"/>
          <w:color w:val="000000" w:themeColor="text1"/>
          <w:sz w:val="20"/>
          <w:szCs w:val="20"/>
        </w:rPr>
      </w:pPr>
      <w:r w:rsidRPr="00624859">
        <w:rPr>
          <w:rFonts w:cs="Arial"/>
          <w:color w:val="000000" w:themeColor="text1"/>
          <w:sz w:val="20"/>
          <w:szCs w:val="20"/>
        </w:rPr>
        <w:t>Aktivita E1 Podpora vzdělávání odborné i laické veřejnosti v oblasti neurodegenerativních onemocnění a neuropsychiatrického pomezí</w:t>
      </w:r>
    </w:p>
    <w:p w14:paraId="23D26655" w14:textId="114627B9" w:rsidR="00624859" w:rsidRPr="00624859" w:rsidRDefault="00624859" w:rsidP="008263CB">
      <w:pPr>
        <w:pStyle w:val="Odstavecseseznamem"/>
        <w:numPr>
          <w:ilvl w:val="0"/>
          <w:numId w:val="44"/>
        </w:numPr>
        <w:rPr>
          <w:rFonts w:cs="Arial"/>
          <w:color w:val="000000" w:themeColor="text1"/>
          <w:sz w:val="20"/>
          <w:szCs w:val="20"/>
        </w:rPr>
      </w:pPr>
      <w:r w:rsidRPr="00624859">
        <w:rPr>
          <w:rFonts w:cs="Arial"/>
          <w:color w:val="000000" w:themeColor="text1"/>
          <w:sz w:val="20"/>
          <w:szCs w:val="20"/>
        </w:rPr>
        <w:t xml:space="preserve">Aktivita E2 Podpora setrvání pacienta v domácím prostředí </w:t>
      </w:r>
      <w:r w:rsidR="00175C12">
        <w:rPr>
          <w:rFonts w:cs="Arial"/>
          <w:color w:val="000000" w:themeColor="text1"/>
          <w:sz w:val="20"/>
          <w:szCs w:val="20"/>
        </w:rPr>
        <w:t>a zvýšení jeho kvality života v </w:t>
      </w:r>
      <w:r w:rsidRPr="00624859">
        <w:rPr>
          <w:rFonts w:cs="Arial"/>
          <w:color w:val="000000" w:themeColor="text1"/>
          <w:sz w:val="20"/>
          <w:szCs w:val="20"/>
        </w:rPr>
        <w:t>domácím prostředí, včetně využití nových technologií a pomůcek</w:t>
      </w:r>
    </w:p>
    <w:p w14:paraId="3D2B8627" w14:textId="6F51EEA2" w:rsidR="00624859" w:rsidRPr="00624859" w:rsidRDefault="00624859" w:rsidP="00624859">
      <w:pPr>
        <w:rPr>
          <w:rFonts w:cs="Arial"/>
          <w:color w:val="000000" w:themeColor="text1"/>
          <w:sz w:val="20"/>
          <w:szCs w:val="20"/>
        </w:rPr>
      </w:pPr>
      <w:r w:rsidRPr="00BF1ABF">
        <w:rPr>
          <w:rFonts w:cs="Arial"/>
          <w:color w:val="000000" w:themeColor="text1"/>
          <w:sz w:val="20"/>
          <w:szCs w:val="20"/>
        </w:rPr>
        <w:t xml:space="preserve">V roce 2023 bylo v této prioritě předloženo 8 projektů, z čehož byly zamítnuty 2. Podpořen byl např. </w:t>
      </w:r>
      <w:r w:rsidR="00BF1ABF" w:rsidRPr="00BF1ABF">
        <w:rPr>
          <w:rFonts w:cs="Arial"/>
          <w:color w:val="000000" w:themeColor="text1"/>
          <w:sz w:val="20"/>
          <w:szCs w:val="20"/>
        </w:rPr>
        <w:t>projekt</w:t>
      </w:r>
      <w:r w:rsidRPr="00BF1ABF">
        <w:rPr>
          <w:rFonts w:cs="Arial"/>
          <w:color w:val="000000" w:themeColor="text1"/>
          <w:sz w:val="20"/>
          <w:szCs w:val="20"/>
        </w:rPr>
        <w:t xml:space="preserve"> Podpora lidí s neurodegenerativním onemocněním a prevence duševního zdraví prostřednictvím Centra trénování paměti žadatele MENS </w:t>
      </w:r>
      <w:proofErr w:type="gramStart"/>
      <w:r w:rsidRPr="00BF1ABF">
        <w:rPr>
          <w:rFonts w:cs="Arial"/>
          <w:color w:val="000000" w:themeColor="text1"/>
          <w:sz w:val="20"/>
          <w:szCs w:val="20"/>
        </w:rPr>
        <w:t>SANA, z.ú.</w:t>
      </w:r>
      <w:proofErr w:type="gramEnd"/>
      <w:r w:rsidRPr="00BF1ABF">
        <w:rPr>
          <w:rFonts w:cs="Arial"/>
          <w:color w:val="000000" w:themeColor="text1"/>
          <w:sz w:val="20"/>
          <w:szCs w:val="20"/>
        </w:rPr>
        <w:t xml:space="preserve"> Hlavním cílem projektu bylo zlepšení kvality života lidí s neurodegenerativním onemocněním prostřednictvím zajištění chodu Centra trénování paměti, které nabízí této cílové skupině řadu cílených specializovaných aktivit pro trénování kognitivních funkcí mozku, což činí z CTP jediné pracoviště svého druhu pro oblast Moravskoslezského kraje. </w:t>
      </w:r>
    </w:p>
    <w:p w14:paraId="49C66A46" w14:textId="77777777" w:rsidR="00624859" w:rsidRPr="00D6146D" w:rsidRDefault="00624859" w:rsidP="00624859">
      <w:pPr>
        <w:rPr>
          <w:rFonts w:cs="Arial"/>
          <w:bCs/>
          <w:color w:val="000000" w:themeColor="text1"/>
          <w:sz w:val="20"/>
          <w:szCs w:val="20"/>
        </w:rPr>
      </w:pPr>
      <w:r w:rsidRPr="00D6146D">
        <w:rPr>
          <w:rFonts w:cs="Arial"/>
          <w:bCs/>
          <w:color w:val="000000" w:themeColor="text1"/>
          <w:sz w:val="20"/>
          <w:szCs w:val="20"/>
        </w:rPr>
        <w:t>F – Podpora advokační činnosti pro osoby se zdravotním postižením a chronickým či jiným vážným onemocněním</w:t>
      </w:r>
    </w:p>
    <w:p w14:paraId="5BE7CCAE" w14:textId="351A4B45" w:rsidR="00624859" w:rsidRPr="00624859" w:rsidRDefault="00624859" w:rsidP="008263CB">
      <w:pPr>
        <w:pStyle w:val="Odstavecseseznamem"/>
        <w:numPr>
          <w:ilvl w:val="0"/>
          <w:numId w:val="45"/>
        </w:numPr>
        <w:rPr>
          <w:rFonts w:cs="Arial"/>
          <w:color w:val="000000" w:themeColor="text1"/>
          <w:sz w:val="20"/>
          <w:szCs w:val="20"/>
        </w:rPr>
      </w:pPr>
      <w:r w:rsidRPr="00624859">
        <w:rPr>
          <w:rFonts w:cs="Arial"/>
          <w:color w:val="000000" w:themeColor="text1"/>
          <w:sz w:val="20"/>
          <w:szCs w:val="20"/>
        </w:rPr>
        <w:t>Aktivita F1 Podpora advokační činnosti NNO zaměřené n</w:t>
      </w:r>
      <w:r w:rsidR="00175C12">
        <w:rPr>
          <w:rFonts w:cs="Arial"/>
          <w:color w:val="000000" w:themeColor="text1"/>
          <w:sz w:val="20"/>
          <w:szCs w:val="20"/>
        </w:rPr>
        <w:t>a zlepšení životních podmínek a </w:t>
      </w:r>
      <w:r w:rsidRPr="00624859">
        <w:rPr>
          <w:rFonts w:cs="Arial"/>
          <w:color w:val="000000" w:themeColor="text1"/>
          <w:sz w:val="20"/>
          <w:szCs w:val="20"/>
        </w:rPr>
        <w:t>postavení osob se zdravotním postižením a chronickým či jiným vážným onemocněním</w:t>
      </w:r>
    </w:p>
    <w:p w14:paraId="3F8B976B" w14:textId="72B00C43" w:rsidR="00624859" w:rsidRPr="00F94284" w:rsidRDefault="00624859" w:rsidP="00F94284">
      <w:pPr>
        <w:pStyle w:val="Odstavecseseznamem"/>
        <w:numPr>
          <w:ilvl w:val="0"/>
          <w:numId w:val="45"/>
        </w:numPr>
        <w:rPr>
          <w:rFonts w:cs="Arial"/>
          <w:color w:val="000000" w:themeColor="text1"/>
          <w:sz w:val="20"/>
          <w:szCs w:val="20"/>
        </w:rPr>
      </w:pPr>
      <w:r w:rsidRPr="00624859">
        <w:rPr>
          <w:rFonts w:cs="Arial"/>
          <w:color w:val="000000" w:themeColor="text1"/>
          <w:sz w:val="20"/>
          <w:szCs w:val="20"/>
        </w:rPr>
        <w:t>Aktivita F2 Podpora zapojení pacientů do tvorby zdravotních politik formou zjišťování potřeb pacientů a zpětné vazby od pacientů (patient-reported evidence/outcomes)</w:t>
      </w:r>
    </w:p>
    <w:p w14:paraId="5A9A1D0A" w14:textId="47F57073" w:rsidR="00624859" w:rsidRPr="00624859" w:rsidRDefault="00624859" w:rsidP="00624859">
      <w:pPr>
        <w:rPr>
          <w:rFonts w:cs="Arial"/>
          <w:color w:val="000000" w:themeColor="text1"/>
          <w:sz w:val="20"/>
          <w:szCs w:val="20"/>
        </w:rPr>
      </w:pPr>
      <w:r w:rsidRPr="00624859">
        <w:rPr>
          <w:rFonts w:cs="Arial"/>
          <w:color w:val="000000" w:themeColor="text1"/>
          <w:sz w:val="20"/>
          <w:szCs w:val="20"/>
        </w:rPr>
        <w:t xml:space="preserve">V roce 2023 bylo v této prioritě předloženo 7 projektů, z čehož byl zamítnut 1. Podpořen byl např. projekt žadatele Česká asociace pro vzácná </w:t>
      </w:r>
      <w:proofErr w:type="gramStart"/>
      <w:r w:rsidRPr="00D6146D">
        <w:rPr>
          <w:rFonts w:cs="Arial"/>
          <w:color w:val="000000" w:themeColor="text1"/>
          <w:sz w:val="20"/>
          <w:szCs w:val="20"/>
        </w:rPr>
        <w:t>onemocnění z.s.</w:t>
      </w:r>
      <w:proofErr w:type="gramEnd"/>
      <w:r w:rsidRPr="00D6146D">
        <w:rPr>
          <w:rFonts w:cs="Arial"/>
          <w:color w:val="000000" w:themeColor="text1"/>
          <w:sz w:val="20"/>
          <w:szCs w:val="20"/>
        </w:rPr>
        <w:t xml:space="preserve"> Advokační činnost pacientů se vzácným onemocněním. Cílem bylo zlepšit životní podmínky a kvalitu života lidí</w:t>
      </w:r>
      <w:r w:rsidRPr="00624859">
        <w:rPr>
          <w:rFonts w:cs="Arial"/>
          <w:color w:val="000000" w:themeColor="text1"/>
          <w:sz w:val="20"/>
          <w:szCs w:val="20"/>
        </w:rPr>
        <w:t xml:space="preserve"> se vzácným onemocněním realizací advokačních činností pacientů s VO napříč diagnózami.</w:t>
      </w:r>
    </w:p>
    <w:p w14:paraId="05AAF573" w14:textId="77777777" w:rsidR="00C56B09" w:rsidRPr="00624859" w:rsidRDefault="00C56B09" w:rsidP="00624859">
      <w:pPr>
        <w:keepNext/>
        <w:tabs>
          <w:tab w:val="left" w:pos="720"/>
        </w:tabs>
        <w:rPr>
          <w:rFonts w:cs="Arial"/>
          <w:b/>
          <w:bCs/>
          <w:sz w:val="20"/>
          <w:szCs w:val="20"/>
          <w:lang w:eastAsia="cs-CZ"/>
        </w:rPr>
      </w:pPr>
      <w:r w:rsidRPr="00624859">
        <w:rPr>
          <w:rFonts w:cs="Arial"/>
          <w:b/>
          <w:bCs/>
          <w:sz w:val="20"/>
          <w:szCs w:val="20"/>
          <w:lang w:eastAsia="cs-CZ"/>
        </w:rPr>
        <w:t>STANOVISKO K PLNĚNÍ:</w:t>
      </w:r>
      <w:r w:rsidRPr="00624859">
        <w:rPr>
          <w:rFonts w:cs="Arial"/>
          <w:b/>
          <w:sz w:val="20"/>
          <w:szCs w:val="20"/>
        </w:rPr>
        <w:t xml:space="preserve"> Plněno.</w:t>
      </w:r>
    </w:p>
    <w:p w14:paraId="7178C6B4" w14:textId="7C041254" w:rsidR="00C56B09" w:rsidRPr="00755D6F" w:rsidRDefault="00C56B09" w:rsidP="00755D6F">
      <w:pPr>
        <w:rPr>
          <w:rFonts w:cs="Arial"/>
          <w:sz w:val="20"/>
          <w:szCs w:val="20"/>
        </w:rPr>
      </w:pPr>
    </w:p>
    <w:p w14:paraId="6E04534D" w14:textId="3C557DBB" w:rsidR="00DB4E27" w:rsidRPr="005E75EF" w:rsidRDefault="00DB4E27" w:rsidP="005E75EF">
      <w:pPr>
        <w:tabs>
          <w:tab w:val="left" w:pos="720"/>
        </w:tabs>
        <w:rPr>
          <w:rFonts w:cs="Arial"/>
          <w:b/>
          <w:bCs/>
          <w:sz w:val="20"/>
          <w:szCs w:val="20"/>
          <w:lang w:eastAsia="cs-CZ"/>
        </w:rPr>
      </w:pPr>
      <w:r w:rsidRPr="005E75EF">
        <w:rPr>
          <w:rFonts w:cs="Arial"/>
          <w:b/>
          <w:bCs/>
          <w:sz w:val="20"/>
          <w:szCs w:val="20"/>
          <w:lang w:eastAsia="cs-CZ"/>
        </w:rPr>
        <w:lastRenderedPageBreak/>
        <w:t>PLNĚNÍ MF:</w:t>
      </w:r>
    </w:p>
    <w:p w14:paraId="4D657019" w14:textId="77777777" w:rsidR="005D440F" w:rsidRPr="005E75EF" w:rsidRDefault="005D440F" w:rsidP="005E75EF">
      <w:pPr>
        <w:tabs>
          <w:tab w:val="left" w:pos="5670"/>
          <w:tab w:val="left" w:pos="8222"/>
        </w:tabs>
        <w:rPr>
          <w:rFonts w:cs="Arial"/>
          <w:sz w:val="20"/>
          <w:szCs w:val="20"/>
          <w:lang w:eastAsia="cs-CZ"/>
        </w:rPr>
      </w:pPr>
      <w:r w:rsidRPr="005E75EF">
        <w:rPr>
          <w:rFonts w:cs="Arial"/>
          <w:sz w:val="20"/>
          <w:szCs w:val="20"/>
          <w:lang w:eastAsia="cs-CZ"/>
        </w:rPr>
        <w:t>K výše uváděnému opatření, kde gestorem je Ministerstvo zdravotnictví, uvádíme, že v roce 2023 probíhala přípravná fáze k projektu, který se primárně věnuje vzdělávání peerů (osob se zkušeností s duševním onemocněním).</w:t>
      </w:r>
    </w:p>
    <w:p w14:paraId="478A4998" w14:textId="7E806F0F" w:rsidR="005D440F" w:rsidRPr="005E75EF" w:rsidRDefault="005D440F" w:rsidP="005E75EF">
      <w:pPr>
        <w:tabs>
          <w:tab w:val="left" w:pos="5670"/>
          <w:tab w:val="left" w:pos="8222"/>
        </w:tabs>
        <w:rPr>
          <w:rFonts w:cs="Arial"/>
          <w:sz w:val="20"/>
          <w:szCs w:val="20"/>
          <w:lang w:eastAsia="cs-CZ"/>
        </w:rPr>
      </w:pPr>
      <w:r w:rsidRPr="005E75EF">
        <w:rPr>
          <w:rFonts w:cs="Arial"/>
          <w:sz w:val="20"/>
          <w:szCs w:val="20"/>
          <w:lang w:eastAsia="cs-CZ"/>
        </w:rPr>
        <w:t>Jedná se o výzvu Ministerstva práce a sociálních věcí „Zkvalitn</w:t>
      </w:r>
      <w:r w:rsidR="00175C12">
        <w:rPr>
          <w:rFonts w:cs="Arial"/>
          <w:sz w:val="20"/>
          <w:szCs w:val="20"/>
          <w:lang w:eastAsia="cs-CZ"/>
        </w:rPr>
        <w:t>ění zdravotních služeb – péče o </w:t>
      </w:r>
      <w:r w:rsidRPr="005E75EF">
        <w:rPr>
          <w:rFonts w:cs="Arial"/>
          <w:sz w:val="20"/>
          <w:szCs w:val="20"/>
          <w:lang w:eastAsia="cs-CZ"/>
        </w:rPr>
        <w:t xml:space="preserve">duševní zdraví“ k předkládání žádostí o podporu v rámci Operačního programu Zaměstnanost plus, jejímž věcným zaměřením je i „Podpora zapojování osob (peerů) se zkušeností s duševním onemocněním do systému péče o duševní zdraví“. </w:t>
      </w:r>
    </w:p>
    <w:p w14:paraId="1F36363F" w14:textId="77777777" w:rsidR="005D440F" w:rsidRPr="005E75EF" w:rsidRDefault="005D440F" w:rsidP="005E75EF">
      <w:pPr>
        <w:tabs>
          <w:tab w:val="left" w:pos="5670"/>
          <w:tab w:val="left" w:pos="8222"/>
        </w:tabs>
        <w:rPr>
          <w:rFonts w:cs="Arial"/>
          <w:sz w:val="20"/>
          <w:szCs w:val="20"/>
          <w:lang w:eastAsia="cs-CZ"/>
        </w:rPr>
      </w:pPr>
      <w:r w:rsidRPr="005E75EF">
        <w:rPr>
          <w:rFonts w:cs="Arial"/>
          <w:sz w:val="20"/>
          <w:szCs w:val="20"/>
          <w:lang w:eastAsia="cs-CZ"/>
        </w:rPr>
        <w:t>Ministerstvo zdravotnictví, jakožto oprávněný žadatel této aktivity předložilo projektový záměr, který byl doporučen k rozpracování do formátu plné žádosti o podporu.</w:t>
      </w:r>
    </w:p>
    <w:p w14:paraId="36C53C43" w14:textId="05986355" w:rsidR="005D440F" w:rsidRPr="005E75EF" w:rsidRDefault="005D440F" w:rsidP="005E75EF">
      <w:pPr>
        <w:tabs>
          <w:tab w:val="left" w:pos="5670"/>
          <w:tab w:val="left" w:pos="8222"/>
        </w:tabs>
        <w:rPr>
          <w:rFonts w:cs="Arial"/>
          <w:sz w:val="20"/>
          <w:szCs w:val="20"/>
          <w:lang w:eastAsia="cs-CZ"/>
        </w:rPr>
      </w:pPr>
      <w:r w:rsidRPr="005E75EF">
        <w:rPr>
          <w:rFonts w:cs="Arial"/>
          <w:sz w:val="20"/>
          <w:szCs w:val="20"/>
          <w:lang w:eastAsia="cs-CZ"/>
        </w:rPr>
        <w:t xml:space="preserve">Cílem má být vznik metodiky pro plánování a zapojování peer </w:t>
      </w:r>
      <w:r w:rsidR="00175C12">
        <w:rPr>
          <w:rFonts w:cs="Arial"/>
          <w:sz w:val="20"/>
          <w:szCs w:val="20"/>
          <w:lang w:eastAsia="cs-CZ"/>
        </w:rPr>
        <w:t>pracovníků ve čtyřech krajích a </w:t>
      </w:r>
      <w:r w:rsidRPr="005E75EF">
        <w:rPr>
          <w:rFonts w:cs="Arial"/>
          <w:sz w:val="20"/>
          <w:szCs w:val="20"/>
          <w:lang w:eastAsia="cs-CZ"/>
        </w:rPr>
        <w:t>následně vznik a koordinace celorepublikové Platformy pro peer pracovníky a jejich zapojování do řídících struktur poskytovatelů péče v oblasti duševního zdraví.</w:t>
      </w:r>
    </w:p>
    <w:p w14:paraId="170EDE22" w14:textId="6D0F2EBE" w:rsidR="00DB4E27" w:rsidRPr="005E75EF" w:rsidRDefault="00DB4E27" w:rsidP="005E75EF">
      <w:pPr>
        <w:rPr>
          <w:rFonts w:cs="Arial"/>
          <w:b/>
          <w:sz w:val="20"/>
          <w:szCs w:val="20"/>
        </w:rPr>
      </w:pPr>
      <w:r w:rsidRPr="005E75EF">
        <w:rPr>
          <w:rFonts w:cs="Arial"/>
          <w:b/>
          <w:bCs/>
          <w:sz w:val="20"/>
          <w:szCs w:val="20"/>
          <w:lang w:eastAsia="cs-CZ"/>
        </w:rPr>
        <w:t>STANOVISKO K </w:t>
      </w:r>
      <w:r w:rsidRPr="00EC4097">
        <w:rPr>
          <w:rFonts w:cs="Arial"/>
          <w:b/>
          <w:bCs/>
          <w:sz w:val="20"/>
          <w:szCs w:val="20"/>
          <w:lang w:eastAsia="cs-CZ"/>
        </w:rPr>
        <w:t>PLNĚNÍ:</w:t>
      </w:r>
      <w:r w:rsidR="001859B6" w:rsidRPr="00EC4097">
        <w:rPr>
          <w:rFonts w:cs="Arial"/>
          <w:b/>
          <w:bCs/>
          <w:sz w:val="20"/>
          <w:szCs w:val="20"/>
          <w:lang w:eastAsia="cs-CZ"/>
        </w:rPr>
        <w:t xml:space="preserve"> </w:t>
      </w:r>
      <w:r w:rsidR="00990250" w:rsidRPr="00EC4097">
        <w:rPr>
          <w:rFonts w:cs="Arial"/>
          <w:b/>
          <w:bCs/>
          <w:sz w:val="20"/>
          <w:szCs w:val="20"/>
          <w:lang w:eastAsia="cs-CZ"/>
        </w:rPr>
        <w:t>Plněno.</w:t>
      </w:r>
      <w:r w:rsidR="00DD21AD" w:rsidRPr="00EC4097">
        <w:rPr>
          <w:rFonts w:cs="Arial"/>
          <w:b/>
          <w:bCs/>
          <w:sz w:val="20"/>
          <w:szCs w:val="20"/>
          <w:lang w:eastAsia="cs-CZ"/>
        </w:rPr>
        <w:t xml:space="preserve"> </w:t>
      </w:r>
    </w:p>
    <w:p w14:paraId="22C31AC2" w14:textId="77777777" w:rsidR="001859B6" w:rsidRPr="00DD21AD" w:rsidRDefault="001859B6" w:rsidP="00DD21AD">
      <w:pPr>
        <w:rPr>
          <w:rFonts w:cs="Arial"/>
          <w:b/>
          <w:bCs/>
          <w:sz w:val="20"/>
          <w:szCs w:val="20"/>
          <w:lang w:eastAsia="cs-CZ"/>
        </w:rPr>
      </w:pPr>
    </w:p>
    <w:p w14:paraId="4DCF9F7F" w14:textId="032F5359" w:rsidR="004C424A" w:rsidRPr="00EF1F59" w:rsidRDefault="004C424A" w:rsidP="00EF1F59">
      <w:pPr>
        <w:keepNext/>
        <w:tabs>
          <w:tab w:val="left" w:pos="720"/>
        </w:tabs>
        <w:rPr>
          <w:rFonts w:cs="Arial"/>
          <w:b/>
          <w:bCs/>
          <w:sz w:val="20"/>
          <w:szCs w:val="20"/>
          <w:lang w:eastAsia="cs-CZ"/>
        </w:rPr>
      </w:pPr>
      <w:r w:rsidRPr="00EF1F59">
        <w:rPr>
          <w:rFonts w:cs="Arial"/>
          <w:b/>
          <w:bCs/>
          <w:sz w:val="20"/>
          <w:szCs w:val="20"/>
          <w:lang w:eastAsia="cs-CZ"/>
        </w:rPr>
        <w:t>PLNĚNÍ MPSV:</w:t>
      </w:r>
    </w:p>
    <w:p w14:paraId="47C1C32E" w14:textId="6F993921" w:rsidR="00EF1F59" w:rsidRPr="00EF1F59" w:rsidRDefault="00EF1F59" w:rsidP="00EF1F59">
      <w:pPr>
        <w:rPr>
          <w:rFonts w:cs="Arial"/>
          <w:bCs/>
          <w:sz w:val="20"/>
          <w:szCs w:val="20"/>
        </w:rPr>
      </w:pPr>
      <w:r w:rsidRPr="00EF1F59">
        <w:rPr>
          <w:rFonts w:cs="Arial"/>
          <w:bCs/>
          <w:sz w:val="20"/>
          <w:szCs w:val="20"/>
        </w:rPr>
        <w:t xml:space="preserve">V oblasti poskytování sociálních služeb jde v rámci systému podpory </w:t>
      </w:r>
      <w:r w:rsidR="00052D36">
        <w:rPr>
          <w:rFonts w:cs="Arial"/>
          <w:bCs/>
          <w:sz w:val="20"/>
          <w:szCs w:val="20"/>
        </w:rPr>
        <w:t>péče o duševní zdraví zejména o </w:t>
      </w:r>
      <w:r w:rsidRPr="00EF1F59">
        <w:rPr>
          <w:rFonts w:cs="Arial"/>
          <w:bCs/>
          <w:sz w:val="20"/>
          <w:szCs w:val="20"/>
        </w:rPr>
        <w:t xml:space="preserve">službu sociální rehabilitace poskytovanou především prostřednictvím center duševního zdraví (dále jen „CDZ“). Pokud jde o legislativní zakotvení CDZ, to do zákona o sociálních službách jako nepřímá novela zavedl zákon č. 371/2021 Sb., kterým se mění zákon č. 48/1997 Sb., o veřejném zdravotním pojištění a o změně a doplnění některých souvisejících zákonů, ve znění pozdějších předpisů, </w:t>
      </w:r>
      <w:r w:rsidR="00052D36">
        <w:rPr>
          <w:rFonts w:cs="Arial"/>
          <w:bCs/>
          <w:sz w:val="20"/>
          <w:szCs w:val="20"/>
        </w:rPr>
        <w:t>a </w:t>
      </w:r>
      <w:r w:rsidRPr="00EF1F59">
        <w:rPr>
          <w:rFonts w:cs="Arial"/>
          <w:bCs/>
          <w:sz w:val="20"/>
          <w:szCs w:val="20"/>
        </w:rPr>
        <w:t>některé další zákony, a to jako nový druh sociální služby. Zavedení CDZ je navázáno na reformu psychiatrické péče.</w:t>
      </w:r>
    </w:p>
    <w:p w14:paraId="499D3D65" w14:textId="388B5FAC" w:rsidR="00EF1F59" w:rsidRPr="00EF1F59" w:rsidRDefault="00EF1F59" w:rsidP="00EF1F59">
      <w:pPr>
        <w:rPr>
          <w:rFonts w:cs="Arial"/>
          <w:sz w:val="20"/>
          <w:szCs w:val="20"/>
        </w:rPr>
      </w:pPr>
      <w:r w:rsidRPr="00EF1F59">
        <w:rPr>
          <w:rFonts w:cs="Arial"/>
          <w:sz w:val="20"/>
          <w:szCs w:val="20"/>
        </w:rPr>
        <w:t>Podle této nové úpravy (§ 70a zákona o sociálních službách) CDZ poskytuje služby osobám s duševní poruchou nebo poruchou chování a poskytuje sociální i zdravotní služby. Účinnost úpravy CDZ je 1. 1. 2025.</w:t>
      </w:r>
    </w:p>
    <w:p w14:paraId="32F59819" w14:textId="2058B4E7" w:rsidR="004C424A" w:rsidRPr="00EF1F59" w:rsidRDefault="004C424A" w:rsidP="00EF1F59">
      <w:pPr>
        <w:keepNext/>
        <w:tabs>
          <w:tab w:val="left" w:pos="720"/>
        </w:tabs>
        <w:rPr>
          <w:rFonts w:cs="Arial"/>
          <w:b/>
          <w:bCs/>
          <w:sz w:val="20"/>
          <w:szCs w:val="20"/>
          <w:lang w:eastAsia="cs-CZ"/>
        </w:rPr>
      </w:pPr>
      <w:r w:rsidRPr="00EF1F59">
        <w:rPr>
          <w:rFonts w:cs="Arial"/>
          <w:b/>
          <w:bCs/>
          <w:sz w:val="20"/>
          <w:szCs w:val="20"/>
          <w:lang w:eastAsia="cs-CZ"/>
        </w:rPr>
        <w:t>STANOVISKO K PLNĚNÍ:</w:t>
      </w:r>
      <w:r w:rsidR="001E005E" w:rsidRPr="00EF1F59">
        <w:rPr>
          <w:rFonts w:cs="Arial"/>
          <w:b/>
          <w:bCs/>
          <w:sz w:val="20"/>
          <w:szCs w:val="20"/>
          <w:lang w:eastAsia="cs-CZ"/>
        </w:rPr>
        <w:t xml:space="preserve"> Plněno.</w:t>
      </w:r>
    </w:p>
    <w:p w14:paraId="24559A26" w14:textId="2A85236A" w:rsidR="004C424A" w:rsidRPr="00755D6F" w:rsidRDefault="004C424A" w:rsidP="00755D6F">
      <w:pPr>
        <w:rPr>
          <w:rFonts w:cs="Arial"/>
          <w:sz w:val="20"/>
          <w:szCs w:val="20"/>
        </w:rPr>
      </w:pPr>
    </w:p>
    <w:p w14:paraId="55111251" w14:textId="63C2A122" w:rsidR="008A7728" w:rsidRPr="00636B39" w:rsidRDefault="008A7728" w:rsidP="00755D6F">
      <w:pPr>
        <w:tabs>
          <w:tab w:val="left" w:pos="720"/>
        </w:tabs>
        <w:rPr>
          <w:rFonts w:cs="Arial"/>
          <w:b/>
          <w:bCs/>
          <w:sz w:val="20"/>
          <w:szCs w:val="20"/>
          <w:lang w:eastAsia="cs-CZ"/>
        </w:rPr>
      </w:pPr>
      <w:r w:rsidRPr="00636B39">
        <w:rPr>
          <w:rFonts w:cs="Arial"/>
          <w:b/>
          <w:bCs/>
          <w:sz w:val="20"/>
          <w:szCs w:val="20"/>
          <w:lang w:eastAsia="cs-CZ"/>
        </w:rPr>
        <w:t>PLNĚNÍ MŠMT:</w:t>
      </w:r>
    </w:p>
    <w:p w14:paraId="4480EDFD" w14:textId="77777777" w:rsidR="00636B39" w:rsidRPr="00636B39" w:rsidRDefault="00636B39" w:rsidP="00636B39">
      <w:pPr>
        <w:rPr>
          <w:sz w:val="20"/>
          <w:szCs w:val="20"/>
        </w:rPr>
      </w:pPr>
      <w:r w:rsidRPr="00636B39">
        <w:rPr>
          <w:sz w:val="20"/>
          <w:szCs w:val="20"/>
        </w:rPr>
        <w:t>MŠMT je členem Národní rady duševního zdraví a spolupracuje s Ministerstvem zdravotnictví na plnění Národního akčního plánu pro duševní zdraví pro období 2020 – 2023.</w:t>
      </w:r>
    </w:p>
    <w:p w14:paraId="2136D1F6" w14:textId="77777777" w:rsidR="00636B39" w:rsidRPr="00636B39" w:rsidRDefault="00636B39" w:rsidP="00636B39">
      <w:pPr>
        <w:rPr>
          <w:rFonts w:cs="Arial"/>
          <w:sz w:val="20"/>
          <w:szCs w:val="20"/>
        </w:rPr>
      </w:pPr>
      <w:r w:rsidRPr="00636B39">
        <w:rPr>
          <w:rFonts w:cs="Arial"/>
          <w:sz w:val="20"/>
          <w:szCs w:val="20"/>
        </w:rPr>
        <w:t xml:space="preserve">Ve spolupráci s NPI ČR a Národním ústavem pro duševní zdraví byly zpracovány a aktualizovány webové stránky na </w:t>
      </w:r>
      <w:hyperlink r:id="rId111" w:history="1">
        <w:r w:rsidRPr="00636B39">
          <w:rPr>
            <w:rStyle w:val="Hypertextovodkaz"/>
            <w:rFonts w:cs="Arial"/>
            <w:sz w:val="20"/>
            <w:szCs w:val="20"/>
          </w:rPr>
          <w:t>www.edu.cz</w:t>
        </w:r>
      </w:hyperlink>
      <w:r w:rsidRPr="00636B39">
        <w:rPr>
          <w:rFonts w:cs="Arial"/>
          <w:sz w:val="20"/>
          <w:szCs w:val="20"/>
        </w:rPr>
        <w:t xml:space="preserve"> k tématu duševního zdraví ve školách </w:t>
      </w:r>
      <w:hyperlink r:id="rId112" w:history="1">
        <w:r w:rsidRPr="00636B39">
          <w:rPr>
            <w:rStyle w:val="Hypertextovodkaz"/>
            <w:rFonts w:cs="Arial"/>
            <w:sz w:val="20"/>
            <w:szCs w:val="20"/>
          </w:rPr>
          <w:t>https://dusevnizdravi.edu.cz/</w:t>
        </w:r>
      </w:hyperlink>
      <w:r w:rsidRPr="00636B39">
        <w:rPr>
          <w:rFonts w:cs="Arial"/>
          <w:sz w:val="20"/>
          <w:szCs w:val="20"/>
        </w:rPr>
        <w:t xml:space="preserve">. </w:t>
      </w:r>
    </w:p>
    <w:p w14:paraId="4F21960B" w14:textId="77777777" w:rsidR="00636B39" w:rsidRPr="00636B39" w:rsidRDefault="00636B39" w:rsidP="00636B39">
      <w:pPr>
        <w:rPr>
          <w:sz w:val="20"/>
          <w:szCs w:val="20"/>
        </w:rPr>
      </w:pPr>
      <w:r w:rsidRPr="00636B39">
        <w:rPr>
          <w:sz w:val="20"/>
          <w:szCs w:val="20"/>
        </w:rPr>
        <w:t>Pro rok 2023 byla vyhlášena Výzva pro podávání žádostí o poskytnutí neinvestiční dotace ze státního rozpočtu na aktivity v oblasti primární prevence rizikového chování a podpory duševního zdraví ve školách a školských zařízeních. Alokována byla částka bezmála 40 mil. Kč.</w:t>
      </w:r>
    </w:p>
    <w:p w14:paraId="4A4089D8" w14:textId="1C6134CB" w:rsidR="00636B39" w:rsidRPr="00636B39" w:rsidRDefault="00636B39" w:rsidP="00052D36">
      <w:pPr>
        <w:rPr>
          <w:sz w:val="20"/>
          <w:szCs w:val="20"/>
        </w:rPr>
      </w:pPr>
      <w:r w:rsidRPr="00636B39">
        <w:rPr>
          <w:sz w:val="20"/>
          <w:szCs w:val="20"/>
        </w:rPr>
        <w:t xml:space="preserve">MŠMT v roce 2023 </w:t>
      </w:r>
      <w:r w:rsidRPr="00886561">
        <w:rPr>
          <w:sz w:val="20"/>
          <w:szCs w:val="20"/>
          <w:u w:val="single"/>
        </w:rPr>
        <w:t xml:space="preserve">vydalo </w:t>
      </w:r>
      <w:hyperlink r:id="rId113" w:history="1">
        <w:r w:rsidRPr="00886561">
          <w:rPr>
            <w:rStyle w:val="Hypertextovodkaz"/>
            <w:color w:val="auto"/>
            <w:sz w:val="20"/>
            <w:szCs w:val="20"/>
          </w:rPr>
          <w:t>tři nové přílohy Metodického doporučení k primární prevenci rizikového chování</w:t>
        </w:r>
      </w:hyperlink>
      <w:r w:rsidRPr="00636B39">
        <w:rPr>
          <w:sz w:val="20"/>
          <w:szCs w:val="20"/>
        </w:rPr>
        <w:t xml:space="preserve">  k tématům sebevražedného chování, psychické kr</w:t>
      </w:r>
      <w:r w:rsidR="00052D36">
        <w:rPr>
          <w:sz w:val="20"/>
          <w:szCs w:val="20"/>
        </w:rPr>
        <w:t>izi/duševnímu onemocnění žáka a </w:t>
      </w:r>
      <w:r w:rsidRPr="00636B39">
        <w:rPr>
          <w:sz w:val="20"/>
          <w:szCs w:val="20"/>
        </w:rPr>
        <w:t>poruchám příjmu potravy.</w:t>
      </w:r>
    </w:p>
    <w:p w14:paraId="7AF7128B" w14:textId="66D7ECAF" w:rsidR="008A7728" w:rsidRPr="00636B39" w:rsidRDefault="008A7728" w:rsidP="00755D6F">
      <w:pPr>
        <w:keepNext/>
        <w:tabs>
          <w:tab w:val="left" w:pos="720"/>
        </w:tabs>
        <w:rPr>
          <w:rFonts w:cs="Arial"/>
          <w:b/>
          <w:bCs/>
          <w:sz w:val="20"/>
          <w:szCs w:val="20"/>
          <w:lang w:eastAsia="cs-CZ"/>
        </w:rPr>
      </w:pPr>
      <w:r w:rsidRPr="00636B39">
        <w:rPr>
          <w:rFonts w:cs="Arial"/>
          <w:b/>
          <w:bCs/>
          <w:sz w:val="20"/>
          <w:szCs w:val="20"/>
          <w:lang w:eastAsia="cs-CZ"/>
        </w:rPr>
        <w:t>STANOVISKO K PLNĚNÍ:</w:t>
      </w:r>
      <w:r w:rsidR="00232A13" w:rsidRPr="00636B39">
        <w:rPr>
          <w:rFonts w:cs="Arial"/>
          <w:b/>
          <w:bCs/>
          <w:sz w:val="20"/>
          <w:szCs w:val="20"/>
          <w:lang w:eastAsia="cs-CZ"/>
        </w:rPr>
        <w:t xml:space="preserve"> Plněno.</w:t>
      </w:r>
    </w:p>
    <w:p w14:paraId="16543E67" w14:textId="1121B339" w:rsidR="00C43732" w:rsidRDefault="00C43732" w:rsidP="00755D6F">
      <w:pPr>
        <w:keepNext/>
        <w:tabs>
          <w:tab w:val="left" w:pos="720"/>
        </w:tabs>
        <w:rPr>
          <w:rFonts w:cs="Arial"/>
          <w:b/>
          <w:bCs/>
          <w:sz w:val="20"/>
          <w:szCs w:val="20"/>
          <w:lang w:eastAsia="cs-CZ"/>
        </w:rPr>
      </w:pPr>
    </w:p>
    <w:p w14:paraId="765B254A" w14:textId="77777777" w:rsidR="00F547D1" w:rsidRPr="0057756D" w:rsidRDefault="00F547D1" w:rsidP="00F547D1">
      <w:pPr>
        <w:rPr>
          <w:rFonts w:cs="Arial"/>
          <w:szCs w:val="20"/>
        </w:rPr>
      </w:pPr>
      <w:r w:rsidRPr="0035060D">
        <w:rPr>
          <w:rFonts w:cs="Arial"/>
          <w:bCs/>
          <w:szCs w:val="20"/>
        </w:rPr>
        <w:t xml:space="preserve">Opatření </w:t>
      </w:r>
      <w:r>
        <w:rPr>
          <w:rFonts w:cs="Arial"/>
          <w:bCs/>
          <w:szCs w:val="20"/>
        </w:rPr>
        <w:t>9</w:t>
      </w:r>
      <w:r>
        <w:rPr>
          <w:rFonts w:cs="Arial"/>
          <w:szCs w:val="20"/>
        </w:rPr>
        <w:t xml:space="preserve">.3.3 </w:t>
      </w:r>
      <w:r w:rsidRPr="0057756D">
        <w:rPr>
          <w:rFonts w:cs="Arial"/>
          <w:szCs w:val="20"/>
        </w:rPr>
        <w:t>Na základě evaluace pilotních projektů v rámci reformy psychiatrické péče dále zvyšovat počet mu</w:t>
      </w:r>
      <w:r>
        <w:rPr>
          <w:rFonts w:cs="Arial"/>
          <w:szCs w:val="20"/>
        </w:rPr>
        <w:t>ltidisciplinárních týmů pro osoby</w:t>
      </w:r>
      <w:r w:rsidRPr="0057756D">
        <w:rPr>
          <w:rFonts w:cs="Arial"/>
          <w:szCs w:val="20"/>
        </w:rPr>
        <w:t xml:space="preserve"> se závažným duševním onemocn</w:t>
      </w:r>
      <w:r>
        <w:rPr>
          <w:rFonts w:cs="Arial"/>
          <w:szCs w:val="20"/>
        </w:rPr>
        <w:t>ěním i další cílové skupiny osob</w:t>
      </w:r>
      <w:r w:rsidRPr="0057756D">
        <w:rPr>
          <w:rFonts w:cs="Arial"/>
          <w:szCs w:val="20"/>
        </w:rPr>
        <w:t xml:space="preserve"> s duševním onemocněním.</w:t>
      </w:r>
    </w:p>
    <w:p w14:paraId="21B27701" w14:textId="77777777" w:rsidR="00F547D1" w:rsidRPr="0057756D" w:rsidRDefault="00F547D1" w:rsidP="00F547D1">
      <w:pPr>
        <w:rPr>
          <w:rFonts w:cs="Arial"/>
          <w:szCs w:val="20"/>
        </w:rPr>
      </w:pPr>
      <w:r w:rsidRPr="0057756D">
        <w:rPr>
          <w:rFonts w:cs="Arial"/>
          <w:szCs w:val="20"/>
        </w:rPr>
        <w:t>Termín: průběžně (zpráva se podává za roky 2021, 2023 a 2025)</w:t>
      </w:r>
    </w:p>
    <w:p w14:paraId="568C2339" w14:textId="77777777" w:rsidR="00F547D1" w:rsidRPr="0057756D" w:rsidRDefault="00F547D1" w:rsidP="00F547D1">
      <w:pPr>
        <w:rPr>
          <w:rFonts w:cs="Arial"/>
          <w:szCs w:val="20"/>
        </w:rPr>
      </w:pPr>
      <w:r w:rsidRPr="0057756D">
        <w:rPr>
          <w:rFonts w:cs="Arial"/>
          <w:szCs w:val="20"/>
        </w:rPr>
        <w:t>Gestor: MZ</w:t>
      </w:r>
    </w:p>
    <w:p w14:paraId="593034F2" w14:textId="77777777" w:rsidR="00F547D1" w:rsidRPr="0057756D" w:rsidRDefault="00F547D1" w:rsidP="00F547D1">
      <w:pPr>
        <w:rPr>
          <w:rFonts w:cs="Arial"/>
          <w:szCs w:val="20"/>
        </w:rPr>
      </w:pPr>
      <w:r>
        <w:rPr>
          <w:rFonts w:cs="Arial"/>
          <w:szCs w:val="20"/>
        </w:rPr>
        <w:t>Spolugestor: MPSV,</w:t>
      </w:r>
      <w:r w:rsidRPr="0057756D">
        <w:rPr>
          <w:rFonts w:cs="Arial"/>
          <w:szCs w:val="20"/>
        </w:rPr>
        <w:t xml:space="preserve"> MŠMT</w:t>
      </w:r>
    </w:p>
    <w:p w14:paraId="296C0FB1" w14:textId="77777777" w:rsidR="00F547D1" w:rsidRPr="0057756D" w:rsidRDefault="00F547D1" w:rsidP="00F547D1">
      <w:pPr>
        <w:rPr>
          <w:rFonts w:cs="Arial"/>
          <w:szCs w:val="20"/>
        </w:rPr>
      </w:pPr>
      <w:r w:rsidRPr="00831152">
        <w:rPr>
          <w:rFonts w:cs="Arial"/>
          <w:szCs w:val="20"/>
        </w:rPr>
        <w:lastRenderedPageBreak/>
        <w:t>Indikátor:</w:t>
      </w:r>
      <w:r>
        <w:rPr>
          <w:rFonts w:cs="Arial"/>
          <w:szCs w:val="20"/>
        </w:rPr>
        <w:t xml:space="preserve"> Počet </w:t>
      </w:r>
      <w:r w:rsidRPr="000F2C9F">
        <w:rPr>
          <w:rFonts w:cs="Arial"/>
          <w:szCs w:val="20"/>
        </w:rPr>
        <w:t xml:space="preserve">pacientů/klientů </w:t>
      </w:r>
      <w:r>
        <w:rPr>
          <w:rFonts w:cs="Arial"/>
          <w:szCs w:val="20"/>
        </w:rPr>
        <w:t>se závažným duševním onemocněním,</w:t>
      </w:r>
      <w:r w:rsidRPr="000F2C9F">
        <w:rPr>
          <w:rFonts w:cs="Arial"/>
          <w:szCs w:val="20"/>
        </w:rPr>
        <w:t xml:space="preserve"> dětí s duševním onemocněním a pacientů/klientů s problematikou závislosti v péči multidisciplinárních týmů</w:t>
      </w:r>
      <w:r>
        <w:rPr>
          <w:rFonts w:cs="Arial"/>
          <w:szCs w:val="20"/>
        </w:rPr>
        <w:t xml:space="preserve"> se dle předložených zpráv zvyšuje.</w:t>
      </w:r>
    </w:p>
    <w:p w14:paraId="54E54123" w14:textId="63F1EC99" w:rsidR="00F547D1" w:rsidRPr="0050523A" w:rsidRDefault="00F547D1" w:rsidP="0050523A">
      <w:pPr>
        <w:keepNext/>
        <w:tabs>
          <w:tab w:val="left" w:pos="720"/>
        </w:tabs>
        <w:rPr>
          <w:rFonts w:cs="Arial"/>
          <w:b/>
          <w:bCs/>
          <w:sz w:val="20"/>
          <w:szCs w:val="20"/>
          <w:lang w:eastAsia="cs-CZ"/>
        </w:rPr>
      </w:pPr>
    </w:p>
    <w:p w14:paraId="6709183D" w14:textId="77777777" w:rsidR="00B578A9" w:rsidRPr="0050523A" w:rsidRDefault="00B578A9" w:rsidP="0050523A">
      <w:pPr>
        <w:tabs>
          <w:tab w:val="left" w:pos="720"/>
        </w:tabs>
        <w:rPr>
          <w:rFonts w:cs="Arial"/>
          <w:b/>
          <w:bCs/>
          <w:sz w:val="20"/>
          <w:szCs w:val="20"/>
          <w:lang w:eastAsia="cs-CZ"/>
        </w:rPr>
      </w:pPr>
      <w:r w:rsidRPr="0050523A">
        <w:rPr>
          <w:rFonts w:cs="Arial"/>
          <w:b/>
          <w:bCs/>
          <w:sz w:val="20"/>
          <w:szCs w:val="20"/>
          <w:lang w:eastAsia="cs-CZ"/>
        </w:rPr>
        <w:t>PLNĚNÍ MZ:</w:t>
      </w:r>
    </w:p>
    <w:p w14:paraId="4346A49F" w14:textId="77777777" w:rsidR="0050523A" w:rsidRPr="0050523A" w:rsidRDefault="0050523A" w:rsidP="0050523A">
      <w:pPr>
        <w:rPr>
          <w:rFonts w:cs="Arial"/>
          <w:color w:val="000000" w:themeColor="text1"/>
          <w:sz w:val="20"/>
          <w:szCs w:val="20"/>
        </w:rPr>
      </w:pPr>
      <w:r w:rsidRPr="0050523A">
        <w:rPr>
          <w:rFonts w:cs="Arial"/>
          <w:color w:val="000000" w:themeColor="text1"/>
          <w:sz w:val="20"/>
          <w:szCs w:val="20"/>
        </w:rPr>
        <w:t xml:space="preserve">Multidisciplinární týmy, tzv. centra duševního zdraví byla podporována z Operačního programu Zaměstnanost. Evaluace těchto center je dostupná na webových stránkách (viz </w:t>
      </w:r>
      <w:hyperlink r:id="rId114" w:history="1">
        <w:r w:rsidRPr="0050523A">
          <w:rPr>
            <w:rStyle w:val="Hypertextovodkaz"/>
            <w:rFonts w:cs="Arial"/>
            <w:color w:val="000000" w:themeColor="text1"/>
            <w:sz w:val="20"/>
            <w:szCs w:val="20"/>
          </w:rPr>
          <w:t>CDZ I | Reforma psychiatrie</w:t>
        </w:r>
      </w:hyperlink>
      <w:r w:rsidRPr="0050523A">
        <w:rPr>
          <w:rFonts w:cs="Arial"/>
          <w:color w:val="000000" w:themeColor="text1"/>
          <w:sz w:val="20"/>
          <w:szCs w:val="20"/>
        </w:rPr>
        <w:t xml:space="preserve">, </w:t>
      </w:r>
      <w:hyperlink r:id="rId115" w:history="1">
        <w:r w:rsidRPr="0050523A">
          <w:rPr>
            <w:rStyle w:val="Hypertextovodkaz"/>
            <w:rFonts w:cs="Arial"/>
            <w:color w:val="000000" w:themeColor="text1"/>
            <w:sz w:val="20"/>
            <w:szCs w:val="20"/>
          </w:rPr>
          <w:t>CDZ II | Reforma psychiatrie</w:t>
        </w:r>
      </w:hyperlink>
      <w:r w:rsidRPr="0050523A">
        <w:rPr>
          <w:rFonts w:cs="Arial"/>
          <w:color w:val="000000" w:themeColor="text1"/>
          <w:sz w:val="20"/>
          <w:szCs w:val="20"/>
        </w:rPr>
        <w:t xml:space="preserve">, </w:t>
      </w:r>
      <w:hyperlink r:id="rId116" w:history="1">
        <w:r w:rsidRPr="0050523A">
          <w:rPr>
            <w:rStyle w:val="Hypertextovodkaz"/>
            <w:rFonts w:cs="Arial"/>
            <w:color w:val="000000" w:themeColor="text1"/>
            <w:sz w:val="20"/>
            <w:szCs w:val="20"/>
          </w:rPr>
          <w:t>CDZ III | Reforma psychiatrie</w:t>
        </w:r>
      </w:hyperlink>
      <w:r w:rsidRPr="0050523A">
        <w:rPr>
          <w:rFonts w:cs="Arial"/>
          <w:color w:val="000000" w:themeColor="text1"/>
          <w:sz w:val="20"/>
          <w:szCs w:val="20"/>
        </w:rPr>
        <w:t xml:space="preserve">). </w:t>
      </w:r>
    </w:p>
    <w:p w14:paraId="0FCF5BB7" w14:textId="0E664DA8" w:rsidR="0050523A" w:rsidRPr="0050523A" w:rsidRDefault="0050523A" w:rsidP="0050523A">
      <w:pPr>
        <w:rPr>
          <w:rFonts w:cs="Arial"/>
          <w:color w:val="000000" w:themeColor="text1"/>
          <w:sz w:val="20"/>
          <w:szCs w:val="20"/>
        </w:rPr>
      </w:pPr>
      <w:r w:rsidRPr="0050523A">
        <w:rPr>
          <w:rFonts w:cs="Arial"/>
          <w:color w:val="000000" w:themeColor="text1"/>
          <w:sz w:val="20"/>
          <w:szCs w:val="20"/>
        </w:rPr>
        <w:t>V roce 2023 bylo v provozu 21 center duševního zdraví pro osoby se závažným duševním onemocněním, 3 centra duševního zdraví pro děti a adolescenty, 3 centra duševního zdraví pro osoby s adiktologickou poruchou, 2 centra duševního zdraví pro osoby s nařízeným ochranným léčením a 1 centrum duševního zdraví pro seniory. Data o počtu ošetřených pacientů ze zdravotního systému za rok 2023 budou k dispozici až v druhé polovině roku 2024. Z dat za roky 2017-2022 je i s ohledem na postupné zvyšování počtu center duševního zdraví znatelné zvyšov</w:t>
      </w:r>
      <w:r w:rsidR="00AA7E68">
        <w:rPr>
          <w:rFonts w:cs="Arial"/>
          <w:color w:val="000000" w:themeColor="text1"/>
          <w:sz w:val="20"/>
          <w:szCs w:val="20"/>
        </w:rPr>
        <w:t>ání počtu ošetřených pacientů u </w:t>
      </w:r>
      <w:r w:rsidRPr="0050523A">
        <w:rPr>
          <w:rFonts w:cs="Arial"/>
          <w:color w:val="000000" w:themeColor="text1"/>
          <w:sz w:val="20"/>
          <w:szCs w:val="20"/>
        </w:rPr>
        <w:t xml:space="preserve">center duševního zdraví pro osoby se závažným duševním onemocněním z 1 817 na 7 350. </w:t>
      </w:r>
    </w:p>
    <w:p w14:paraId="62F3CA9A" w14:textId="77777777" w:rsidR="00B578A9" w:rsidRPr="0050523A" w:rsidRDefault="00B578A9" w:rsidP="0050523A">
      <w:pPr>
        <w:keepNext/>
        <w:tabs>
          <w:tab w:val="left" w:pos="720"/>
        </w:tabs>
        <w:rPr>
          <w:rFonts w:cs="Arial"/>
          <w:b/>
          <w:bCs/>
          <w:sz w:val="20"/>
          <w:szCs w:val="20"/>
          <w:lang w:eastAsia="cs-CZ"/>
        </w:rPr>
      </w:pPr>
      <w:r w:rsidRPr="0050523A">
        <w:rPr>
          <w:rFonts w:cs="Arial"/>
          <w:b/>
          <w:bCs/>
          <w:sz w:val="20"/>
          <w:szCs w:val="20"/>
          <w:lang w:eastAsia="cs-CZ"/>
        </w:rPr>
        <w:t>STANOVISKO K PLNĚNÍ:</w:t>
      </w:r>
      <w:r w:rsidRPr="0050523A">
        <w:rPr>
          <w:rFonts w:cs="Arial"/>
          <w:b/>
          <w:sz w:val="20"/>
          <w:szCs w:val="20"/>
        </w:rPr>
        <w:t xml:space="preserve"> Plněno.</w:t>
      </w:r>
    </w:p>
    <w:p w14:paraId="530E8B23" w14:textId="7513F4D7" w:rsidR="00B578A9" w:rsidRDefault="00B578A9" w:rsidP="00F547D1">
      <w:pPr>
        <w:keepNext/>
        <w:tabs>
          <w:tab w:val="left" w:pos="720"/>
        </w:tabs>
        <w:rPr>
          <w:rFonts w:cs="Arial"/>
          <w:b/>
          <w:bCs/>
          <w:sz w:val="20"/>
          <w:szCs w:val="20"/>
          <w:lang w:eastAsia="cs-CZ"/>
        </w:rPr>
      </w:pPr>
    </w:p>
    <w:p w14:paraId="226B7B68" w14:textId="1145BB28" w:rsidR="00B578A9" w:rsidRPr="003F3032" w:rsidRDefault="00B578A9" w:rsidP="00B578A9">
      <w:pPr>
        <w:keepNext/>
        <w:tabs>
          <w:tab w:val="left" w:pos="720"/>
        </w:tabs>
        <w:rPr>
          <w:rFonts w:cs="Arial"/>
          <w:b/>
          <w:bCs/>
          <w:sz w:val="20"/>
          <w:szCs w:val="20"/>
          <w:lang w:eastAsia="cs-CZ"/>
        </w:rPr>
      </w:pPr>
      <w:r w:rsidRPr="003F3032">
        <w:rPr>
          <w:rFonts w:cs="Arial"/>
          <w:b/>
          <w:bCs/>
          <w:sz w:val="20"/>
          <w:szCs w:val="20"/>
          <w:lang w:eastAsia="cs-CZ"/>
        </w:rPr>
        <w:t>PLNĚNÍ MPSV:</w:t>
      </w:r>
    </w:p>
    <w:p w14:paraId="3B29B8AF" w14:textId="22A3A74D" w:rsidR="00B05087" w:rsidRPr="003F3032" w:rsidRDefault="00B05087" w:rsidP="00B05087">
      <w:pPr>
        <w:rPr>
          <w:rFonts w:cs="Arial"/>
          <w:sz w:val="20"/>
          <w:szCs w:val="20"/>
        </w:rPr>
      </w:pPr>
      <w:r w:rsidRPr="003F3032">
        <w:rPr>
          <w:rFonts w:cs="Arial"/>
          <w:sz w:val="20"/>
          <w:szCs w:val="20"/>
        </w:rPr>
        <w:t>Zakládání multidisciplinárních týmů je v kompetenci MZ, MPSV spolupracuje s MZ na nastavování těchto týmů a vytváření metodik pro jejich činnost.</w:t>
      </w:r>
    </w:p>
    <w:p w14:paraId="106A1B40" w14:textId="15F1E92B" w:rsidR="00B578A9" w:rsidRPr="003F3032" w:rsidRDefault="00B578A9" w:rsidP="00B578A9">
      <w:pPr>
        <w:keepNext/>
        <w:tabs>
          <w:tab w:val="left" w:pos="720"/>
        </w:tabs>
        <w:rPr>
          <w:rFonts w:cs="Arial"/>
          <w:b/>
          <w:bCs/>
          <w:sz w:val="20"/>
          <w:szCs w:val="20"/>
          <w:lang w:eastAsia="cs-CZ"/>
        </w:rPr>
      </w:pPr>
      <w:r w:rsidRPr="003F3032">
        <w:rPr>
          <w:rFonts w:cs="Arial"/>
          <w:b/>
          <w:bCs/>
          <w:sz w:val="20"/>
          <w:szCs w:val="20"/>
          <w:lang w:eastAsia="cs-CZ"/>
        </w:rPr>
        <w:t>STANOVISKO K PLNĚNÍ: Plněno.</w:t>
      </w:r>
    </w:p>
    <w:p w14:paraId="7C8ADF00" w14:textId="71EA8DFB" w:rsidR="00B578A9" w:rsidRDefault="00B578A9" w:rsidP="00B578A9">
      <w:pPr>
        <w:keepNext/>
        <w:tabs>
          <w:tab w:val="left" w:pos="720"/>
        </w:tabs>
        <w:rPr>
          <w:rFonts w:cs="Arial"/>
          <w:b/>
          <w:bCs/>
          <w:sz w:val="20"/>
          <w:szCs w:val="20"/>
          <w:lang w:eastAsia="cs-CZ"/>
        </w:rPr>
      </w:pPr>
    </w:p>
    <w:p w14:paraId="206F2D7D" w14:textId="77777777" w:rsidR="00B578A9" w:rsidRPr="002C5BC4" w:rsidRDefault="00B578A9" w:rsidP="00B578A9">
      <w:pPr>
        <w:tabs>
          <w:tab w:val="left" w:pos="720"/>
        </w:tabs>
        <w:rPr>
          <w:rFonts w:cs="Arial"/>
          <w:b/>
          <w:bCs/>
          <w:sz w:val="20"/>
          <w:szCs w:val="20"/>
          <w:lang w:eastAsia="cs-CZ"/>
        </w:rPr>
      </w:pPr>
      <w:r w:rsidRPr="002C5BC4">
        <w:rPr>
          <w:rFonts w:cs="Arial"/>
          <w:b/>
          <w:bCs/>
          <w:sz w:val="20"/>
          <w:szCs w:val="20"/>
          <w:lang w:eastAsia="cs-CZ"/>
        </w:rPr>
        <w:t>PLNĚNÍ MŠMT:</w:t>
      </w:r>
    </w:p>
    <w:p w14:paraId="08F6592A" w14:textId="0942F1CC" w:rsidR="002C5BC4" w:rsidRPr="002C5BC4" w:rsidRDefault="002C5BC4" w:rsidP="002C5BC4">
      <w:pPr>
        <w:rPr>
          <w:rFonts w:ascii="Calibri" w:hAnsi="Calibri"/>
          <w:sz w:val="20"/>
          <w:szCs w:val="20"/>
        </w:rPr>
      </w:pPr>
      <w:r w:rsidRPr="002C5BC4">
        <w:rPr>
          <w:sz w:val="20"/>
          <w:szCs w:val="20"/>
        </w:rPr>
        <w:t xml:space="preserve">MŠMT je členem Národní rady duševního zdraví a spolupracuje s Ministerstvem zdravotnictví na plnění Národního akčního plánu pro duševní zdraví </w:t>
      </w:r>
      <w:r w:rsidRPr="00F42A6A">
        <w:rPr>
          <w:sz w:val="20"/>
          <w:szCs w:val="20"/>
        </w:rPr>
        <w:t>pro období 2020 – 2023. Opatření je</w:t>
      </w:r>
      <w:r w:rsidRPr="002C5BC4">
        <w:rPr>
          <w:sz w:val="20"/>
          <w:szCs w:val="20"/>
        </w:rPr>
        <w:t xml:space="preserve"> primárně v gesci MZ a MŠMT připravuje doplnění tohoto systému o multidisciplinární týmy dětského duševního zdraví, které budou zřízeny na území celé ČR a ukotveny pod středisky výchovné péče. </w:t>
      </w:r>
    </w:p>
    <w:p w14:paraId="6430EA93" w14:textId="77777777" w:rsidR="00B578A9" w:rsidRPr="002C5BC4" w:rsidRDefault="00B578A9" w:rsidP="00B578A9">
      <w:pPr>
        <w:keepNext/>
        <w:tabs>
          <w:tab w:val="left" w:pos="720"/>
        </w:tabs>
        <w:rPr>
          <w:rFonts w:cs="Arial"/>
          <w:b/>
          <w:bCs/>
          <w:sz w:val="20"/>
          <w:szCs w:val="20"/>
          <w:lang w:eastAsia="cs-CZ"/>
        </w:rPr>
      </w:pPr>
      <w:r w:rsidRPr="002C5BC4">
        <w:rPr>
          <w:rFonts w:cs="Arial"/>
          <w:b/>
          <w:bCs/>
          <w:sz w:val="20"/>
          <w:szCs w:val="20"/>
          <w:lang w:eastAsia="cs-CZ"/>
        </w:rPr>
        <w:t>STANOVISKO K PLNĚNÍ: Plněno.</w:t>
      </w:r>
    </w:p>
    <w:p w14:paraId="47662A04" w14:textId="61AFDBD0" w:rsidR="002708FC" w:rsidRPr="00E32148" w:rsidRDefault="002708FC" w:rsidP="00F071CC">
      <w:pPr>
        <w:rPr>
          <w:rFonts w:cs="Arial"/>
          <w:sz w:val="20"/>
          <w:szCs w:val="20"/>
        </w:rPr>
      </w:pPr>
    </w:p>
    <w:p w14:paraId="5ACE5B50" w14:textId="57E5713B" w:rsidR="00F17E74" w:rsidRPr="005C627B" w:rsidRDefault="00544214" w:rsidP="00F071CC">
      <w:pPr>
        <w:pStyle w:val="Nadpis2"/>
        <w:numPr>
          <w:ilvl w:val="0"/>
          <w:numId w:val="0"/>
        </w:numPr>
        <w:spacing w:before="0" w:after="120"/>
        <w:ind w:left="576" w:hanging="576"/>
      </w:pPr>
      <w:bookmarkStart w:id="40" w:name="_Toc38548795"/>
      <w:bookmarkStart w:id="41" w:name="_Toc38828892"/>
      <w:bookmarkStart w:id="42" w:name="_Toc101957898"/>
      <w:r w:rsidRPr="001A5E6F">
        <w:t xml:space="preserve">Oblast č. </w:t>
      </w:r>
      <w:r w:rsidR="00891A85" w:rsidRPr="001A5E6F">
        <w:t>10</w:t>
      </w:r>
      <w:r w:rsidR="00B345A2" w:rsidRPr="001A5E6F">
        <w:t>:</w:t>
      </w:r>
      <w:r w:rsidRPr="001A5E6F">
        <w:t xml:space="preserve"> </w:t>
      </w:r>
      <w:r w:rsidR="00F17E74" w:rsidRPr="001A5E6F">
        <w:t>Rehabilitace</w:t>
      </w:r>
      <w:bookmarkEnd w:id="40"/>
      <w:bookmarkEnd w:id="41"/>
      <w:bookmarkEnd w:id="42"/>
    </w:p>
    <w:p w14:paraId="301BDED6" w14:textId="539218B0" w:rsidR="00CF6AAB" w:rsidRPr="005A3553" w:rsidRDefault="005A3553" w:rsidP="002C585F">
      <w:pPr>
        <w:rPr>
          <w:rFonts w:cs="Arial"/>
          <w:sz w:val="20"/>
          <w:szCs w:val="20"/>
        </w:rPr>
      </w:pPr>
      <w:r w:rsidRPr="005A3553">
        <w:rPr>
          <w:rFonts w:cs="Arial"/>
          <w:sz w:val="20"/>
          <w:szCs w:val="20"/>
        </w:rPr>
        <w:t>J</w:t>
      </w:r>
      <w:r w:rsidR="00F17E74" w:rsidRPr="005A3553">
        <w:rPr>
          <w:rFonts w:cs="Arial"/>
          <w:sz w:val="20"/>
          <w:szCs w:val="20"/>
        </w:rPr>
        <w:t>e nezbytné přijmout taková opatření, která umožní osobám se zd</w:t>
      </w:r>
      <w:r w:rsidR="00AA7E68">
        <w:rPr>
          <w:rFonts w:cs="Arial"/>
          <w:sz w:val="20"/>
          <w:szCs w:val="20"/>
        </w:rPr>
        <w:t>ravotním postižením dosáhnout a </w:t>
      </w:r>
      <w:r w:rsidR="00F17E74" w:rsidRPr="005A3553">
        <w:rPr>
          <w:rFonts w:cs="Arial"/>
          <w:sz w:val="20"/>
          <w:szCs w:val="20"/>
        </w:rPr>
        <w:t>udržet si co nejvyšší úroveň samostatnosti, uplatnit své schopnosti a plnohodnotně se zapojit do života společnosti. K tomuto účelu mají sloužit komplexní rehabilitační služby a programy především v oblasti zdravotní péče, zaměstnanosti, vzdělávání a sociálních služeb.</w:t>
      </w:r>
    </w:p>
    <w:p w14:paraId="38408FB5" w14:textId="3663D7A3" w:rsidR="00CF6AAB" w:rsidRPr="005A3553" w:rsidRDefault="00F17E74" w:rsidP="002C585F">
      <w:pPr>
        <w:rPr>
          <w:rFonts w:cs="Arial"/>
          <w:sz w:val="20"/>
          <w:szCs w:val="20"/>
        </w:rPr>
      </w:pPr>
      <w:r w:rsidRPr="005A3553">
        <w:rPr>
          <w:rFonts w:cs="Arial"/>
          <w:sz w:val="20"/>
          <w:szCs w:val="20"/>
        </w:rPr>
        <w:t>Rehabilitace je multidisciplinární obor zabývající se odstraňováním či snižováním progrese nemoci nebo následků úrazu a zmírňováním jejich důsledků prostřednictvím syste</w:t>
      </w:r>
      <w:r w:rsidR="00AA7E68">
        <w:rPr>
          <w:rFonts w:cs="Arial"/>
          <w:sz w:val="20"/>
          <w:szCs w:val="20"/>
        </w:rPr>
        <w:t>matického, propojeného a </w:t>
      </w:r>
      <w:r w:rsidRPr="005A3553">
        <w:rPr>
          <w:rFonts w:cs="Arial"/>
          <w:sz w:val="20"/>
          <w:szCs w:val="20"/>
        </w:rPr>
        <w:t>koordinovaného plánování a řízení zdravotnických, sociálních, pracovních, výchovně-vzdělávacích, technologických a dalších nástrojů. Rehabilitace prováděná komplexním způsobem má za cíl nabývání schopností a dovedností v přirozeném prostředí vedoucí k</w:t>
      </w:r>
      <w:r w:rsidR="00AA7E68">
        <w:rPr>
          <w:rFonts w:cs="Arial"/>
          <w:sz w:val="20"/>
          <w:szCs w:val="20"/>
        </w:rPr>
        <w:t>e zvládání každodenních úkonů a </w:t>
      </w:r>
      <w:r w:rsidRPr="005A3553">
        <w:rPr>
          <w:rFonts w:cs="Arial"/>
          <w:sz w:val="20"/>
          <w:szCs w:val="20"/>
        </w:rPr>
        <w:t>k návratu k důstojnému a aktivnímu životu.</w:t>
      </w:r>
    </w:p>
    <w:p w14:paraId="1FD5F609" w14:textId="3114D10E" w:rsidR="00CF6AAB" w:rsidRPr="005A3553" w:rsidRDefault="00F17E74" w:rsidP="002C585F">
      <w:pPr>
        <w:rPr>
          <w:rFonts w:cs="Arial"/>
          <w:sz w:val="20"/>
          <w:szCs w:val="20"/>
        </w:rPr>
      </w:pPr>
      <w:r w:rsidRPr="005A3553">
        <w:rPr>
          <w:rFonts w:cs="Arial"/>
          <w:sz w:val="20"/>
          <w:szCs w:val="20"/>
        </w:rPr>
        <w:t>K zajištění maximální efe</w:t>
      </w:r>
      <w:r w:rsidR="005A3553" w:rsidRPr="005A3553">
        <w:rPr>
          <w:rFonts w:cs="Arial"/>
          <w:sz w:val="20"/>
          <w:szCs w:val="20"/>
        </w:rPr>
        <w:t>ktivity rehabilitace je důležité</w:t>
      </w:r>
      <w:r w:rsidRPr="005A3553">
        <w:rPr>
          <w:rFonts w:cs="Arial"/>
          <w:sz w:val="20"/>
          <w:szCs w:val="20"/>
        </w:rPr>
        <w:t xml:space="preserve">, aby celý proces probíhal uceleně, tedy aby na sebe navazovaly jednotlivé složky rehabilitace (léčebné, sociální, pedagogické a pracovní). </w:t>
      </w:r>
    </w:p>
    <w:p w14:paraId="0887A672" w14:textId="5F7C90F7" w:rsidR="0072623A" w:rsidRDefault="00F17E74" w:rsidP="002C585F">
      <w:pPr>
        <w:rPr>
          <w:rFonts w:cs="Arial"/>
          <w:sz w:val="20"/>
          <w:szCs w:val="20"/>
        </w:rPr>
      </w:pPr>
      <w:r w:rsidRPr="005A3553">
        <w:rPr>
          <w:rFonts w:cs="Arial"/>
          <w:sz w:val="20"/>
          <w:szCs w:val="20"/>
        </w:rPr>
        <w:t xml:space="preserve">I přesto, že se jednotlivé oblasti rehabilitace neustále rozvíjí, není stále dostatečně upravena jejich vzájemná návaznost a koordinace. Je proto potřebné nalézt v této oblasti mezi zainteresovanými </w:t>
      </w:r>
      <w:r w:rsidR="00CF6AAB" w:rsidRPr="005A3553">
        <w:rPr>
          <w:rFonts w:cs="Arial"/>
          <w:sz w:val="20"/>
          <w:szCs w:val="20"/>
        </w:rPr>
        <w:t xml:space="preserve">resorty </w:t>
      </w:r>
      <w:r w:rsidRPr="005A3553">
        <w:rPr>
          <w:rFonts w:cs="Arial"/>
          <w:sz w:val="20"/>
          <w:szCs w:val="20"/>
        </w:rPr>
        <w:t xml:space="preserve">shodu a nastavit systém koordinace rehabilitace tak, aby </w:t>
      </w:r>
      <w:r w:rsidR="002C585F" w:rsidRPr="005A3553">
        <w:rPr>
          <w:rFonts w:cs="Arial"/>
          <w:sz w:val="20"/>
          <w:szCs w:val="20"/>
        </w:rPr>
        <w:t>osobám se zdravotním postižením</w:t>
      </w:r>
      <w:r w:rsidRPr="005A3553">
        <w:rPr>
          <w:rFonts w:cs="Arial"/>
          <w:sz w:val="20"/>
          <w:szCs w:val="20"/>
        </w:rPr>
        <w:t xml:space="preserve"> byla zajištěna nejen kvalitnější péče a podpora v rámci jednotlivých složek rehabilitace, ale aby bylo poskytování těchto služeb </w:t>
      </w:r>
      <w:r w:rsidR="001F4FB3" w:rsidRPr="005A3553">
        <w:rPr>
          <w:rFonts w:cs="Arial"/>
          <w:sz w:val="20"/>
          <w:szCs w:val="20"/>
        </w:rPr>
        <w:t xml:space="preserve">také </w:t>
      </w:r>
      <w:r w:rsidRPr="005A3553">
        <w:rPr>
          <w:rFonts w:cs="Arial"/>
          <w:sz w:val="20"/>
          <w:szCs w:val="20"/>
        </w:rPr>
        <w:t>propojené a koordinované.</w:t>
      </w:r>
    </w:p>
    <w:p w14:paraId="584CCB55" w14:textId="77777777" w:rsidR="0045656D" w:rsidRPr="00490461" w:rsidRDefault="0045656D" w:rsidP="00490461">
      <w:pPr>
        <w:rPr>
          <w:rFonts w:cs="Arial"/>
          <w:sz w:val="20"/>
          <w:szCs w:val="20"/>
        </w:rPr>
      </w:pPr>
    </w:p>
    <w:p w14:paraId="730920E3" w14:textId="77777777" w:rsidR="00F17E74" w:rsidRPr="0057756D" w:rsidRDefault="00F17E74" w:rsidP="002C585F">
      <w:pPr>
        <w:rPr>
          <w:rFonts w:cs="Arial"/>
          <w:b/>
          <w:bCs/>
          <w:szCs w:val="20"/>
        </w:rPr>
      </w:pPr>
      <w:r>
        <w:rPr>
          <w:rFonts w:cs="Arial"/>
          <w:b/>
          <w:bCs/>
          <w:szCs w:val="20"/>
        </w:rPr>
        <w:lastRenderedPageBreak/>
        <w:t xml:space="preserve">10.2 </w:t>
      </w:r>
      <w:r w:rsidRPr="0057756D">
        <w:rPr>
          <w:rFonts w:cs="Arial"/>
          <w:b/>
          <w:bCs/>
          <w:szCs w:val="20"/>
        </w:rPr>
        <w:t xml:space="preserve">Cíl: </w:t>
      </w:r>
      <w:r w:rsidRPr="002D3B01">
        <w:rPr>
          <w:rFonts w:eastAsia="Calibri" w:cs="Arial"/>
          <w:b/>
          <w:bCs/>
          <w:szCs w:val="20"/>
        </w:rPr>
        <w:t>Rozvoj</w:t>
      </w:r>
      <w:r w:rsidRPr="0057756D">
        <w:rPr>
          <w:rFonts w:cs="Arial"/>
          <w:b/>
          <w:bCs/>
          <w:szCs w:val="20"/>
        </w:rPr>
        <w:t xml:space="preserve"> rehabilitačních služeb.</w:t>
      </w:r>
    </w:p>
    <w:p w14:paraId="62751EB2" w14:textId="48B17BCD" w:rsidR="00F17E74" w:rsidRPr="0057756D" w:rsidRDefault="00F17E74" w:rsidP="00F17E74">
      <w:pPr>
        <w:rPr>
          <w:rFonts w:cs="Arial"/>
          <w:szCs w:val="20"/>
        </w:rPr>
      </w:pPr>
      <w:r w:rsidRPr="0035060D">
        <w:rPr>
          <w:rFonts w:cs="Arial"/>
          <w:bCs/>
          <w:szCs w:val="20"/>
        </w:rPr>
        <w:t xml:space="preserve">Opatření </w:t>
      </w:r>
      <w:r>
        <w:rPr>
          <w:rFonts w:cs="Arial"/>
          <w:bCs/>
          <w:szCs w:val="20"/>
        </w:rPr>
        <w:t>10</w:t>
      </w:r>
      <w:r>
        <w:rPr>
          <w:rFonts w:cs="Arial"/>
          <w:szCs w:val="20"/>
        </w:rPr>
        <w:t xml:space="preserve">.2.1 </w:t>
      </w:r>
      <w:r w:rsidRPr="0057756D">
        <w:rPr>
          <w:rFonts w:cs="Arial"/>
          <w:szCs w:val="20"/>
        </w:rPr>
        <w:t>Rozvíjet oblast léčebné rehabilitace osob se zdravotním postižením a</w:t>
      </w:r>
      <w:r w:rsidR="002F5146">
        <w:rPr>
          <w:rFonts w:cs="Arial"/>
          <w:szCs w:val="20"/>
        </w:rPr>
        <w:t> </w:t>
      </w:r>
      <w:r w:rsidRPr="0057756D">
        <w:rPr>
          <w:rFonts w:cs="Arial"/>
          <w:szCs w:val="20"/>
        </w:rPr>
        <w:t>vytvářet podmínky pro lepší součinnost s o</w:t>
      </w:r>
      <w:r w:rsidR="00A15A50">
        <w:rPr>
          <w:rFonts w:cs="Arial"/>
          <w:szCs w:val="20"/>
        </w:rPr>
        <w:t>statními oblastmi rehabilitace.</w:t>
      </w:r>
    </w:p>
    <w:p w14:paraId="42278B00" w14:textId="49A96C62" w:rsidR="00F17E74" w:rsidRPr="0057756D" w:rsidRDefault="00A15A50" w:rsidP="00F17E74">
      <w:pPr>
        <w:rPr>
          <w:rFonts w:cs="Arial"/>
          <w:szCs w:val="20"/>
        </w:rPr>
      </w:pPr>
      <w:r>
        <w:rPr>
          <w:rFonts w:cs="Arial"/>
          <w:szCs w:val="20"/>
        </w:rPr>
        <w:t>Termín: průběžně</w:t>
      </w:r>
    </w:p>
    <w:p w14:paraId="020C4DE7" w14:textId="77777777" w:rsidR="00F17E74" w:rsidRPr="0057756D" w:rsidRDefault="00F17E74" w:rsidP="00F17E74">
      <w:pPr>
        <w:rPr>
          <w:rFonts w:cs="Arial"/>
          <w:szCs w:val="20"/>
        </w:rPr>
      </w:pPr>
      <w:r w:rsidRPr="0057756D">
        <w:rPr>
          <w:rFonts w:cs="Arial"/>
          <w:szCs w:val="20"/>
        </w:rPr>
        <w:t>Gestor: MZ</w:t>
      </w:r>
    </w:p>
    <w:p w14:paraId="2D1554A9" w14:textId="08EDB15D" w:rsidR="00F17E74" w:rsidRDefault="00F17E74" w:rsidP="004D4AB9">
      <w:pPr>
        <w:rPr>
          <w:rFonts w:cs="Arial"/>
          <w:szCs w:val="20"/>
        </w:rPr>
      </w:pPr>
      <w:r w:rsidRPr="00831152">
        <w:rPr>
          <w:rFonts w:cs="Arial"/>
          <w:szCs w:val="20"/>
        </w:rPr>
        <w:t>Indikátor:</w:t>
      </w:r>
      <w:r>
        <w:rPr>
          <w:rFonts w:cs="Arial"/>
          <w:szCs w:val="20"/>
        </w:rPr>
        <w:t xml:space="preserve"> Byla podána informace o rozvoji oblasti léčebné rehabilitace </w:t>
      </w:r>
      <w:r w:rsidRPr="0057756D">
        <w:rPr>
          <w:rFonts w:cs="Arial"/>
          <w:szCs w:val="20"/>
        </w:rPr>
        <w:t>osob se zdravotním postižením</w:t>
      </w:r>
      <w:r>
        <w:rPr>
          <w:rFonts w:cs="Arial"/>
          <w:szCs w:val="20"/>
        </w:rPr>
        <w:t xml:space="preserve"> a opatřeních přijatých k zajištění </w:t>
      </w:r>
      <w:r w:rsidRPr="0057756D">
        <w:rPr>
          <w:rFonts w:cs="Arial"/>
          <w:szCs w:val="20"/>
        </w:rPr>
        <w:t>lepší součinnost</w:t>
      </w:r>
      <w:r>
        <w:rPr>
          <w:rFonts w:cs="Arial"/>
          <w:szCs w:val="20"/>
        </w:rPr>
        <w:t>i</w:t>
      </w:r>
      <w:r w:rsidRPr="0057756D">
        <w:rPr>
          <w:rFonts w:cs="Arial"/>
          <w:szCs w:val="20"/>
        </w:rPr>
        <w:t xml:space="preserve"> s ostatními oblastmi rehabilitace.</w:t>
      </w:r>
    </w:p>
    <w:p w14:paraId="21BA0193" w14:textId="77777777" w:rsidR="004D4AB9" w:rsidRPr="00433DBC" w:rsidRDefault="004D4AB9" w:rsidP="00433DBC">
      <w:pPr>
        <w:rPr>
          <w:rFonts w:cs="Arial"/>
          <w:sz w:val="20"/>
          <w:szCs w:val="20"/>
        </w:rPr>
      </w:pPr>
    </w:p>
    <w:p w14:paraId="56F2D288" w14:textId="583F74CC" w:rsidR="00784AA1" w:rsidRDefault="00784AA1" w:rsidP="00433DBC">
      <w:pPr>
        <w:tabs>
          <w:tab w:val="left" w:pos="720"/>
        </w:tabs>
        <w:rPr>
          <w:rFonts w:cs="Arial"/>
          <w:b/>
          <w:bCs/>
          <w:sz w:val="20"/>
          <w:szCs w:val="20"/>
          <w:lang w:eastAsia="cs-CZ"/>
        </w:rPr>
      </w:pPr>
      <w:r w:rsidRPr="00433DBC">
        <w:rPr>
          <w:rFonts w:cs="Arial"/>
          <w:b/>
          <w:bCs/>
          <w:sz w:val="20"/>
          <w:szCs w:val="20"/>
          <w:lang w:eastAsia="cs-CZ"/>
        </w:rPr>
        <w:t>PLNĚNÍ MZ:</w:t>
      </w:r>
    </w:p>
    <w:p w14:paraId="1925256F" w14:textId="77777777" w:rsidR="001D3B39" w:rsidRPr="00903D9F" w:rsidRDefault="001D3B39" w:rsidP="001D3B39">
      <w:pPr>
        <w:rPr>
          <w:rFonts w:ascii="Calibri" w:hAnsi="Calibri"/>
          <w:bCs/>
          <w:sz w:val="20"/>
          <w:szCs w:val="20"/>
        </w:rPr>
      </w:pPr>
      <w:r w:rsidRPr="00903D9F">
        <w:rPr>
          <w:bCs/>
          <w:sz w:val="20"/>
          <w:szCs w:val="20"/>
        </w:rPr>
        <w:t>Aktivity MZ na podporu rehabilitační péče:</w:t>
      </w:r>
    </w:p>
    <w:p w14:paraId="157671F1" w14:textId="47CFEFF1" w:rsidR="001D3B39" w:rsidRPr="00624DF0" w:rsidRDefault="001D3B39" w:rsidP="008263CB">
      <w:pPr>
        <w:pStyle w:val="Odstavecseseznamem"/>
        <w:numPr>
          <w:ilvl w:val="0"/>
          <w:numId w:val="46"/>
        </w:numPr>
        <w:contextualSpacing w:val="0"/>
        <w:rPr>
          <w:rFonts w:eastAsia="Times New Roman"/>
          <w:sz w:val="20"/>
          <w:szCs w:val="20"/>
        </w:rPr>
      </w:pPr>
      <w:r w:rsidRPr="00624DF0">
        <w:rPr>
          <w:rFonts w:eastAsia="Times New Roman"/>
          <w:sz w:val="20"/>
          <w:szCs w:val="20"/>
        </w:rPr>
        <w:t xml:space="preserve">IROP II – Integrovaný regionální operační program 2021-2027, 31. a 32. VÝZVA  </w:t>
      </w:r>
      <w:r w:rsidRPr="00624DF0">
        <w:rPr>
          <w:sz w:val="20"/>
          <w:szCs w:val="20"/>
        </w:rPr>
        <w:t xml:space="preserve">(podpora rozvoje a dostupnosti zdravotní následné péče) </w:t>
      </w:r>
    </w:p>
    <w:p w14:paraId="7BFDD794" w14:textId="77777777" w:rsidR="001D3B39" w:rsidRPr="001D3B39" w:rsidRDefault="001D3B39" w:rsidP="001D3B39">
      <w:pPr>
        <w:rPr>
          <w:sz w:val="20"/>
          <w:szCs w:val="20"/>
        </w:rPr>
      </w:pPr>
      <w:r w:rsidRPr="001D3B39">
        <w:rPr>
          <w:sz w:val="20"/>
          <w:szCs w:val="20"/>
        </w:rPr>
        <w:t xml:space="preserve">– v této výzvě podporována i rehabilitační následná péče v rámci vykazovaného ošetřovacího dne </w:t>
      </w:r>
      <w:r w:rsidRPr="001D3B39">
        <w:rPr>
          <w:rFonts w:cstheme="minorHAnsi"/>
          <w:sz w:val="20"/>
          <w:szCs w:val="20"/>
        </w:rPr>
        <w:t>00022</w:t>
      </w:r>
    </w:p>
    <w:p w14:paraId="54444F56" w14:textId="77777777" w:rsidR="001D3B39" w:rsidRPr="001D3B39" w:rsidRDefault="001D3B39" w:rsidP="001D3B39">
      <w:pPr>
        <w:rPr>
          <w:sz w:val="20"/>
          <w:szCs w:val="20"/>
        </w:rPr>
      </w:pPr>
      <w:r w:rsidRPr="001D3B39">
        <w:rPr>
          <w:sz w:val="20"/>
          <w:szCs w:val="20"/>
        </w:rPr>
        <w:t xml:space="preserve">Program je rozdělen na 2 aktivity A + B </w:t>
      </w:r>
    </w:p>
    <w:p w14:paraId="5BA478C6" w14:textId="77777777" w:rsidR="001D3B39" w:rsidRPr="00624DF0" w:rsidRDefault="001D3B39" w:rsidP="001D3B39">
      <w:pPr>
        <w:rPr>
          <w:sz w:val="20"/>
          <w:szCs w:val="20"/>
        </w:rPr>
      </w:pPr>
      <w:r w:rsidRPr="001D3B39">
        <w:rPr>
          <w:sz w:val="20"/>
          <w:szCs w:val="20"/>
        </w:rPr>
        <w:t>•  </w:t>
      </w:r>
      <w:r w:rsidRPr="00624DF0">
        <w:rPr>
          <w:sz w:val="20"/>
          <w:szCs w:val="20"/>
        </w:rPr>
        <w:t>Aktivita A („rozvoj stávajících poskytovaných zdravotních služeb“)</w:t>
      </w:r>
    </w:p>
    <w:p w14:paraId="4FBA184C" w14:textId="77777777" w:rsidR="001D3B39" w:rsidRPr="001D3B39" w:rsidRDefault="001D3B39" w:rsidP="001D3B39">
      <w:pPr>
        <w:rPr>
          <w:sz w:val="20"/>
          <w:szCs w:val="20"/>
        </w:rPr>
      </w:pPr>
      <w:r w:rsidRPr="001D3B39">
        <w:rPr>
          <w:sz w:val="20"/>
          <w:szCs w:val="20"/>
        </w:rPr>
        <w:t>Zvýšení kvality a rozšíření spektra poskytované následné lůžkové péče prostřednictvím podpory modernizace a rekonstrukce lůžkových oddělení poskytujících následnou péči</w:t>
      </w:r>
    </w:p>
    <w:p w14:paraId="314309AE" w14:textId="77777777" w:rsidR="001D3B39" w:rsidRPr="001D3B39" w:rsidRDefault="001D3B39" w:rsidP="001D3B39">
      <w:pPr>
        <w:rPr>
          <w:sz w:val="20"/>
          <w:szCs w:val="20"/>
        </w:rPr>
      </w:pPr>
      <w:r w:rsidRPr="001D3B39">
        <w:rPr>
          <w:sz w:val="20"/>
          <w:szCs w:val="20"/>
        </w:rPr>
        <w:t>Cíle projektu</w:t>
      </w:r>
    </w:p>
    <w:p w14:paraId="73D72B87" w14:textId="77777777" w:rsidR="001D3B39" w:rsidRPr="001D3B39" w:rsidRDefault="001D3B39" w:rsidP="001D3B39">
      <w:pPr>
        <w:rPr>
          <w:sz w:val="20"/>
          <w:szCs w:val="20"/>
        </w:rPr>
      </w:pPr>
      <w:r w:rsidRPr="001D3B39">
        <w:rPr>
          <w:sz w:val="20"/>
          <w:szCs w:val="20"/>
        </w:rPr>
        <w:t>-             Zvýšení kvality poskytované péče</w:t>
      </w:r>
    </w:p>
    <w:p w14:paraId="20ADD9A6" w14:textId="77777777" w:rsidR="001D3B39" w:rsidRPr="001D3B39" w:rsidRDefault="001D3B39" w:rsidP="001D3B39">
      <w:pPr>
        <w:rPr>
          <w:sz w:val="20"/>
          <w:szCs w:val="20"/>
        </w:rPr>
      </w:pPr>
      <w:r w:rsidRPr="001D3B39">
        <w:rPr>
          <w:sz w:val="20"/>
          <w:szCs w:val="20"/>
        </w:rPr>
        <w:t>-             Zvýšení přístupnosti a rozšíření spektra poskytované péče</w:t>
      </w:r>
    </w:p>
    <w:p w14:paraId="7645FC15" w14:textId="3D65C58B" w:rsidR="001D3B39" w:rsidRPr="001D3B39" w:rsidRDefault="001D3B39" w:rsidP="001D3B39">
      <w:pPr>
        <w:rPr>
          <w:sz w:val="20"/>
          <w:szCs w:val="20"/>
        </w:rPr>
      </w:pPr>
      <w:r w:rsidRPr="001D3B39">
        <w:rPr>
          <w:sz w:val="20"/>
          <w:szCs w:val="20"/>
        </w:rPr>
        <w:t>-             Zvýšení návaznosti péče v rámci zdravotnického systému v regionu</w:t>
      </w:r>
    </w:p>
    <w:p w14:paraId="75E49F19" w14:textId="77777777" w:rsidR="001D3B39" w:rsidRPr="00624DF0" w:rsidRDefault="001D3B39" w:rsidP="001D3B39">
      <w:pPr>
        <w:rPr>
          <w:sz w:val="20"/>
          <w:szCs w:val="20"/>
        </w:rPr>
      </w:pPr>
      <w:r w:rsidRPr="00624DF0">
        <w:rPr>
          <w:sz w:val="20"/>
          <w:szCs w:val="20"/>
        </w:rPr>
        <w:t>•  Aktivita B („restrukturalizace lůžkového fondu“)</w:t>
      </w:r>
    </w:p>
    <w:p w14:paraId="5EB86A75" w14:textId="77777777" w:rsidR="001D3B39" w:rsidRPr="001D3B39" w:rsidRDefault="001D3B39" w:rsidP="001D3B39">
      <w:pPr>
        <w:rPr>
          <w:sz w:val="20"/>
          <w:szCs w:val="20"/>
        </w:rPr>
      </w:pPr>
      <w:r w:rsidRPr="001D3B39">
        <w:rPr>
          <w:sz w:val="20"/>
          <w:szCs w:val="20"/>
        </w:rPr>
        <w:t>Zvýšení dostupnosti následné lůžkové péče v regionech s nedostatečným pokrytím, kdy jsou podporovány modernizace a rekonstrukce lůžkových oddělení, které budou nově sloužit k poskytování následné péče. Vznik lůžek bude prostřednictvím restrukturalizace současného lůžkového fondu ve prospěch následné péče.</w:t>
      </w:r>
    </w:p>
    <w:p w14:paraId="63D8E564" w14:textId="77777777" w:rsidR="001D3B39" w:rsidRPr="001D3B39" w:rsidRDefault="001D3B39" w:rsidP="001D3B39">
      <w:pPr>
        <w:rPr>
          <w:sz w:val="20"/>
          <w:szCs w:val="20"/>
        </w:rPr>
      </w:pPr>
      <w:r w:rsidRPr="001D3B39">
        <w:rPr>
          <w:sz w:val="20"/>
          <w:szCs w:val="20"/>
        </w:rPr>
        <w:t>Cíle projektu</w:t>
      </w:r>
    </w:p>
    <w:p w14:paraId="12E513D5" w14:textId="77777777" w:rsidR="001D3B39" w:rsidRPr="001D3B39" w:rsidRDefault="001D3B39" w:rsidP="001D3B39">
      <w:pPr>
        <w:rPr>
          <w:sz w:val="20"/>
          <w:szCs w:val="20"/>
        </w:rPr>
      </w:pPr>
      <w:r w:rsidRPr="001D3B39">
        <w:rPr>
          <w:sz w:val="20"/>
          <w:szCs w:val="20"/>
        </w:rPr>
        <w:t xml:space="preserve">-             Zvýšení kvality poskytované péče </w:t>
      </w:r>
    </w:p>
    <w:p w14:paraId="7936986F" w14:textId="77777777" w:rsidR="001D3B39" w:rsidRPr="001D3B39" w:rsidRDefault="001D3B39" w:rsidP="001D3B39">
      <w:pPr>
        <w:rPr>
          <w:sz w:val="20"/>
          <w:szCs w:val="20"/>
        </w:rPr>
      </w:pPr>
      <w:r w:rsidRPr="001D3B39">
        <w:rPr>
          <w:sz w:val="20"/>
          <w:szCs w:val="20"/>
        </w:rPr>
        <w:t>-             Zvýšení dostupnosti poskytované péče</w:t>
      </w:r>
    </w:p>
    <w:p w14:paraId="3C11E9DC" w14:textId="7C35F786" w:rsidR="001D3B39" w:rsidRPr="001D3B39" w:rsidRDefault="001D3B39" w:rsidP="001D3B39">
      <w:pPr>
        <w:rPr>
          <w:sz w:val="20"/>
          <w:szCs w:val="20"/>
        </w:rPr>
      </w:pPr>
      <w:r w:rsidRPr="001D3B39">
        <w:rPr>
          <w:sz w:val="20"/>
          <w:szCs w:val="20"/>
        </w:rPr>
        <w:t>-             Zvýšení návaznosti péče v rámci zdravotnického systému v regionu</w:t>
      </w:r>
    </w:p>
    <w:p w14:paraId="7EF02AC8" w14:textId="26EA0E5E" w:rsidR="001D3B39" w:rsidRPr="00624DF0" w:rsidRDefault="001D3B39" w:rsidP="008263CB">
      <w:pPr>
        <w:pStyle w:val="Odstavecseseznamem"/>
        <w:numPr>
          <w:ilvl w:val="0"/>
          <w:numId w:val="46"/>
        </w:numPr>
        <w:contextualSpacing w:val="0"/>
        <w:rPr>
          <w:rFonts w:eastAsia="Times New Roman"/>
          <w:sz w:val="20"/>
          <w:szCs w:val="20"/>
        </w:rPr>
      </w:pPr>
      <w:r w:rsidRPr="00624DF0">
        <w:rPr>
          <w:rFonts w:eastAsia="Times New Roman"/>
          <w:sz w:val="20"/>
          <w:szCs w:val="20"/>
        </w:rPr>
        <w:t>Národní plán obnovy - Podpora rehabilitační péče pro pacienty po kritických stavech – podpora sítě pracovišť komplexní rehabilitace - Výzva č. 6</w:t>
      </w:r>
    </w:p>
    <w:p w14:paraId="5EA625F4" w14:textId="77777777" w:rsidR="001D3B39" w:rsidRPr="001D3B39" w:rsidRDefault="001D3B39" w:rsidP="001D3B39">
      <w:pPr>
        <w:rPr>
          <w:sz w:val="20"/>
          <w:szCs w:val="20"/>
        </w:rPr>
      </w:pPr>
      <w:r w:rsidRPr="001D3B39">
        <w:rPr>
          <w:sz w:val="20"/>
          <w:szCs w:val="20"/>
        </w:rPr>
        <w:t>Cílem výzvy je zajistit rozvoj a dostupnost zdravotní péče pro pacienty po kritických stavech, která zahrnuje zřízení nové infrastruktury v zařízeních poskytující komplexní lůžkovou rehabilitační péči. Účelem podpory je zvýšení kvality a dostupnosti lůžkové rehabilitační péče o pacienty po kritických stavech vyžadující doléčení v lůžkovém zdravotnickém zařízení.  Pacienti po kritických stavech vyžadují speciální multidisciplinární péči zahrnující především specifické programy – kranioprogram nebo spinální program.</w:t>
      </w:r>
    </w:p>
    <w:p w14:paraId="270ADFAD" w14:textId="77777777" w:rsidR="001D3B39" w:rsidRPr="001D3B39" w:rsidRDefault="001D3B39" w:rsidP="001D3B39">
      <w:pPr>
        <w:rPr>
          <w:sz w:val="20"/>
          <w:szCs w:val="20"/>
        </w:rPr>
      </w:pPr>
      <w:r w:rsidRPr="001D3B39">
        <w:rPr>
          <w:sz w:val="20"/>
          <w:szCs w:val="20"/>
        </w:rPr>
        <w:t>Výzva je v souladu se Strategickým rámcem péče o zdraví v ČR do roku 2030 a je rozdělena na dvě aktivity:</w:t>
      </w:r>
    </w:p>
    <w:p w14:paraId="6733C81C" w14:textId="77777777" w:rsidR="001D3B39" w:rsidRPr="001D3B39" w:rsidRDefault="001D3B39" w:rsidP="001D3B39">
      <w:pPr>
        <w:rPr>
          <w:sz w:val="20"/>
          <w:szCs w:val="20"/>
          <w:u w:val="single"/>
        </w:rPr>
      </w:pPr>
      <w:r w:rsidRPr="001D3B39">
        <w:rPr>
          <w:sz w:val="20"/>
          <w:szCs w:val="20"/>
        </w:rPr>
        <w:t>•  </w:t>
      </w:r>
      <w:r w:rsidRPr="00305FE6">
        <w:rPr>
          <w:sz w:val="20"/>
          <w:szCs w:val="20"/>
        </w:rPr>
        <w:t>Aktivita A – rozvoj infrastruktury stávajících zařízení</w:t>
      </w:r>
    </w:p>
    <w:p w14:paraId="4890D953" w14:textId="77777777" w:rsidR="001D3B39" w:rsidRPr="001D3B39" w:rsidRDefault="001D3B39" w:rsidP="001D3B39">
      <w:pPr>
        <w:rPr>
          <w:sz w:val="20"/>
          <w:szCs w:val="20"/>
        </w:rPr>
      </w:pPr>
      <w:r w:rsidRPr="001D3B39">
        <w:rPr>
          <w:sz w:val="20"/>
          <w:szCs w:val="20"/>
        </w:rPr>
        <w:t>Území dopadu: ČR</w:t>
      </w:r>
    </w:p>
    <w:p w14:paraId="77EE285B" w14:textId="77777777" w:rsidR="001D3B39" w:rsidRPr="001D3B39" w:rsidRDefault="001D3B39" w:rsidP="001D3B39">
      <w:pPr>
        <w:rPr>
          <w:sz w:val="20"/>
          <w:szCs w:val="20"/>
        </w:rPr>
      </w:pPr>
      <w:r w:rsidRPr="001D3B39">
        <w:rPr>
          <w:sz w:val="20"/>
          <w:szCs w:val="20"/>
        </w:rPr>
        <w:lastRenderedPageBreak/>
        <w:t>Cíl: zvýšení kvality a dostupnosti lůžkové rehabilitační péče o pacienty po kritických stavech vyžadující doléčení v lůžkovém zdravotnickém zařízení</w:t>
      </w:r>
    </w:p>
    <w:p w14:paraId="068F17C9" w14:textId="77777777" w:rsidR="001D3B39" w:rsidRPr="001D3B39" w:rsidRDefault="001D3B39" w:rsidP="008263CB">
      <w:pPr>
        <w:pStyle w:val="Odstavecseseznamem"/>
        <w:numPr>
          <w:ilvl w:val="0"/>
          <w:numId w:val="48"/>
        </w:numPr>
        <w:rPr>
          <w:sz w:val="20"/>
          <w:szCs w:val="20"/>
        </w:rPr>
      </w:pPr>
      <w:r w:rsidRPr="001D3B39">
        <w:rPr>
          <w:sz w:val="20"/>
          <w:szCs w:val="20"/>
        </w:rPr>
        <w:t>Výstavba, rekonstrukce a úprava objektů</w:t>
      </w:r>
    </w:p>
    <w:p w14:paraId="3A901CB6" w14:textId="77777777" w:rsidR="001D3B39" w:rsidRPr="001D3B39" w:rsidRDefault="001D3B39" w:rsidP="008263CB">
      <w:pPr>
        <w:pStyle w:val="Odstavecseseznamem"/>
        <w:numPr>
          <w:ilvl w:val="0"/>
          <w:numId w:val="48"/>
        </w:numPr>
        <w:rPr>
          <w:sz w:val="20"/>
          <w:szCs w:val="20"/>
        </w:rPr>
      </w:pPr>
      <w:r w:rsidRPr="001D3B39">
        <w:rPr>
          <w:sz w:val="20"/>
          <w:szCs w:val="20"/>
        </w:rPr>
        <w:t>Pořízení a modernizace přístrojového vybavení, zdravotnických prostředků aj.</w:t>
      </w:r>
    </w:p>
    <w:p w14:paraId="45AA4FC7" w14:textId="77777777" w:rsidR="001D3B39" w:rsidRPr="001D3B39" w:rsidRDefault="001D3B39" w:rsidP="008263CB">
      <w:pPr>
        <w:pStyle w:val="Odstavecseseznamem"/>
        <w:numPr>
          <w:ilvl w:val="0"/>
          <w:numId w:val="48"/>
        </w:numPr>
        <w:rPr>
          <w:sz w:val="20"/>
          <w:szCs w:val="20"/>
        </w:rPr>
      </w:pPr>
      <w:r w:rsidRPr="001D3B39">
        <w:rPr>
          <w:sz w:val="20"/>
          <w:szCs w:val="20"/>
        </w:rPr>
        <w:t xml:space="preserve">Pořízení informačních technologií </w:t>
      </w:r>
    </w:p>
    <w:p w14:paraId="31C36115" w14:textId="77777777" w:rsidR="001D3B39" w:rsidRPr="00305FE6" w:rsidRDefault="001D3B39" w:rsidP="001D3B39">
      <w:pPr>
        <w:rPr>
          <w:sz w:val="20"/>
          <w:szCs w:val="20"/>
        </w:rPr>
      </w:pPr>
      <w:r w:rsidRPr="00305FE6">
        <w:rPr>
          <w:sz w:val="20"/>
          <w:szCs w:val="20"/>
        </w:rPr>
        <w:t xml:space="preserve">•  Aktivita B – vytvoření nového pracoviště v místě, kde tato péče chybí a je potřebná </w:t>
      </w:r>
    </w:p>
    <w:p w14:paraId="2F7029AA" w14:textId="77777777" w:rsidR="001D3B39" w:rsidRPr="001D3B39" w:rsidRDefault="001D3B39" w:rsidP="001D3B39">
      <w:pPr>
        <w:rPr>
          <w:sz w:val="20"/>
          <w:szCs w:val="20"/>
        </w:rPr>
      </w:pPr>
      <w:r w:rsidRPr="001D3B39">
        <w:rPr>
          <w:sz w:val="20"/>
          <w:szCs w:val="20"/>
        </w:rPr>
        <w:t>Území dopadu: Jihomoravský kraj, Jihočeský kraj, Plzeňský kraj a kraj Vysočina</w:t>
      </w:r>
    </w:p>
    <w:p w14:paraId="7CFB19B9" w14:textId="77777777" w:rsidR="001D3B39" w:rsidRPr="001D3B39" w:rsidRDefault="001D3B39" w:rsidP="001D3B39">
      <w:pPr>
        <w:rPr>
          <w:sz w:val="20"/>
          <w:szCs w:val="20"/>
        </w:rPr>
      </w:pPr>
      <w:r w:rsidRPr="001D3B39">
        <w:rPr>
          <w:sz w:val="20"/>
          <w:szCs w:val="20"/>
        </w:rPr>
        <w:t>Cíl: zvýšení kvality a dostupnosti lůžkové rehabilitační péče o pacienty po kritických stavech vyžadující doléčení v lůžkovém zdravotnickém zařízení ve vybraných regionech</w:t>
      </w:r>
    </w:p>
    <w:p w14:paraId="4816CC89" w14:textId="77777777" w:rsidR="001D3B39" w:rsidRPr="001D3B39" w:rsidRDefault="001D3B39" w:rsidP="008263CB">
      <w:pPr>
        <w:pStyle w:val="Odstavecseseznamem"/>
        <w:numPr>
          <w:ilvl w:val="0"/>
          <w:numId w:val="49"/>
        </w:numPr>
        <w:rPr>
          <w:sz w:val="20"/>
          <w:szCs w:val="20"/>
        </w:rPr>
      </w:pPr>
      <w:r w:rsidRPr="001D3B39">
        <w:rPr>
          <w:sz w:val="20"/>
          <w:szCs w:val="20"/>
        </w:rPr>
        <w:t>Výstavba objektů</w:t>
      </w:r>
    </w:p>
    <w:p w14:paraId="2DB18733" w14:textId="77777777" w:rsidR="001D3B39" w:rsidRPr="001D3B39" w:rsidRDefault="001D3B39" w:rsidP="008263CB">
      <w:pPr>
        <w:pStyle w:val="Odstavecseseznamem"/>
        <w:numPr>
          <w:ilvl w:val="0"/>
          <w:numId w:val="49"/>
        </w:numPr>
        <w:rPr>
          <w:sz w:val="20"/>
          <w:szCs w:val="20"/>
        </w:rPr>
      </w:pPr>
      <w:r w:rsidRPr="001D3B39">
        <w:rPr>
          <w:sz w:val="20"/>
          <w:szCs w:val="20"/>
        </w:rPr>
        <w:t>Pořízení přístrojového vybavení, zdravotnických prostředků aj.</w:t>
      </w:r>
    </w:p>
    <w:p w14:paraId="0E9C8ACB" w14:textId="77777777" w:rsidR="001D3B39" w:rsidRPr="001D3B39" w:rsidRDefault="001D3B39" w:rsidP="008263CB">
      <w:pPr>
        <w:pStyle w:val="Odstavecseseznamem"/>
        <w:numPr>
          <w:ilvl w:val="0"/>
          <w:numId w:val="49"/>
        </w:numPr>
        <w:rPr>
          <w:sz w:val="20"/>
          <w:szCs w:val="20"/>
        </w:rPr>
      </w:pPr>
      <w:r w:rsidRPr="001D3B39">
        <w:rPr>
          <w:sz w:val="20"/>
          <w:szCs w:val="20"/>
        </w:rPr>
        <w:t>Pořízení technického vybavení budovy</w:t>
      </w:r>
    </w:p>
    <w:p w14:paraId="6282A999" w14:textId="5868AA17" w:rsidR="001D3B39" w:rsidRPr="001D3B39" w:rsidRDefault="001D3B39" w:rsidP="008263CB">
      <w:pPr>
        <w:pStyle w:val="Odstavecseseznamem"/>
        <w:numPr>
          <w:ilvl w:val="0"/>
          <w:numId w:val="49"/>
        </w:numPr>
        <w:rPr>
          <w:sz w:val="20"/>
          <w:szCs w:val="20"/>
        </w:rPr>
      </w:pPr>
      <w:r w:rsidRPr="001D3B39">
        <w:rPr>
          <w:sz w:val="20"/>
          <w:szCs w:val="20"/>
        </w:rPr>
        <w:t>Pořízení informačních technologií</w:t>
      </w:r>
    </w:p>
    <w:p w14:paraId="49B14E4A" w14:textId="77777777" w:rsidR="001D3B39" w:rsidRPr="001D3B39" w:rsidRDefault="001D3B39" w:rsidP="008263CB">
      <w:pPr>
        <w:pStyle w:val="Odstavecseseznamem"/>
        <w:numPr>
          <w:ilvl w:val="0"/>
          <w:numId w:val="46"/>
        </w:numPr>
        <w:contextualSpacing w:val="0"/>
        <w:rPr>
          <w:rFonts w:eastAsia="Times New Roman"/>
          <w:sz w:val="20"/>
          <w:szCs w:val="20"/>
        </w:rPr>
      </w:pPr>
      <w:r w:rsidRPr="00305FE6">
        <w:rPr>
          <w:rFonts w:eastAsia="Times New Roman"/>
          <w:sz w:val="20"/>
          <w:szCs w:val="20"/>
        </w:rPr>
        <w:t>Pracovní skupina k léčebně rehabilitační péči v ČR a Pracovní skupina ke koncepci neurorehabilitační péče v ČR</w:t>
      </w:r>
      <w:r w:rsidRPr="001D3B39">
        <w:rPr>
          <w:rFonts w:eastAsia="Times New Roman"/>
          <w:sz w:val="20"/>
          <w:szCs w:val="20"/>
        </w:rPr>
        <w:t xml:space="preserve"> – zřízeny v roce 2023</w:t>
      </w:r>
    </w:p>
    <w:p w14:paraId="32154274" w14:textId="77777777" w:rsidR="001D3B39" w:rsidRPr="001D3B39" w:rsidRDefault="001D3B39" w:rsidP="008263CB">
      <w:pPr>
        <w:pStyle w:val="Odstavecseseznamem"/>
        <w:numPr>
          <w:ilvl w:val="0"/>
          <w:numId w:val="47"/>
        </w:numPr>
        <w:autoSpaceDE w:val="0"/>
        <w:autoSpaceDN w:val="0"/>
        <w:ind w:right="118"/>
        <w:contextualSpacing w:val="0"/>
        <w:rPr>
          <w:rFonts w:eastAsia="Times New Roman"/>
          <w:sz w:val="20"/>
          <w:szCs w:val="20"/>
        </w:rPr>
      </w:pPr>
      <w:r w:rsidRPr="001D3B39">
        <w:rPr>
          <w:rFonts w:eastAsia="Times New Roman"/>
          <w:sz w:val="20"/>
          <w:szCs w:val="20"/>
        </w:rPr>
        <w:t xml:space="preserve">Pracovní skupina pro léčebně rehabilitační péči v ČR - Pracovní skupina pro léčebně rehabilitační péči v ČR odborným poradním orgánem Ministerstva zdravotnictví pro problematiku týkající se koncepčního řešení léčebně rehabilitační péče ve všech formách v ČR (akutní, následná, ambulantní). Je zřízena k projednávání zásadních otázek v oblasti léčebně rehabilitační péče a vytvoření provázaného modelu léčebně rehabilitační péče v ČR, tj. ambulantní a lůžková zdravotní péče (akutní a následná lůžková zdravotní péče). </w:t>
      </w:r>
    </w:p>
    <w:p w14:paraId="00046ECC" w14:textId="710F35DB" w:rsidR="001D3B39" w:rsidRPr="001D3B39" w:rsidRDefault="001D3B39" w:rsidP="008263CB">
      <w:pPr>
        <w:pStyle w:val="Odstavecseseznamem"/>
        <w:numPr>
          <w:ilvl w:val="0"/>
          <w:numId w:val="47"/>
        </w:numPr>
        <w:contextualSpacing w:val="0"/>
        <w:rPr>
          <w:rFonts w:eastAsia="Times New Roman"/>
          <w:sz w:val="20"/>
          <w:szCs w:val="20"/>
        </w:rPr>
      </w:pPr>
      <w:r w:rsidRPr="001D3B39">
        <w:rPr>
          <w:rFonts w:eastAsia="Times New Roman"/>
          <w:sz w:val="20"/>
          <w:szCs w:val="20"/>
        </w:rPr>
        <w:t>Pracovní skupina ke koncepci neurorehabilitační péče v ČR - Pracovní skupina pro koncepci neurorehabilitační péče v ČR (dále jen „PS NRHB“) je odborným poradním orgánem Ministerstva zdravotnictví ČR (dále jen „MZ“). Je zřízena k projednávání zásadních otázek v oblasti neurorehabilitace a následného zpracování Koncepce rozvoje neurorehabilitace v ČR, která je součástí systému léčebně rehabilitační péče v ČR.</w:t>
      </w:r>
    </w:p>
    <w:p w14:paraId="1E3F40AE" w14:textId="70325C7A" w:rsidR="00784AA1" w:rsidRPr="001D3B39" w:rsidRDefault="00784AA1" w:rsidP="001D3B39">
      <w:pPr>
        <w:keepNext/>
        <w:tabs>
          <w:tab w:val="left" w:pos="720"/>
        </w:tabs>
        <w:rPr>
          <w:rFonts w:cs="Arial"/>
          <w:b/>
          <w:bCs/>
          <w:sz w:val="20"/>
          <w:szCs w:val="20"/>
          <w:lang w:eastAsia="cs-CZ"/>
        </w:rPr>
      </w:pPr>
      <w:r w:rsidRPr="001D3B39">
        <w:rPr>
          <w:rFonts w:cs="Arial"/>
          <w:b/>
          <w:bCs/>
          <w:sz w:val="20"/>
          <w:szCs w:val="20"/>
          <w:lang w:eastAsia="cs-CZ"/>
        </w:rPr>
        <w:t>STANOVISKO K PLNĚNÍ:</w:t>
      </w:r>
      <w:r w:rsidR="00A305BB" w:rsidRPr="001D3B39">
        <w:rPr>
          <w:rFonts w:cs="Arial"/>
          <w:b/>
          <w:sz w:val="20"/>
          <w:szCs w:val="20"/>
        </w:rPr>
        <w:t xml:space="preserve"> Plněno.</w:t>
      </w:r>
    </w:p>
    <w:p w14:paraId="1543E3BD" w14:textId="77777777" w:rsidR="00784AA1" w:rsidRPr="00433DBC" w:rsidRDefault="00784AA1" w:rsidP="00433DBC">
      <w:pPr>
        <w:rPr>
          <w:rFonts w:cs="Arial"/>
          <w:sz w:val="20"/>
          <w:szCs w:val="20"/>
        </w:rPr>
      </w:pPr>
    </w:p>
    <w:p w14:paraId="265DA4A6" w14:textId="60BCF4CB" w:rsidR="00F17E74" w:rsidRPr="0057756D" w:rsidRDefault="00F17E74" w:rsidP="00F17E74">
      <w:pPr>
        <w:rPr>
          <w:rFonts w:cs="Arial"/>
          <w:szCs w:val="20"/>
        </w:rPr>
      </w:pPr>
      <w:r w:rsidRPr="0035060D">
        <w:rPr>
          <w:rFonts w:cs="Arial"/>
          <w:bCs/>
          <w:szCs w:val="20"/>
        </w:rPr>
        <w:t xml:space="preserve">Opatření </w:t>
      </w:r>
      <w:r>
        <w:rPr>
          <w:rFonts w:cs="Arial"/>
          <w:bCs/>
          <w:szCs w:val="20"/>
        </w:rPr>
        <w:t>10</w:t>
      </w:r>
      <w:r>
        <w:rPr>
          <w:rFonts w:cs="Arial"/>
          <w:szCs w:val="20"/>
        </w:rPr>
        <w:t xml:space="preserve">.2.2 </w:t>
      </w:r>
      <w:r w:rsidRPr="0057756D">
        <w:rPr>
          <w:rFonts w:cs="Arial"/>
          <w:szCs w:val="20"/>
        </w:rPr>
        <w:t>Rozvíjet oblast sociální a pracovní rehabilitace</w:t>
      </w:r>
      <w:r>
        <w:rPr>
          <w:rFonts w:cs="Arial"/>
          <w:szCs w:val="20"/>
        </w:rPr>
        <w:t xml:space="preserve"> osob se zdravotním postižením </w:t>
      </w:r>
      <w:r w:rsidRPr="0057756D">
        <w:rPr>
          <w:rFonts w:cs="Arial"/>
          <w:szCs w:val="20"/>
        </w:rPr>
        <w:t>a</w:t>
      </w:r>
      <w:r>
        <w:rPr>
          <w:rFonts w:cs="Arial"/>
          <w:szCs w:val="20"/>
        </w:rPr>
        <w:t> </w:t>
      </w:r>
      <w:r w:rsidRPr="0057756D">
        <w:rPr>
          <w:rFonts w:cs="Arial"/>
          <w:szCs w:val="20"/>
        </w:rPr>
        <w:t>vytvářet podmínky pro lepší součinnost s ostat</w:t>
      </w:r>
      <w:r w:rsidR="001D65B3">
        <w:rPr>
          <w:rFonts w:cs="Arial"/>
          <w:szCs w:val="20"/>
        </w:rPr>
        <w:t>ními oblastmi rehabilitace.</w:t>
      </w:r>
    </w:p>
    <w:p w14:paraId="71824932" w14:textId="0509B699" w:rsidR="00F17E74" w:rsidRPr="0057756D" w:rsidRDefault="00013518" w:rsidP="00F17E74">
      <w:pPr>
        <w:rPr>
          <w:rFonts w:cs="Arial"/>
          <w:szCs w:val="20"/>
        </w:rPr>
      </w:pPr>
      <w:r>
        <w:rPr>
          <w:rFonts w:cs="Arial"/>
          <w:szCs w:val="20"/>
        </w:rPr>
        <w:t>Termín: průběžně</w:t>
      </w:r>
    </w:p>
    <w:p w14:paraId="2E3EFBA6" w14:textId="77777777" w:rsidR="00F17E74" w:rsidRPr="0057756D" w:rsidRDefault="00F17E74" w:rsidP="00F17E74">
      <w:pPr>
        <w:rPr>
          <w:rFonts w:cs="Arial"/>
          <w:szCs w:val="20"/>
        </w:rPr>
      </w:pPr>
      <w:r w:rsidRPr="0057756D">
        <w:rPr>
          <w:rFonts w:cs="Arial"/>
          <w:szCs w:val="20"/>
        </w:rPr>
        <w:t>Gestor: MPSV</w:t>
      </w:r>
    </w:p>
    <w:p w14:paraId="4148EC24" w14:textId="49C41DB7" w:rsidR="00F17E74" w:rsidRDefault="00F17E74" w:rsidP="008F48F5">
      <w:pPr>
        <w:rPr>
          <w:rFonts w:cs="Arial"/>
          <w:szCs w:val="20"/>
        </w:rPr>
      </w:pPr>
      <w:r w:rsidRPr="00831152">
        <w:rPr>
          <w:rFonts w:cs="Arial"/>
          <w:szCs w:val="20"/>
        </w:rPr>
        <w:t>Indikátor:</w:t>
      </w:r>
      <w:r>
        <w:rPr>
          <w:rFonts w:cs="Arial"/>
          <w:szCs w:val="20"/>
        </w:rPr>
        <w:t xml:space="preserve"> Byla podána informace o rozvoji oblasti </w:t>
      </w:r>
      <w:r w:rsidRPr="0057756D">
        <w:rPr>
          <w:rFonts w:cs="Arial"/>
          <w:szCs w:val="20"/>
        </w:rPr>
        <w:t xml:space="preserve">sociální a pracovní </w:t>
      </w:r>
      <w:r>
        <w:rPr>
          <w:rFonts w:cs="Arial"/>
          <w:szCs w:val="20"/>
        </w:rPr>
        <w:t xml:space="preserve">rehabilitace </w:t>
      </w:r>
      <w:r w:rsidRPr="0057756D">
        <w:rPr>
          <w:rFonts w:cs="Arial"/>
          <w:szCs w:val="20"/>
        </w:rPr>
        <w:t>osob se</w:t>
      </w:r>
      <w:r w:rsidR="002F5146">
        <w:rPr>
          <w:rFonts w:cs="Arial"/>
          <w:szCs w:val="20"/>
        </w:rPr>
        <w:t> </w:t>
      </w:r>
      <w:r w:rsidRPr="0057756D">
        <w:rPr>
          <w:rFonts w:cs="Arial"/>
          <w:szCs w:val="20"/>
        </w:rPr>
        <w:t>zdravotním postižením</w:t>
      </w:r>
      <w:r>
        <w:rPr>
          <w:rFonts w:cs="Arial"/>
          <w:szCs w:val="20"/>
        </w:rPr>
        <w:t xml:space="preserve"> a opatřeních přijatých k zajištění </w:t>
      </w:r>
      <w:r w:rsidRPr="0057756D">
        <w:rPr>
          <w:rFonts w:cs="Arial"/>
          <w:szCs w:val="20"/>
        </w:rPr>
        <w:t>lepší součinnost</w:t>
      </w:r>
      <w:r>
        <w:rPr>
          <w:rFonts w:cs="Arial"/>
          <w:szCs w:val="20"/>
        </w:rPr>
        <w:t>i</w:t>
      </w:r>
      <w:r w:rsidRPr="0057756D">
        <w:rPr>
          <w:rFonts w:cs="Arial"/>
          <w:szCs w:val="20"/>
        </w:rPr>
        <w:t xml:space="preserve"> s ostatními oblastmi rehabilitace.</w:t>
      </w:r>
    </w:p>
    <w:p w14:paraId="03B4C894" w14:textId="77777777" w:rsidR="008F48F5" w:rsidRPr="00BD3FC4" w:rsidRDefault="008F48F5" w:rsidP="00CB542D">
      <w:pPr>
        <w:rPr>
          <w:rFonts w:cs="Arial"/>
          <w:sz w:val="20"/>
          <w:szCs w:val="20"/>
        </w:rPr>
      </w:pPr>
    </w:p>
    <w:p w14:paraId="036BAB77" w14:textId="263F6377" w:rsidR="001A74D6" w:rsidRPr="00BD3FC4" w:rsidRDefault="001A74D6" w:rsidP="00CB542D">
      <w:pPr>
        <w:keepNext/>
        <w:tabs>
          <w:tab w:val="left" w:pos="720"/>
        </w:tabs>
        <w:rPr>
          <w:rFonts w:cs="Arial"/>
          <w:b/>
          <w:bCs/>
          <w:sz w:val="20"/>
          <w:szCs w:val="20"/>
          <w:lang w:eastAsia="cs-CZ"/>
        </w:rPr>
      </w:pPr>
      <w:r w:rsidRPr="00BD3FC4">
        <w:rPr>
          <w:rFonts w:cs="Arial"/>
          <w:b/>
          <w:bCs/>
          <w:sz w:val="20"/>
          <w:szCs w:val="20"/>
          <w:lang w:eastAsia="cs-CZ"/>
        </w:rPr>
        <w:t>PLNĚNÍ MPSV:</w:t>
      </w:r>
    </w:p>
    <w:p w14:paraId="51A83963" w14:textId="77777777" w:rsidR="00BD3FC4" w:rsidRPr="00BD3FC4" w:rsidRDefault="00BD3FC4" w:rsidP="00BD3FC4">
      <w:pPr>
        <w:rPr>
          <w:rFonts w:cs="Arial"/>
          <w:bCs/>
          <w:sz w:val="20"/>
          <w:szCs w:val="20"/>
        </w:rPr>
      </w:pPr>
      <w:r w:rsidRPr="00BD3FC4">
        <w:rPr>
          <w:rFonts w:cs="Arial"/>
          <w:bCs/>
          <w:sz w:val="20"/>
          <w:szCs w:val="20"/>
        </w:rPr>
        <w:t>V roce 2023 bylo opatření nadále naplňováno realizací postupu podle materiálu MPSV „Doporučený postup č. 1/2016 na podporu realizace prostupného systému sociální a pracovní rehabilitace osob se zdravotním postižením“. Za účelem zvyšování kvality a plánování dostupnosti služeb v oblasti sociální a pracovní rehabilitace pokračoval ÚP ČR v prohlubování spolupráce s jednotlivými poskytovateli služeb sociální rehabilitace a sociálně terapeutických dílen s cílem zajistit osobám se ZP přechod mezi dotčenými službami s ohledem na individuální potřeby jednotlivých osob se ZP. K úspěšnému plnění tohoto opatření přispěla také realizace dvou celorepublikových projektů ÚP ČR, a to systémového individuálního projektu „Rozvoj systému podpory zaměstnávání osob se zdravotním postižením na volném trhu práce“ (projekt ukončen v květnu 2023) a navazujícího národního individuálního projektu „Podpora zaměstnanosti osob se zdravotním postižením (OZP)“, registrační číslo CZ.03.01.01/00/22_015/0000889. Oba tyto projekty významně přispívají jak k naplňování výše uvedeného účelu, tak i ke kontinuálnímu vytváření sítí partnerské spolupráce ve všech oblastech rehabilitace.</w:t>
      </w:r>
    </w:p>
    <w:p w14:paraId="68E4C768" w14:textId="04143035" w:rsidR="00BD3FC4" w:rsidRPr="00BD3FC4" w:rsidRDefault="00BD3FC4" w:rsidP="00BD3FC4">
      <w:pPr>
        <w:rPr>
          <w:rFonts w:cs="Arial"/>
          <w:bCs/>
          <w:sz w:val="20"/>
          <w:szCs w:val="20"/>
        </w:rPr>
      </w:pPr>
      <w:r w:rsidRPr="00BD3FC4">
        <w:rPr>
          <w:rFonts w:cs="Arial"/>
          <w:bCs/>
          <w:sz w:val="20"/>
          <w:szCs w:val="20"/>
        </w:rPr>
        <w:lastRenderedPageBreak/>
        <w:t>V roce 2023 se ÚP ČR podařilo navázat spolupráci s relevantními aktéry v rámci příslušného regionu, převážně na úrovni okresu. V uvedeném období ÚP ČR spolupracoval celkem s 2266 zaměstnavateli (z toho 942 z CHTP a 1324 z OTP), 138 zdravotnickými zařízeními (centra duševního zdraví, ergodiagnostická centra, nemocnice – zejména sociální pracovníci nemocnic, praktičtí lékaři aj.), 175 školami, 50 vzdělávacími zařízeními, 297 sociálními partnery (OSSZ, krajské úřady, městské a obecní úřady, hospodářské komory, asociace, nadace aj.) a se 604 subjekt</w:t>
      </w:r>
      <w:r w:rsidR="001D65B3">
        <w:rPr>
          <w:rFonts w:cs="Arial"/>
          <w:bCs/>
          <w:sz w:val="20"/>
          <w:szCs w:val="20"/>
        </w:rPr>
        <w:t>y z oblasti sociálních služeb a </w:t>
      </w:r>
      <w:r w:rsidRPr="00BD3FC4">
        <w:rPr>
          <w:rFonts w:cs="Arial"/>
          <w:bCs/>
          <w:sz w:val="20"/>
          <w:szCs w:val="20"/>
        </w:rPr>
        <w:t>NNO (z toho 62 poraden - NRZP, centra pro zdravotně postižené, občanské poradny a další; dále 45 domovů, 29 pacientských organizací, 176 poskytovatelů sociální rehabilitace, 49 sociálně terapeutických dílen a 243 NNO), které poskytují služby OZP s nejrůznějšími typy postižení (265 kombinované postižení, 119 duševní onemocnění, 63 mentální postižení, 16 poruchy autistického spektra, 39 sluchové, 32 zrakové a 20 tělesné postižení, 44 ostatní). K výše uvedenému výčtu regionální partnerské spolupráce je třeba poznamenat, že pokud má daná organizace více poboček ve více okresech, popř. spolupracuje s více krajskými pobočkami ÚP ČR, je započítána vícekrát.</w:t>
      </w:r>
    </w:p>
    <w:p w14:paraId="2BC2DA04" w14:textId="77777777" w:rsidR="00BD3FC4" w:rsidRPr="00BD3FC4" w:rsidRDefault="00BD3FC4" w:rsidP="00BD3FC4">
      <w:pPr>
        <w:rPr>
          <w:rFonts w:cs="Arial"/>
          <w:bCs/>
          <w:sz w:val="20"/>
          <w:szCs w:val="20"/>
        </w:rPr>
      </w:pPr>
      <w:r w:rsidRPr="00BD3FC4">
        <w:rPr>
          <w:rFonts w:cs="Arial"/>
          <w:bCs/>
          <w:sz w:val="20"/>
          <w:szCs w:val="20"/>
        </w:rPr>
        <w:t xml:space="preserve">Podpora sociální služby sociální rehabilitace je v OPZ+ umožněna v rámci výzvy č. 03_22_003 Zajištění dostupnosti sociálních služeb. Výzva je určena pro kraje včetně hl. m. Prahy a byla vyhlášena dne </w:t>
      </w:r>
      <w:proofErr w:type="gramStart"/>
      <w:r w:rsidRPr="00BD3FC4">
        <w:rPr>
          <w:rFonts w:cs="Arial"/>
          <w:bCs/>
          <w:sz w:val="20"/>
          <w:szCs w:val="20"/>
        </w:rPr>
        <w:t>17.6.2022</w:t>
      </w:r>
      <w:proofErr w:type="gramEnd"/>
      <w:r w:rsidRPr="00BD3FC4">
        <w:rPr>
          <w:rFonts w:cs="Arial"/>
          <w:bCs/>
          <w:sz w:val="20"/>
          <w:szCs w:val="20"/>
        </w:rPr>
        <w:t xml:space="preserve"> v rámci priority 2 Sociální začleňování OPZ+ s datem ukončení příjmu žádostí do 30.10.2026.</w:t>
      </w:r>
    </w:p>
    <w:p w14:paraId="68D78087" w14:textId="3A7D8AF3" w:rsidR="00BD3FC4" w:rsidRPr="00BD3FC4" w:rsidRDefault="00BD3FC4" w:rsidP="00BD3FC4">
      <w:pPr>
        <w:rPr>
          <w:rFonts w:cs="Arial"/>
          <w:bCs/>
          <w:sz w:val="20"/>
          <w:szCs w:val="20"/>
        </w:rPr>
      </w:pPr>
      <w:r w:rsidRPr="00BD3FC4">
        <w:rPr>
          <w:rFonts w:cs="Arial"/>
          <w:bCs/>
          <w:sz w:val="20"/>
          <w:szCs w:val="20"/>
        </w:rPr>
        <w:t>Do konce roku 2023 bylo do výše uvedené výzvy podáno a nyní je v realizaci 14 projektů v celkové výši 5,35 mld. Kč. Projekty jsou zpravidla tří až čtyřleté a podpora so</w:t>
      </w:r>
      <w:r w:rsidR="001D65B3">
        <w:rPr>
          <w:rFonts w:cs="Arial"/>
          <w:bCs/>
          <w:sz w:val="20"/>
          <w:szCs w:val="20"/>
        </w:rPr>
        <w:t>ciálních služeb bude probíhat v </w:t>
      </w:r>
      <w:r w:rsidRPr="00BD3FC4">
        <w:rPr>
          <w:rFonts w:cs="Arial"/>
          <w:bCs/>
          <w:sz w:val="20"/>
          <w:szCs w:val="20"/>
        </w:rPr>
        <w:t>jednotlivých krajích v letech 2022 až 2026 (každý kraj stanovuje</w:t>
      </w:r>
      <w:r w:rsidR="001D65B3">
        <w:rPr>
          <w:rFonts w:cs="Arial"/>
          <w:bCs/>
          <w:sz w:val="20"/>
          <w:szCs w:val="20"/>
        </w:rPr>
        <w:t xml:space="preserve"> délku podpory individuálně). V </w:t>
      </w:r>
      <w:r w:rsidRPr="00BD3FC4">
        <w:rPr>
          <w:rFonts w:cs="Arial"/>
          <w:bCs/>
          <w:sz w:val="20"/>
          <w:szCs w:val="20"/>
        </w:rPr>
        <w:t>rámci těchto projektů je podpořena kromě jiných sociálních služeb i služba sociální rehabilitace, kterou do svých projektů začlenilo 8 krajů (Moravskoslezský, Středočeský, Královéhradecký, Zlínský, Plzeňský, Vysočina, Karlovarský a Liberecký).  Služba sociální rehabilitace je v rámci projektů uvedených krajů podpořena částkou v celkové výši 1,61 mld. Kč, což představuje druhou nejvyšší podporu z podporovaných sociálních služeb v rámci výzvy 003. Projekty podpořené v této výzvě jsou financovány na základě jednotkových nákladů. Pro každý druh podporované sociální služby byla stanovena hodnota jednotkového nákladu, u pobytových soc</w:t>
      </w:r>
      <w:r w:rsidR="001D65B3">
        <w:rPr>
          <w:rFonts w:cs="Arial"/>
          <w:bCs/>
          <w:sz w:val="20"/>
          <w:szCs w:val="20"/>
        </w:rPr>
        <w:t>iálních služeb – lůžko/měsíc, u </w:t>
      </w:r>
      <w:r w:rsidRPr="00BD3FC4">
        <w:rPr>
          <w:rFonts w:cs="Arial"/>
          <w:bCs/>
          <w:sz w:val="20"/>
          <w:szCs w:val="20"/>
        </w:rPr>
        <w:t>ambulantních a terénních sociálních služeb – úvazek/měsíc. Kraje, které službu sociální rehabilitaci v projektech podporují, předpokládají vykázat za dobu realizace celkem 24 634 jednotek.</w:t>
      </w:r>
    </w:p>
    <w:p w14:paraId="3FCFF592" w14:textId="5B5E313F" w:rsidR="001A74D6" w:rsidRPr="00BD3FC4" w:rsidRDefault="001A74D6" w:rsidP="00CB542D">
      <w:pPr>
        <w:keepNext/>
        <w:tabs>
          <w:tab w:val="left" w:pos="720"/>
        </w:tabs>
        <w:rPr>
          <w:rFonts w:cs="Arial"/>
          <w:b/>
          <w:bCs/>
          <w:sz w:val="20"/>
          <w:szCs w:val="20"/>
          <w:lang w:eastAsia="cs-CZ"/>
        </w:rPr>
      </w:pPr>
      <w:r w:rsidRPr="00BD3FC4">
        <w:rPr>
          <w:rFonts w:cs="Arial"/>
          <w:b/>
          <w:bCs/>
          <w:sz w:val="20"/>
          <w:szCs w:val="20"/>
          <w:lang w:eastAsia="cs-CZ"/>
        </w:rPr>
        <w:t>STANOVISKO K PLNĚNÍ:</w:t>
      </w:r>
      <w:r w:rsidR="00777AC2" w:rsidRPr="00BD3FC4">
        <w:rPr>
          <w:rFonts w:cs="Arial"/>
          <w:b/>
          <w:bCs/>
          <w:sz w:val="20"/>
          <w:szCs w:val="20"/>
          <w:lang w:eastAsia="cs-CZ"/>
        </w:rPr>
        <w:t xml:space="preserve"> Plněno. </w:t>
      </w:r>
    </w:p>
    <w:p w14:paraId="45779EC7" w14:textId="77777777" w:rsidR="001A74D6" w:rsidRPr="00CB542D" w:rsidRDefault="001A74D6" w:rsidP="00CB542D">
      <w:pPr>
        <w:rPr>
          <w:rFonts w:cs="Arial"/>
          <w:sz w:val="20"/>
          <w:szCs w:val="20"/>
        </w:rPr>
      </w:pPr>
    </w:p>
    <w:p w14:paraId="2597FCF1"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10</w:t>
      </w:r>
      <w:r>
        <w:rPr>
          <w:rFonts w:cs="Arial"/>
          <w:szCs w:val="20"/>
        </w:rPr>
        <w:t xml:space="preserve">.2.3 </w:t>
      </w:r>
      <w:r w:rsidRPr="0057756D">
        <w:rPr>
          <w:rFonts w:cs="Arial"/>
          <w:szCs w:val="20"/>
        </w:rPr>
        <w:t>Rozvíjet oblast vzdělávání dětí, žáků a studentů se zdravotním postižením v</w:t>
      </w:r>
      <w:r w:rsidR="002F5146">
        <w:rPr>
          <w:rFonts w:cs="Arial"/>
          <w:szCs w:val="20"/>
        </w:rPr>
        <w:t> </w:t>
      </w:r>
      <w:r w:rsidRPr="0057756D">
        <w:rPr>
          <w:rFonts w:cs="Arial"/>
          <w:szCs w:val="20"/>
        </w:rPr>
        <w:t>kontextu podmínek koordinace rehabilitace a vytvářet podmínky pro lepší součinnost s</w:t>
      </w:r>
      <w:r w:rsidR="002F5146">
        <w:rPr>
          <w:rFonts w:cs="Arial"/>
          <w:szCs w:val="20"/>
        </w:rPr>
        <w:t> </w:t>
      </w:r>
      <w:r w:rsidRPr="0057756D">
        <w:rPr>
          <w:rFonts w:cs="Arial"/>
          <w:szCs w:val="20"/>
        </w:rPr>
        <w:t>ostatními oblastmi rehabilitace.</w:t>
      </w:r>
    </w:p>
    <w:p w14:paraId="52CF778D" w14:textId="05C8D184" w:rsidR="00F17E74" w:rsidRPr="0057756D" w:rsidRDefault="002A0720" w:rsidP="00F17E74">
      <w:pPr>
        <w:rPr>
          <w:rFonts w:cs="Arial"/>
          <w:szCs w:val="20"/>
        </w:rPr>
      </w:pPr>
      <w:r>
        <w:rPr>
          <w:rFonts w:cs="Arial"/>
          <w:szCs w:val="20"/>
        </w:rPr>
        <w:t>Termín: průběžně</w:t>
      </w:r>
    </w:p>
    <w:p w14:paraId="7C2A396E" w14:textId="77777777" w:rsidR="00F17E74" w:rsidRPr="0057756D" w:rsidRDefault="00F17E74" w:rsidP="00F17E74">
      <w:pPr>
        <w:rPr>
          <w:rFonts w:cs="Arial"/>
          <w:szCs w:val="20"/>
        </w:rPr>
      </w:pPr>
      <w:r w:rsidRPr="0057756D">
        <w:rPr>
          <w:rFonts w:cs="Arial"/>
          <w:szCs w:val="20"/>
        </w:rPr>
        <w:t>Gestor: MŠMT</w:t>
      </w:r>
    </w:p>
    <w:p w14:paraId="7AEA2FA9" w14:textId="52B1283E" w:rsidR="00F17E74" w:rsidRDefault="00F17E74" w:rsidP="00A24547">
      <w:pPr>
        <w:rPr>
          <w:rFonts w:cs="Arial"/>
          <w:szCs w:val="20"/>
        </w:rPr>
      </w:pPr>
      <w:r w:rsidRPr="00831152">
        <w:rPr>
          <w:rFonts w:cs="Arial"/>
          <w:szCs w:val="20"/>
        </w:rPr>
        <w:t>Indikátor:</w:t>
      </w:r>
      <w:r>
        <w:rPr>
          <w:rFonts w:cs="Arial"/>
          <w:szCs w:val="20"/>
        </w:rPr>
        <w:t xml:space="preserve"> Byla podána informace o rozvoji oblasti </w:t>
      </w:r>
      <w:r w:rsidRPr="0057756D">
        <w:rPr>
          <w:rFonts w:cs="Arial"/>
          <w:szCs w:val="20"/>
        </w:rPr>
        <w:t xml:space="preserve">vzdělávání dětí, žáků a studentů se zdravotním postižením v kontextu podmínek koordinace rehabilitace </w:t>
      </w:r>
      <w:r>
        <w:rPr>
          <w:rFonts w:cs="Arial"/>
          <w:szCs w:val="20"/>
        </w:rPr>
        <w:t xml:space="preserve">a opatřeních přijatých k zajištění </w:t>
      </w:r>
      <w:r w:rsidRPr="0057756D">
        <w:rPr>
          <w:rFonts w:cs="Arial"/>
          <w:szCs w:val="20"/>
        </w:rPr>
        <w:t>lepší součinnost</w:t>
      </w:r>
      <w:r>
        <w:rPr>
          <w:rFonts w:cs="Arial"/>
          <w:szCs w:val="20"/>
        </w:rPr>
        <w:t>i</w:t>
      </w:r>
      <w:r w:rsidRPr="0057756D">
        <w:rPr>
          <w:rFonts w:cs="Arial"/>
          <w:szCs w:val="20"/>
        </w:rPr>
        <w:t xml:space="preserve"> s </w:t>
      </w:r>
      <w:r>
        <w:rPr>
          <w:rFonts w:cs="Arial"/>
          <w:szCs w:val="20"/>
        </w:rPr>
        <w:t>ostatními oblastmi rehabilitace.</w:t>
      </w:r>
    </w:p>
    <w:p w14:paraId="7161C742" w14:textId="77777777" w:rsidR="00A24547" w:rsidRPr="004922F9" w:rsidRDefault="00A24547" w:rsidP="00A24547">
      <w:pPr>
        <w:rPr>
          <w:rFonts w:cs="Arial"/>
          <w:sz w:val="20"/>
          <w:szCs w:val="20"/>
        </w:rPr>
      </w:pPr>
    </w:p>
    <w:p w14:paraId="486DCEC3" w14:textId="2BFAABC3" w:rsidR="0044152C" w:rsidRPr="00CD1000" w:rsidRDefault="0044152C" w:rsidP="00A24547">
      <w:pPr>
        <w:tabs>
          <w:tab w:val="left" w:pos="720"/>
        </w:tabs>
        <w:rPr>
          <w:rFonts w:cs="Arial"/>
          <w:b/>
          <w:bCs/>
          <w:sz w:val="20"/>
          <w:szCs w:val="20"/>
          <w:lang w:eastAsia="cs-CZ"/>
        </w:rPr>
      </w:pPr>
      <w:r w:rsidRPr="00CD1000">
        <w:rPr>
          <w:rFonts w:cs="Arial"/>
          <w:b/>
          <w:bCs/>
          <w:sz w:val="20"/>
          <w:szCs w:val="20"/>
          <w:lang w:eastAsia="cs-CZ"/>
        </w:rPr>
        <w:t>PLNĚNÍ MŠMT:</w:t>
      </w:r>
    </w:p>
    <w:p w14:paraId="64EFDF47" w14:textId="66F9728B" w:rsidR="00CD1000" w:rsidRPr="00CD1000" w:rsidRDefault="00CD1000" w:rsidP="00CD1000">
      <w:pPr>
        <w:rPr>
          <w:rFonts w:cs="Arial"/>
          <w:sz w:val="20"/>
          <w:szCs w:val="20"/>
        </w:rPr>
      </w:pPr>
      <w:r w:rsidRPr="00CD1000">
        <w:rPr>
          <w:rFonts w:cs="Arial"/>
          <w:sz w:val="20"/>
          <w:szCs w:val="20"/>
        </w:rPr>
        <w:t>V oblasti vzdělávání jsou dětem, žákům a studentům se speciálními vzdělávacími potřebami dle vyhlášky č. 27/2016 Sb. na základě doporučení školského poradenského zařízení poskytována podpůrná opatření. Ta mohou spočívat ve využívání kompenzačních a speciálních pomůcek. Příloha č. 1 výše uvedené vyhlášky stanovuje konkrétní podpůrná opatření podle stupně a druhu zdravotního postižení. Rehabilitace dětí, žáků a studentů s těžkým mentálním postižením a souběžným postižením více vadami je primárně poskytována ve školách zřízených podle § 16 odst. 9 školského zákona a je součástí vzdělávací oblasti Člověk a zdraví, vzdělávacího oboru Rehabilitační tělesná výchova Rámcového vzdělávacího programu pro obor vzdělání základní škola speciální.</w:t>
      </w:r>
    </w:p>
    <w:p w14:paraId="5A161505" w14:textId="7D3B6700" w:rsidR="0044152C" w:rsidRPr="00CD1000" w:rsidRDefault="0044152C" w:rsidP="00A24547">
      <w:pPr>
        <w:keepNext/>
        <w:tabs>
          <w:tab w:val="left" w:pos="720"/>
        </w:tabs>
        <w:rPr>
          <w:rFonts w:cs="Arial"/>
          <w:b/>
          <w:bCs/>
          <w:sz w:val="20"/>
          <w:szCs w:val="20"/>
          <w:lang w:eastAsia="cs-CZ"/>
        </w:rPr>
      </w:pPr>
      <w:r w:rsidRPr="00CD1000">
        <w:rPr>
          <w:rFonts w:cs="Arial"/>
          <w:b/>
          <w:bCs/>
          <w:sz w:val="20"/>
          <w:szCs w:val="20"/>
          <w:lang w:eastAsia="cs-CZ"/>
        </w:rPr>
        <w:t>STANOVISKO K PLNĚNÍ:</w:t>
      </w:r>
      <w:r w:rsidR="00A91C26" w:rsidRPr="00CD1000">
        <w:rPr>
          <w:rFonts w:cs="Arial"/>
          <w:b/>
          <w:bCs/>
          <w:sz w:val="20"/>
          <w:szCs w:val="20"/>
          <w:lang w:eastAsia="cs-CZ"/>
        </w:rPr>
        <w:t xml:space="preserve"> Plněno.</w:t>
      </w:r>
    </w:p>
    <w:p w14:paraId="6BD2F905" w14:textId="77777777" w:rsidR="0044152C" w:rsidRPr="0057756D" w:rsidRDefault="0044152C" w:rsidP="00A24547">
      <w:pPr>
        <w:rPr>
          <w:rFonts w:cs="Arial"/>
          <w:szCs w:val="20"/>
        </w:rPr>
      </w:pPr>
    </w:p>
    <w:p w14:paraId="05336C98" w14:textId="77777777" w:rsidR="00F17E74" w:rsidRPr="0057756D" w:rsidRDefault="00F17E74" w:rsidP="00F17E74">
      <w:pPr>
        <w:rPr>
          <w:rFonts w:cs="Arial"/>
          <w:szCs w:val="20"/>
        </w:rPr>
      </w:pPr>
      <w:r w:rsidRPr="0035060D">
        <w:rPr>
          <w:rFonts w:cs="Arial"/>
          <w:bCs/>
          <w:szCs w:val="20"/>
        </w:rPr>
        <w:lastRenderedPageBreak/>
        <w:t xml:space="preserve">Opatření </w:t>
      </w:r>
      <w:r>
        <w:rPr>
          <w:rFonts w:cs="Arial"/>
          <w:bCs/>
          <w:szCs w:val="20"/>
        </w:rPr>
        <w:t>10</w:t>
      </w:r>
      <w:r>
        <w:rPr>
          <w:rFonts w:cs="Arial"/>
          <w:szCs w:val="20"/>
        </w:rPr>
        <w:t xml:space="preserve">.2.4 </w:t>
      </w:r>
      <w:r w:rsidRPr="0057756D">
        <w:rPr>
          <w:rFonts w:cs="Arial"/>
          <w:szCs w:val="20"/>
        </w:rPr>
        <w:t>V rámci sociálního zemědělství ve spolupráci s nestátními neziskovými organizacemi podporovat rehabilitační procesy založené na zemědělských činnostech.</w:t>
      </w:r>
    </w:p>
    <w:p w14:paraId="0CC2C848" w14:textId="795F8EB1" w:rsidR="000D238B" w:rsidRDefault="000D238B" w:rsidP="00F17E74">
      <w:pPr>
        <w:rPr>
          <w:rFonts w:cs="Arial"/>
          <w:szCs w:val="20"/>
        </w:rPr>
      </w:pPr>
      <w:r w:rsidRPr="0057756D">
        <w:rPr>
          <w:rFonts w:cs="Arial"/>
          <w:szCs w:val="20"/>
        </w:rPr>
        <w:t>Termín: průběžně</w:t>
      </w:r>
    </w:p>
    <w:p w14:paraId="20D9C2FC" w14:textId="77777777" w:rsidR="00F17E74" w:rsidRPr="0057756D" w:rsidRDefault="00F17E74" w:rsidP="003275BC">
      <w:pPr>
        <w:rPr>
          <w:rFonts w:cs="Arial"/>
          <w:szCs w:val="20"/>
        </w:rPr>
      </w:pPr>
      <w:r w:rsidRPr="0057756D">
        <w:rPr>
          <w:rFonts w:cs="Arial"/>
          <w:szCs w:val="20"/>
        </w:rPr>
        <w:t>Gestor: MZe</w:t>
      </w:r>
    </w:p>
    <w:p w14:paraId="4A903EB3" w14:textId="6642CB62" w:rsidR="009B35F4" w:rsidRDefault="00F17E74" w:rsidP="003275BC">
      <w:pPr>
        <w:rPr>
          <w:rFonts w:cs="Arial"/>
          <w:szCs w:val="20"/>
        </w:rPr>
      </w:pPr>
      <w:r w:rsidRPr="00831152">
        <w:rPr>
          <w:rFonts w:cs="Arial"/>
          <w:szCs w:val="20"/>
        </w:rPr>
        <w:t>Indikátor:</w:t>
      </w:r>
      <w:r>
        <w:rPr>
          <w:rFonts w:cs="Arial"/>
          <w:szCs w:val="20"/>
        </w:rPr>
        <w:t xml:space="preserve"> </w:t>
      </w:r>
      <w:r w:rsidR="00546E81">
        <w:rPr>
          <w:rFonts w:cs="Arial"/>
          <w:szCs w:val="20"/>
        </w:rPr>
        <w:t>Je</w:t>
      </w:r>
      <w:r>
        <w:rPr>
          <w:rFonts w:cs="Arial"/>
          <w:szCs w:val="20"/>
        </w:rPr>
        <w:t xml:space="preserve"> vyhl</w:t>
      </w:r>
      <w:r w:rsidR="00E11BD5">
        <w:rPr>
          <w:rFonts w:cs="Arial"/>
          <w:szCs w:val="20"/>
        </w:rPr>
        <w:t>a</w:t>
      </w:r>
      <w:r>
        <w:rPr>
          <w:rFonts w:cs="Arial"/>
          <w:szCs w:val="20"/>
        </w:rPr>
        <w:t>š</w:t>
      </w:r>
      <w:r w:rsidR="00546E81">
        <w:rPr>
          <w:rFonts w:cs="Arial"/>
          <w:szCs w:val="20"/>
        </w:rPr>
        <w:t>ován</w:t>
      </w:r>
      <w:r>
        <w:rPr>
          <w:rFonts w:cs="Arial"/>
          <w:szCs w:val="20"/>
        </w:rPr>
        <w:t xml:space="preserve"> dotační program na podporu uvedených </w:t>
      </w:r>
      <w:r w:rsidRPr="0057756D">
        <w:rPr>
          <w:rFonts w:cs="Arial"/>
          <w:szCs w:val="20"/>
        </w:rPr>
        <w:t>rehabilitační</w:t>
      </w:r>
      <w:r>
        <w:rPr>
          <w:rFonts w:cs="Arial"/>
          <w:szCs w:val="20"/>
        </w:rPr>
        <w:t>ch procesů.</w:t>
      </w:r>
      <w:bookmarkStart w:id="43" w:name="_Toc38548796"/>
    </w:p>
    <w:p w14:paraId="2B816AC2" w14:textId="77777777" w:rsidR="003275BC" w:rsidRPr="00605ACA" w:rsidRDefault="003275BC" w:rsidP="00605ACA">
      <w:pPr>
        <w:rPr>
          <w:rFonts w:cs="Arial"/>
          <w:sz w:val="20"/>
          <w:szCs w:val="20"/>
        </w:rPr>
      </w:pPr>
    </w:p>
    <w:p w14:paraId="7FB92D61" w14:textId="0298870B" w:rsidR="00C55F35" w:rsidRPr="00C57AAF" w:rsidRDefault="00C55F35" w:rsidP="00C57AAF">
      <w:pPr>
        <w:tabs>
          <w:tab w:val="left" w:pos="720"/>
        </w:tabs>
        <w:rPr>
          <w:rFonts w:cs="Arial"/>
          <w:b/>
          <w:bCs/>
          <w:sz w:val="20"/>
          <w:szCs w:val="20"/>
          <w:lang w:eastAsia="cs-CZ"/>
        </w:rPr>
      </w:pPr>
      <w:r w:rsidRPr="00C57AAF">
        <w:rPr>
          <w:rFonts w:cs="Arial"/>
          <w:b/>
          <w:bCs/>
          <w:sz w:val="20"/>
          <w:szCs w:val="20"/>
          <w:lang w:eastAsia="cs-CZ"/>
        </w:rPr>
        <w:t>PLNĚNÍ MZe:</w:t>
      </w:r>
      <w:r w:rsidR="0016724D" w:rsidRPr="00C57AAF">
        <w:rPr>
          <w:rFonts w:cs="Arial"/>
          <w:b/>
          <w:bCs/>
          <w:sz w:val="20"/>
          <w:szCs w:val="20"/>
          <w:lang w:eastAsia="cs-CZ"/>
        </w:rPr>
        <w:t xml:space="preserve"> </w:t>
      </w:r>
    </w:p>
    <w:p w14:paraId="158B7689" w14:textId="77777777" w:rsidR="00C57AAF" w:rsidRPr="00C57AAF" w:rsidRDefault="00C57AAF" w:rsidP="00C57AAF">
      <w:pPr>
        <w:rPr>
          <w:sz w:val="20"/>
          <w:szCs w:val="20"/>
        </w:rPr>
      </w:pPr>
      <w:r w:rsidRPr="00C57AAF">
        <w:rPr>
          <w:sz w:val="20"/>
          <w:szCs w:val="20"/>
        </w:rPr>
        <w:t>Pro cílovou skupinu osob se zdravotním postižením se stávají sociální farmy vhodným prostředím pro rehabilitační procesy založené na zemědělských činnostech. Můžeme se zde setkávat s rehabilitací zdravotní např. formou hipoterapie, sociální, která napomáhá k dosažení samostatnosti, ale především rehabilitací pracovní, která umožňuje nácvik pracovních návyků a je volena individuálně ke schopnostem uživatelů.</w:t>
      </w:r>
    </w:p>
    <w:p w14:paraId="0DC339C2" w14:textId="7241CD75" w:rsidR="00C57AAF" w:rsidRPr="00C57AAF" w:rsidRDefault="00C57AAF" w:rsidP="00C57AAF">
      <w:pPr>
        <w:rPr>
          <w:sz w:val="20"/>
          <w:szCs w:val="20"/>
        </w:rPr>
      </w:pPr>
      <w:r w:rsidRPr="00C57AAF">
        <w:rPr>
          <w:sz w:val="20"/>
          <w:szCs w:val="20"/>
        </w:rPr>
        <w:t>Rehabilitace v rámci sociálního zemědělství patří mezi aktivity podporované Ministerstvem zemědělství.</w:t>
      </w:r>
    </w:p>
    <w:p w14:paraId="19BC0CA1" w14:textId="20F916F3" w:rsidR="00C55F35" w:rsidRPr="00C57AAF" w:rsidRDefault="00C55F35" w:rsidP="00C57AAF">
      <w:pPr>
        <w:keepNext/>
        <w:tabs>
          <w:tab w:val="left" w:pos="720"/>
        </w:tabs>
        <w:rPr>
          <w:rFonts w:cs="Arial"/>
          <w:b/>
          <w:bCs/>
          <w:sz w:val="20"/>
          <w:szCs w:val="20"/>
          <w:lang w:eastAsia="cs-CZ"/>
        </w:rPr>
      </w:pPr>
      <w:r w:rsidRPr="00C57AAF">
        <w:rPr>
          <w:rFonts w:cs="Arial"/>
          <w:b/>
          <w:bCs/>
          <w:sz w:val="20"/>
          <w:szCs w:val="20"/>
          <w:lang w:eastAsia="cs-CZ"/>
        </w:rPr>
        <w:t>STANOVISKO K PLNĚNÍ:</w:t>
      </w:r>
      <w:r w:rsidR="007A047B" w:rsidRPr="00C57AAF">
        <w:rPr>
          <w:rFonts w:cs="Arial"/>
          <w:b/>
          <w:bCs/>
          <w:sz w:val="20"/>
          <w:szCs w:val="20"/>
          <w:lang w:eastAsia="cs-CZ"/>
        </w:rPr>
        <w:t xml:space="preserve"> Plněno.</w:t>
      </w:r>
    </w:p>
    <w:p w14:paraId="2E69235E" w14:textId="77777777" w:rsidR="00C55F35" w:rsidRPr="00605ACA" w:rsidRDefault="00C55F35" w:rsidP="00605ACA">
      <w:pPr>
        <w:rPr>
          <w:rFonts w:cs="Arial"/>
          <w:sz w:val="20"/>
          <w:szCs w:val="20"/>
        </w:rPr>
      </w:pPr>
    </w:p>
    <w:p w14:paraId="1AC23E55" w14:textId="77777777" w:rsidR="00F17E74" w:rsidRPr="00544214" w:rsidRDefault="00544214" w:rsidP="00724E58">
      <w:pPr>
        <w:pStyle w:val="Nadpis2"/>
        <w:numPr>
          <w:ilvl w:val="0"/>
          <w:numId w:val="0"/>
        </w:numPr>
        <w:spacing w:before="0" w:after="120"/>
        <w:ind w:left="576" w:hanging="576"/>
      </w:pPr>
      <w:bookmarkStart w:id="44" w:name="_Toc38828893"/>
      <w:bookmarkStart w:id="45" w:name="_Toc101957899"/>
      <w:r>
        <w:t>Oblast č. 1</w:t>
      </w:r>
      <w:r w:rsidR="00891A85">
        <w:t>1</w:t>
      </w:r>
      <w:r w:rsidR="00FE68E2">
        <w:t>:</w:t>
      </w:r>
      <w:r>
        <w:t xml:space="preserve"> </w:t>
      </w:r>
      <w:r w:rsidR="00F17E74" w:rsidRPr="00544214">
        <w:t>Zaměstnávání osob se zdravotním postižením</w:t>
      </w:r>
      <w:bookmarkEnd w:id="43"/>
      <w:bookmarkEnd w:id="44"/>
      <w:bookmarkEnd w:id="45"/>
      <w:r w:rsidR="00F17E74" w:rsidRPr="00544214">
        <w:t xml:space="preserve"> </w:t>
      </w:r>
    </w:p>
    <w:p w14:paraId="6993AC73" w14:textId="25450788" w:rsidR="00F17E74" w:rsidRPr="00644886" w:rsidRDefault="00E95269" w:rsidP="00724E58">
      <w:pPr>
        <w:rPr>
          <w:rFonts w:cs="Arial"/>
          <w:sz w:val="20"/>
          <w:szCs w:val="20"/>
        </w:rPr>
      </w:pPr>
      <w:r w:rsidRPr="00644886">
        <w:rPr>
          <w:rFonts w:cs="Arial"/>
          <w:sz w:val="20"/>
          <w:szCs w:val="20"/>
        </w:rPr>
        <w:t xml:space="preserve">Tato oblast se věnuje zaměstnávání osob se zdravotním postižením. Důležité je dbát </w:t>
      </w:r>
      <w:r w:rsidR="00F17E74" w:rsidRPr="00644886">
        <w:rPr>
          <w:rFonts w:cs="Arial"/>
          <w:sz w:val="20"/>
          <w:szCs w:val="20"/>
        </w:rPr>
        <w:t xml:space="preserve">na zajištění rovných podmínek při přijímání do zaměstnání, v rámci odměňování, profesním postupu či při zajišťování bezpečnosti a ochrany zdraví při práci. </w:t>
      </w:r>
    </w:p>
    <w:p w14:paraId="614B98F5" w14:textId="5EF32727" w:rsidR="00F17E74" w:rsidRPr="00644886" w:rsidRDefault="00F17E74" w:rsidP="00724E58">
      <w:pPr>
        <w:rPr>
          <w:rFonts w:cs="Arial"/>
          <w:sz w:val="20"/>
          <w:szCs w:val="20"/>
        </w:rPr>
      </w:pPr>
      <w:r w:rsidRPr="00644886">
        <w:rPr>
          <w:rFonts w:cs="Arial"/>
          <w:sz w:val="20"/>
          <w:szCs w:val="20"/>
        </w:rPr>
        <w:t>Pracovní uplatnění nepředstavuje pro osoby se zdravotním postižením pouze zdroj příjmu, je i jedním z nejdůležitějších nástrojů integrace a prevence sociálního vyloučení. Vzhledem k tomu, že tyto osoby patří na trhu práce mezi nejzranitelnější skupinu, je jejich zaměstnávání podporováno řadou nástrojů. Jsou využívány prvky aktivní i pasivní podpory zaměstnanosti v</w:t>
      </w:r>
      <w:r w:rsidR="0043545A" w:rsidRPr="00644886">
        <w:rPr>
          <w:rFonts w:cs="Arial"/>
          <w:sz w:val="20"/>
          <w:szCs w:val="20"/>
        </w:rPr>
        <w:t> </w:t>
      </w:r>
      <w:r w:rsidRPr="00644886">
        <w:rPr>
          <w:rFonts w:cs="Arial"/>
          <w:sz w:val="20"/>
          <w:szCs w:val="20"/>
        </w:rPr>
        <w:t>kombinaci</w:t>
      </w:r>
      <w:r w:rsidR="0043545A" w:rsidRPr="00644886">
        <w:rPr>
          <w:rFonts w:cs="Arial"/>
          <w:sz w:val="20"/>
          <w:szCs w:val="20"/>
        </w:rPr>
        <w:t xml:space="preserve"> s</w:t>
      </w:r>
      <w:r w:rsidRPr="00644886">
        <w:rPr>
          <w:rFonts w:cs="Arial"/>
          <w:sz w:val="20"/>
          <w:szCs w:val="20"/>
        </w:rPr>
        <w:t xml:space="preserve"> pobídkový</w:t>
      </w:r>
      <w:r w:rsidR="0043545A" w:rsidRPr="00644886">
        <w:rPr>
          <w:rFonts w:cs="Arial"/>
          <w:sz w:val="20"/>
          <w:szCs w:val="20"/>
        </w:rPr>
        <w:t>mi</w:t>
      </w:r>
      <w:r w:rsidRPr="00644886">
        <w:rPr>
          <w:rFonts w:cs="Arial"/>
          <w:sz w:val="20"/>
          <w:szCs w:val="20"/>
        </w:rPr>
        <w:t xml:space="preserve"> i sankční</w:t>
      </w:r>
      <w:r w:rsidR="0043545A" w:rsidRPr="00644886">
        <w:rPr>
          <w:rFonts w:cs="Arial"/>
          <w:sz w:val="20"/>
          <w:szCs w:val="20"/>
        </w:rPr>
        <w:t>mi</w:t>
      </w:r>
      <w:r w:rsidRPr="00644886">
        <w:rPr>
          <w:rFonts w:cs="Arial"/>
          <w:sz w:val="20"/>
          <w:szCs w:val="20"/>
        </w:rPr>
        <w:t xml:space="preserve"> opatření</w:t>
      </w:r>
      <w:r w:rsidR="0043545A" w:rsidRPr="00644886">
        <w:rPr>
          <w:rFonts w:cs="Arial"/>
          <w:sz w:val="20"/>
          <w:szCs w:val="20"/>
        </w:rPr>
        <w:t>mi</w:t>
      </w:r>
      <w:r w:rsidRPr="00644886">
        <w:rPr>
          <w:rFonts w:cs="Arial"/>
          <w:sz w:val="20"/>
          <w:szCs w:val="20"/>
        </w:rPr>
        <w:t>.</w:t>
      </w:r>
      <w:r w:rsidR="00E95269" w:rsidRPr="00644886">
        <w:rPr>
          <w:rFonts w:cs="Arial"/>
          <w:sz w:val="20"/>
          <w:szCs w:val="20"/>
        </w:rPr>
        <w:t xml:space="preserve"> </w:t>
      </w:r>
      <w:r w:rsidRPr="00644886">
        <w:rPr>
          <w:rFonts w:cs="Arial"/>
          <w:sz w:val="20"/>
          <w:szCs w:val="20"/>
        </w:rPr>
        <w:t>I přes rostoucí výdaje na tato opatření však míra zamě</w:t>
      </w:r>
      <w:r w:rsidR="001D43C8">
        <w:rPr>
          <w:rFonts w:cs="Arial"/>
          <w:sz w:val="20"/>
          <w:szCs w:val="20"/>
        </w:rPr>
        <w:t>stnanosti těchto osob zůstává i </w:t>
      </w:r>
      <w:r w:rsidRPr="00644886">
        <w:rPr>
          <w:rFonts w:cs="Arial"/>
          <w:sz w:val="20"/>
          <w:szCs w:val="20"/>
        </w:rPr>
        <w:t xml:space="preserve">nadále neuspokojivá, je proto nezbytné posilovat i společenskou odpovědnost a pozitivní motivaci zaměstnavatelů i samotných osob se zdravotním postižením. </w:t>
      </w:r>
    </w:p>
    <w:p w14:paraId="109C5F4B" w14:textId="497705A0" w:rsidR="0045347A" w:rsidRDefault="007202AB" w:rsidP="00724E58">
      <w:pPr>
        <w:rPr>
          <w:rFonts w:cs="Arial"/>
          <w:sz w:val="20"/>
          <w:szCs w:val="20"/>
        </w:rPr>
      </w:pPr>
      <w:r w:rsidRPr="00644886">
        <w:rPr>
          <w:rFonts w:cs="Arial"/>
          <w:sz w:val="20"/>
          <w:szCs w:val="20"/>
        </w:rPr>
        <w:t>J</w:t>
      </w:r>
      <w:r w:rsidR="00E95269" w:rsidRPr="00644886">
        <w:rPr>
          <w:rFonts w:cs="Arial"/>
          <w:sz w:val="20"/>
          <w:szCs w:val="20"/>
        </w:rPr>
        <w:t xml:space="preserve">e </w:t>
      </w:r>
      <w:r w:rsidRPr="00644886">
        <w:rPr>
          <w:rFonts w:cs="Arial"/>
          <w:sz w:val="20"/>
          <w:szCs w:val="20"/>
        </w:rPr>
        <w:t>důležité</w:t>
      </w:r>
      <w:r w:rsidR="00F17E74" w:rsidRPr="00644886">
        <w:rPr>
          <w:rFonts w:cs="Arial"/>
          <w:sz w:val="20"/>
          <w:szCs w:val="20"/>
        </w:rPr>
        <w:t xml:space="preserve"> i respektování specifických potřeb konkrétních zaměstnanců a nastavení možnosti potřebné úpravy pracovního režimu či</w:t>
      </w:r>
      <w:r w:rsidR="00775FC2" w:rsidRPr="00644886">
        <w:rPr>
          <w:rFonts w:cs="Arial"/>
          <w:sz w:val="20"/>
          <w:szCs w:val="20"/>
        </w:rPr>
        <w:t> </w:t>
      </w:r>
      <w:r w:rsidR="00F17E74" w:rsidRPr="00644886">
        <w:rPr>
          <w:rFonts w:cs="Arial"/>
          <w:sz w:val="20"/>
          <w:szCs w:val="20"/>
        </w:rPr>
        <w:t>pracovního prostředí.</w:t>
      </w:r>
      <w:r w:rsidR="00F17E74" w:rsidRPr="003B4BCA">
        <w:rPr>
          <w:rFonts w:cs="Arial"/>
          <w:sz w:val="20"/>
          <w:szCs w:val="20"/>
        </w:rPr>
        <w:t xml:space="preserve"> </w:t>
      </w:r>
    </w:p>
    <w:p w14:paraId="761FAE67" w14:textId="77777777" w:rsidR="00724E58" w:rsidRPr="003B4BCA" w:rsidRDefault="00724E58" w:rsidP="00724E58">
      <w:pPr>
        <w:rPr>
          <w:rFonts w:cs="Arial"/>
          <w:sz w:val="20"/>
          <w:szCs w:val="20"/>
          <w:highlight w:val="yellow"/>
        </w:rPr>
      </w:pPr>
    </w:p>
    <w:p w14:paraId="3DD128ED" w14:textId="2954E4E4" w:rsidR="00F17E74" w:rsidRDefault="00F17E74" w:rsidP="00724E58">
      <w:pPr>
        <w:rPr>
          <w:rFonts w:cs="Arial"/>
          <w:b/>
          <w:bCs/>
          <w:szCs w:val="20"/>
        </w:rPr>
      </w:pPr>
      <w:r>
        <w:rPr>
          <w:rFonts w:cs="Arial"/>
          <w:b/>
          <w:bCs/>
          <w:szCs w:val="20"/>
        </w:rPr>
        <w:t xml:space="preserve">11.1 </w:t>
      </w:r>
      <w:r w:rsidRPr="000549E6">
        <w:rPr>
          <w:rFonts w:cs="Arial"/>
          <w:b/>
          <w:bCs/>
          <w:szCs w:val="20"/>
        </w:rPr>
        <w:t xml:space="preserve">Cíl: Efektivní </w:t>
      </w:r>
      <w:r w:rsidRPr="002D3B01">
        <w:rPr>
          <w:rFonts w:eastAsia="Calibri" w:cs="Arial"/>
          <w:b/>
          <w:bCs/>
          <w:szCs w:val="20"/>
        </w:rPr>
        <w:t>podpora</w:t>
      </w:r>
      <w:r w:rsidRPr="000549E6">
        <w:rPr>
          <w:rFonts w:cs="Arial"/>
          <w:b/>
          <w:bCs/>
          <w:szCs w:val="20"/>
        </w:rPr>
        <w:t xml:space="preserve"> zaměstnanosti osob se zdravotním postižením na chráněném i na otevřeném trhu práce. </w:t>
      </w:r>
    </w:p>
    <w:p w14:paraId="5DD9429F" w14:textId="77777777" w:rsidR="0064307A" w:rsidRPr="009E630E" w:rsidRDefault="0064307A" w:rsidP="0064307A">
      <w:pPr>
        <w:rPr>
          <w:rFonts w:cs="Arial"/>
          <w:szCs w:val="20"/>
        </w:rPr>
      </w:pPr>
      <w:r w:rsidRPr="0035060D">
        <w:rPr>
          <w:rFonts w:cs="Arial"/>
          <w:bCs/>
          <w:szCs w:val="20"/>
        </w:rPr>
        <w:t xml:space="preserve">Opatření </w:t>
      </w:r>
      <w:r>
        <w:rPr>
          <w:rFonts w:cs="Arial"/>
          <w:bCs/>
          <w:szCs w:val="20"/>
        </w:rPr>
        <w:t>11</w:t>
      </w:r>
      <w:r>
        <w:rPr>
          <w:rFonts w:cs="Arial"/>
          <w:szCs w:val="20"/>
        </w:rPr>
        <w:t>.1.1 Upravit nástroje</w:t>
      </w:r>
      <w:r w:rsidRPr="009E630E">
        <w:rPr>
          <w:rFonts w:cs="Arial"/>
          <w:szCs w:val="20"/>
        </w:rPr>
        <w:t xml:space="preserve"> podpory zaměstnávání osob se </w:t>
      </w:r>
      <w:r>
        <w:rPr>
          <w:rFonts w:cs="Arial"/>
          <w:szCs w:val="20"/>
        </w:rPr>
        <w:t>zdravotním postižením ukotvené</w:t>
      </w:r>
      <w:r w:rsidRPr="009E630E">
        <w:rPr>
          <w:rFonts w:cs="Arial"/>
          <w:szCs w:val="20"/>
        </w:rPr>
        <w:t xml:space="preserve"> </w:t>
      </w:r>
      <w:r w:rsidRPr="005F073C">
        <w:rPr>
          <w:rFonts w:cs="Arial"/>
          <w:szCs w:val="20"/>
        </w:rPr>
        <w:t>v</w:t>
      </w:r>
      <w:r>
        <w:rPr>
          <w:rFonts w:cs="Arial"/>
          <w:szCs w:val="20"/>
        </w:rPr>
        <w:t> </w:t>
      </w:r>
      <w:r w:rsidRPr="005F073C">
        <w:rPr>
          <w:rFonts w:cs="Arial"/>
          <w:szCs w:val="20"/>
        </w:rPr>
        <w:t>zákoně č. 435/2004 Sb.</w:t>
      </w:r>
      <w:r>
        <w:rPr>
          <w:rFonts w:cs="Arial"/>
          <w:szCs w:val="20"/>
        </w:rPr>
        <w:t>,</w:t>
      </w:r>
      <w:r w:rsidRPr="005F073C">
        <w:t xml:space="preserve"> </w:t>
      </w:r>
      <w:r w:rsidRPr="005F073C">
        <w:rPr>
          <w:rFonts w:cs="Arial"/>
          <w:szCs w:val="20"/>
        </w:rPr>
        <w:t>o zaměstnanosti, ve znění pozdějších předpisů</w:t>
      </w:r>
      <w:r>
        <w:rPr>
          <w:rFonts w:cs="Arial"/>
          <w:szCs w:val="20"/>
        </w:rPr>
        <w:t>,</w:t>
      </w:r>
      <w:r w:rsidRPr="005F073C">
        <w:rPr>
          <w:rFonts w:cs="Arial"/>
          <w:szCs w:val="20"/>
        </w:rPr>
        <w:t xml:space="preserve"> ve</w:t>
      </w:r>
      <w:r>
        <w:rPr>
          <w:rFonts w:cs="Arial"/>
          <w:szCs w:val="20"/>
        </w:rPr>
        <w:t> </w:t>
      </w:r>
      <w:r w:rsidRPr="005F073C">
        <w:rPr>
          <w:rFonts w:cs="Arial"/>
          <w:szCs w:val="20"/>
        </w:rPr>
        <w:t>smyslu zvýšení motivace</w:t>
      </w:r>
      <w:r w:rsidRPr="009E630E">
        <w:rPr>
          <w:rFonts w:cs="Arial"/>
          <w:szCs w:val="20"/>
        </w:rPr>
        <w:t xml:space="preserve"> zaměstnavatelů zaměstnávat osoby se</w:t>
      </w:r>
      <w:r>
        <w:rPr>
          <w:rFonts w:cs="Arial"/>
          <w:szCs w:val="20"/>
        </w:rPr>
        <w:t> </w:t>
      </w:r>
      <w:r w:rsidRPr="009E630E">
        <w:rPr>
          <w:rFonts w:cs="Arial"/>
          <w:szCs w:val="20"/>
        </w:rPr>
        <w:t>zdravotním postižením na</w:t>
      </w:r>
      <w:r>
        <w:rPr>
          <w:rFonts w:cs="Arial"/>
          <w:szCs w:val="20"/>
        </w:rPr>
        <w:t> volném trhu práce.</w:t>
      </w:r>
    </w:p>
    <w:p w14:paraId="72DDB7A2" w14:textId="77777777" w:rsidR="0064307A" w:rsidRDefault="0064307A" w:rsidP="0064307A">
      <w:pPr>
        <w:rPr>
          <w:rFonts w:cs="Arial"/>
          <w:szCs w:val="20"/>
        </w:rPr>
      </w:pPr>
      <w:r>
        <w:rPr>
          <w:rFonts w:cs="Arial"/>
          <w:szCs w:val="20"/>
        </w:rPr>
        <w:t xml:space="preserve">Termín: </w:t>
      </w:r>
      <w:proofErr w:type="gramStart"/>
      <w:r>
        <w:rPr>
          <w:rFonts w:cs="Arial"/>
          <w:szCs w:val="20"/>
        </w:rPr>
        <w:t>31.12.2023</w:t>
      </w:r>
      <w:proofErr w:type="gramEnd"/>
    </w:p>
    <w:p w14:paraId="3EDAB4F1" w14:textId="77777777" w:rsidR="0064307A" w:rsidRPr="009E630E" w:rsidRDefault="0064307A" w:rsidP="0064307A">
      <w:pPr>
        <w:rPr>
          <w:rFonts w:cs="Arial"/>
          <w:szCs w:val="20"/>
        </w:rPr>
      </w:pPr>
      <w:r w:rsidRPr="009E630E">
        <w:rPr>
          <w:rFonts w:cs="Arial"/>
          <w:szCs w:val="20"/>
        </w:rPr>
        <w:t xml:space="preserve">Gestor: MPSV </w:t>
      </w:r>
    </w:p>
    <w:p w14:paraId="675C5B63" w14:textId="77777777" w:rsidR="0064307A" w:rsidRPr="009E630E" w:rsidRDefault="0064307A" w:rsidP="0064307A">
      <w:pPr>
        <w:rPr>
          <w:rFonts w:cs="Arial"/>
          <w:szCs w:val="20"/>
        </w:rPr>
      </w:pPr>
      <w:r w:rsidRPr="009E630E">
        <w:rPr>
          <w:rFonts w:cs="Arial"/>
          <w:szCs w:val="20"/>
        </w:rPr>
        <w:t xml:space="preserve">Indikátor: </w:t>
      </w:r>
      <w:r>
        <w:rPr>
          <w:rFonts w:cs="Arial"/>
          <w:szCs w:val="20"/>
        </w:rPr>
        <w:t xml:space="preserve">Byla provedena úprava právních předpisů vedoucí k podpoře </w:t>
      </w:r>
      <w:r w:rsidRPr="00E12FAF">
        <w:rPr>
          <w:rFonts w:cs="Arial"/>
          <w:szCs w:val="20"/>
        </w:rPr>
        <w:t>zaměstnávání osob se</w:t>
      </w:r>
      <w:r>
        <w:rPr>
          <w:rFonts w:cs="Arial"/>
          <w:szCs w:val="20"/>
        </w:rPr>
        <w:t> </w:t>
      </w:r>
      <w:r w:rsidRPr="00E12FAF">
        <w:rPr>
          <w:rFonts w:cs="Arial"/>
          <w:szCs w:val="20"/>
        </w:rPr>
        <w:t>zdravotním postižením</w:t>
      </w:r>
      <w:r>
        <w:rPr>
          <w:rFonts w:cs="Arial"/>
          <w:szCs w:val="20"/>
        </w:rPr>
        <w:t xml:space="preserve"> na volném trhu práce.</w:t>
      </w:r>
    </w:p>
    <w:p w14:paraId="38DDB4ED" w14:textId="1D778336" w:rsidR="0064307A" w:rsidRDefault="0064307A" w:rsidP="0064307A">
      <w:pPr>
        <w:rPr>
          <w:rFonts w:cs="Arial"/>
          <w:b/>
          <w:bCs/>
          <w:szCs w:val="20"/>
        </w:rPr>
      </w:pPr>
    </w:p>
    <w:p w14:paraId="04A08C96" w14:textId="5971E201" w:rsidR="005F3FA6" w:rsidRPr="00DA169C" w:rsidRDefault="005F3FA6" w:rsidP="005F3FA6">
      <w:pPr>
        <w:keepNext/>
        <w:tabs>
          <w:tab w:val="left" w:pos="720"/>
        </w:tabs>
        <w:rPr>
          <w:rFonts w:cs="Arial"/>
          <w:b/>
          <w:bCs/>
          <w:sz w:val="20"/>
          <w:szCs w:val="20"/>
          <w:lang w:eastAsia="cs-CZ"/>
        </w:rPr>
      </w:pPr>
      <w:r w:rsidRPr="00DA169C">
        <w:rPr>
          <w:rFonts w:cs="Arial"/>
          <w:b/>
          <w:bCs/>
          <w:sz w:val="20"/>
          <w:szCs w:val="20"/>
          <w:lang w:eastAsia="cs-CZ"/>
        </w:rPr>
        <w:t>PLNĚNÍ MPSV:</w:t>
      </w:r>
    </w:p>
    <w:p w14:paraId="3C44FC0A" w14:textId="77777777" w:rsidR="002F76E1" w:rsidRPr="002F76E1" w:rsidRDefault="002F76E1" w:rsidP="00E111C3">
      <w:pPr>
        <w:spacing w:after="0"/>
        <w:rPr>
          <w:bCs/>
          <w:iCs/>
          <w:sz w:val="20"/>
          <w:szCs w:val="20"/>
        </w:rPr>
      </w:pPr>
      <w:r w:rsidRPr="002F76E1">
        <w:rPr>
          <w:bCs/>
          <w:iCs/>
          <w:sz w:val="20"/>
          <w:szCs w:val="20"/>
        </w:rPr>
        <w:t xml:space="preserve">Během roku 2023 probíhaly práce na návrhu dotčené právní úpravy. Novela zákona č. 435/2004 Sb., o zaměstnanosti, ve znění pozdějších předpisů (dále jen „zákon o zaměstnanosti“), v oblasti podpory zaměstnávání osob se ZP je nyní v legislativním procesu. Dne 4. ledna 2024 skončilo meziresortní </w:t>
      </w:r>
      <w:r w:rsidRPr="002F76E1">
        <w:rPr>
          <w:bCs/>
          <w:iCs/>
          <w:sz w:val="20"/>
          <w:szCs w:val="20"/>
        </w:rPr>
        <w:lastRenderedPageBreak/>
        <w:t xml:space="preserve">připomínkové řízení, materiál byl po vypořádání zaslán k projednání do vlády a zařazen na program pracovních komisí LRV:  </w:t>
      </w:r>
    </w:p>
    <w:p w14:paraId="3D85CD7F" w14:textId="77777777" w:rsidR="002F76E1" w:rsidRPr="002F76E1" w:rsidRDefault="002F76E1" w:rsidP="00E111C3">
      <w:pPr>
        <w:pStyle w:val="Seznamsodrkami"/>
        <w:spacing w:after="0"/>
        <w:contextualSpacing w:val="0"/>
        <w:rPr>
          <w:iCs/>
          <w:sz w:val="20"/>
          <w:szCs w:val="20"/>
        </w:rPr>
      </w:pPr>
      <w:r w:rsidRPr="002F76E1">
        <w:rPr>
          <w:iCs/>
          <w:sz w:val="20"/>
          <w:szCs w:val="20"/>
        </w:rPr>
        <w:t>Komise pro pracovní právo – 26. 4. 2024 (stanovisko zapsáno 29. 4. 2024)</w:t>
      </w:r>
    </w:p>
    <w:p w14:paraId="51294E03" w14:textId="77777777" w:rsidR="002F76E1" w:rsidRPr="002F76E1" w:rsidRDefault="002F76E1" w:rsidP="002F76E1">
      <w:pPr>
        <w:pStyle w:val="Seznamsodrkami"/>
        <w:rPr>
          <w:iCs/>
          <w:sz w:val="20"/>
          <w:szCs w:val="20"/>
        </w:rPr>
      </w:pPr>
      <w:r w:rsidRPr="002F76E1">
        <w:rPr>
          <w:iCs/>
          <w:sz w:val="20"/>
          <w:szCs w:val="20"/>
        </w:rPr>
        <w:t>Komise pro správní právo – 29. 4. 2024 (stanovisko zapsáno 20. 5. 2024)</w:t>
      </w:r>
    </w:p>
    <w:p w14:paraId="38A2B0DE" w14:textId="77777777" w:rsidR="002F76E1" w:rsidRPr="002F76E1" w:rsidRDefault="002F76E1" w:rsidP="002F76E1">
      <w:pPr>
        <w:pStyle w:val="Seznamsodrkami"/>
        <w:rPr>
          <w:iCs/>
          <w:sz w:val="20"/>
          <w:szCs w:val="20"/>
        </w:rPr>
      </w:pPr>
      <w:r w:rsidRPr="002F76E1">
        <w:rPr>
          <w:iCs/>
          <w:sz w:val="20"/>
          <w:szCs w:val="20"/>
        </w:rPr>
        <w:t xml:space="preserve">Komise pro </w:t>
      </w:r>
      <w:proofErr w:type="gramStart"/>
      <w:r w:rsidRPr="002F76E1">
        <w:rPr>
          <w:iCs/>
          <w:sz w:val="20"/>
          <w:szCs w:val="20"/>
        </w:rPr>
        <w:t>RIA</w:t>
      </w:r>
      <w:proofErr w:type="gramEnd"/>
      <w:r w:rsidRPr="002F76E1">
        <w:rPr>
          <w:iCs/>
          <w:sz w:val="20"/>
          <w:szCs w:val="20"/>
        </w:rPr>
        <w:t xml:space="preserve"> – 3. 5. 2024 – (stanovisko zapsáno 10. 5. 2024)</w:t>
      </w:r>
    </w:p>
    <w:p w14:paraId="5467FE14" w14:textId="77777777" w:rsidR="002F76E1" w:rsidRPr="002F76E1" w:rsidRDefault="002F76E1" w:rsidP="002F76E1">
      <w:pPr>
        <w:pStyle w:val="Seznamsodrkami"/>
        <w:rPr>
          <w:iCs/>
          <w:sz w:val="20"/>
          <w:szCs w:val="20"/>
        </w:rPr>
      </w:pPr>
      <w:r w:rsidRPr="002F76E1">
        <w:rPr>
          <w:iCs/>
          <w:sz w:val="20"/>
          <w:szCs w:val="20"/>
        </w:rPr>
        <w:t xml:space="preserve">Komise pro finanční právo – (stanovisko zapsáno dne 27. 5. 2024) </w:t>
      </w:r>
    </w:p>
    <w:p w14:paraId="348B1F68" w14:textId="77777777" w:rsidR="002F76E1" w:rsidRPr="002F76E1" w:rsidRDefault="002F76E1" w:rsidP="002F76E1">
      <w:pPr>
        <w:rPr>
          <w:bCs/>
          <w:iCs/>
          <w:sz w:val="20"/>
          <w:szCs w:val="20"/>
        </w:rPr>
      </w:pPr>
      <w:r w:rsidRPr="002F76E1">
        <w:rPr>
          <w:bCs/>
          <w:iCs/>
          <w:sz w:val="20"/>
          <w:szCs w:val="20"/>
        </w:rPr>
        <w:t xml:space="preserve">V současné době probíhá příprava stanoviska předsedy LRV. </w:t>
      </w:r>
    </w:p>
    <w:p w14:paraId="554EC2E4" w14:textId="4B22750A" w:rsidR="002F76E1" w:rsidRPr="00E111C3" w:rsidRDefault="002F76E1" w:rsidP="00DA169C">
      <w:pPr>
        <w:rPr>
          <w:bCs/>
          <w:sz w:val="20"/>
          <w:szCs w:val="20"/>
        </w:rPr>
      </w:pPr>
      <w:r w:rsidRPr="002F76E1">
        <w:rPr>
          <w:bCs/>
          <w:iCs/>
          <w:sz w:val="20"/>
          <w:szCs w:val="20"/>
        </w:rPr>
        <w:t>Novela obsahuje opatření zaměřená na motivaci zaměstnavatelů zaměstnávat osoby se ZP na volném trhu práce. Konkrétně se jedná o odstupňování odvodu do st</w:t>
      </w:r>
      <w:r w:rsidR="001D43C8">
        <w:rPr>
          <w:bCs/>
          <w:iCs/>
          <w:sz w:val="20"/>
          <w:szCs w:val="20"/>
        </w:rPr>
        <w:t>átního rozpočtu jakožto jedné z </w:t>
      </w:r>
      <w:r w:rsidRPr="002F76E1">
        <w:rPr>
          <w:bCs/>
          <w:iCs/>
          <w:sz w:val="20"/>
          <w:szCs w:val="20"/>
        </w:rPr>
        <w:t>forem plnění povinného podílu zaměstnávání osob se ZP, a to v závislosti na rozsahu př</w:t>
      </w:r>
      <w:r>
        <w:rPr>
          <w:bCs/>
          <w:iCs/>
          <w:sz w:val="20"/>
          <w:szCs w:val="20"/>
        </w:rPr>
        <w:t>ímého zaměstnávání těchto osob.</w:t>
      </w:r>
    </w:p>
    <w:p w14:paraId="1E3E13C9" w14:textId="17E075E3" w:rsidR="005F3FA6" w:rsidRPr="00DA169C" w:rsidRDefault="005F3FA6" w:rsidP="005F3FA6">
      <w:pPr>
        <w:keepNext/>
        <w:tabs>
          <w:tab w:val="left" w:pos="720"/>
        </w:tabs>
        <w:rPr>
          <w:rFonts w:cs="Arial"/>
          <w:b/>
          <w:bCs/>
          <w:sz w:val="20"/>
          <w:szCs w:val="20"/>
          <w:lang w:eastAsia="cs-CZ"/>
        </w:rPr>
      </w:pPr>
      <w:r w:rsidRPr="00DA169C">
        <w:rPr>
          <w:rFonts w:cs="Arial"/>
          <w:b/>
          <w:bCs/>
          <w:sz w:val="20"/>
          <w:szCs w:val="20"/>
          <w:lang w:eastAsia="cs-CZ"/>
        </w:rPr>
        <w:t>STANOVISKO K PLNĚNÍ</w:t>
      </w:r>
      <w:r w:rsidRPr="00214E0B">
        <w:rPr>
          <w:rFonts w:cs="Arial"/>
          <w:b/>
          <w:bCs/>
          <w:sz w:val="20"/>
          <w:szCs w:val="20"/>
          <w:lang w:eastAsia="cs-CZ"/>
        </w:rPr>
        <w:t xml:space="preserve">: </w:t>
      </w:r>
      <w:r w:rsidR="002831E8" w:rsidRPr="00214E0B">
        <w:rPr>
          <w:rFonts w:cs="Arial"/>
          <w:b/>
          <w:bCs/>
          <w:sz w:val="20"/>
          <w:szCs w:val="20"/>
          <w:lang w:eastAsia="cs-CZ"/>
        </w:rPr>
        <w:t>Nesp</w:t>
      </w:r>
      <w:r w:rsidRPr="00214E0B">
        <w:rPr>
          <w:rFonts w:cs="Arial"/>
          <w:b/>
          <w:bCs/>
          <w:sz w:val="20"/>
          <w:szCs w:val="20"/>
          <w:lang w:eastAsia="cs-CZ"/>
        </w:rPr>
        <w:t xml:space="preserve">lněno. </w:t>
      </w:r>
      <w:r w:rsidR="002831E8" w:rsidRPr="00214E0B">
        <w:rPr>
          <w:rFonts w:cs="Arial"/>
          <w:b/>
          <w:bCs/>
          <w:sz w:val="20"/>
          <w:szCs w:val="20"/>
          <w:lang w:eastAsia="cs-CZ"/>
        </w:rPr>
        <w:t xml:space="preserve">Navržen posun termínu do </w:t>
      </w:r>
      <w:proofErr w:type="gramStart"/>
      <w:r w:rsidR="002831E8" w:rsidRPr="00214E0B">
        <w:rPr>
          <w:rFonts w:cs="Arial"/>
          <w:b/>
          <w:bCs/>
          <w:sz w:val="20"/>
          <w:szCs w:val="20"/>
          <w:lang w:eastAsia="cs-CZ"/>
        </w:rPr>
        <w:t>31.12.2024</w:t>
      </w:r>
      <w:proofErr w:type="gramEnd"/>
      <w:r w:rsidR="002831E8" w:rsidRPr="00214E0B">
        <w:rPr>
          <w:rFonts w:cs="Arial"/>
          <w:b/>
          <w:bCs/>
          <w:sz w:val="20"/>
          <w:szCs w:val="20"/>
          <w:lang w:eastAsia="cs-CZ"/>
        </w:rPr>
        <w:t>.</w:t>
      </w:r>
    </w:p>
    <w:p w14:paraId="0CF18038" w14:textId="77777777" w:rsidR="005F3FA6" w:rsidRPr="00DA169C" w:rsidRDefault="005F3FA6" w:rsidP="0064307A">
      <w:pPr>
        <w:rPr>
          <w:rFonts w:cs="Arial"/>
          <w:b/>
          <w:bCs/>
          <w:sz w:val="20"/>
          <w:szCs w:val="20"/>
        </w:rPr>
      </w:pPr>
    </w:p>
    <w:p w14:paraId="79057AB6" w14:textId="77777777" w:rsidR="0064307A" w:rsidRPr="009E630E" w:rsidRDefault="0064307A" w:rsidP="0064307A">
      <w:pPr>
        <w:rPr>
          <w:rFonts w:cs="Arial"/>
          <w:szCs w:val="20"/>
        </w:rPr>
      </w:pPr>
      <w:r w:rsidRPr="0035060D">
        <w:rPr>
          <w:rFonts w:cs="Arial"/>
          <w:bCs/>
          <w:szCs w:val="20"/>
        </w:rPr>
        <w:t xml:space="preserve">Opatření </w:t>
      </w:r>
      <w:r>
        <w:rPr>
          <w:rFonts w:cs="Arial"/>
          <w:bCs/>
          <w:szCs w:val="20"/>
        </w:rPr>
        <w:t>11</w:t>
      </w:r>
      <w:r>
        <w:rPr>
          <w:rFonts w:cs="Arial"/>
          <w:szCs w:val="20"/>
        </w:rPr>
        <w:t>.1.2 Provést d</w:t>
      </w:r>
      <w:r w:rsidRPr="009E630E">
        <w:rPr>
          <w:rFonts w:cs="Arial"/>
          <w:szCs w:val="20"/>
        </w:rPr>
        <w:t>ílčí úpravy podpory zaměstnávání osob se zdravotním postižením na</w:t>
      </w:r>
      <w:r>
        <w:rPr>
          <w:rFonts w:cs="Arial"/>
          <w:szCs w:val="20"/>
        </w:rPr>
        <w:t> </w:t>
      </w:r>
      <w:r w:rsidRPr="009E630E">
        <w:rPr>
          <w:rFonts w:cs="Arial"/>
          <w:szCs w:val="20"/>
        </w:rPr>
        <w:t xml:space="preserve">chráněném trhu práce ukotvené </w:t>
      </w:r>
      <w:r w:rsidRPr="005F073C">
        <w:rPr>
          <w:rFonts w:cs="Arial"/>
          <w:szCs w:val="20"/>
        </w:rPr>
        <w:t>v zákoně č. 435/2004 Sb.</w:t>
      </w:r>
      <w:r>
        <w:rPr>
          <w:rFonts w:cs="Arial"/>
          <w:szCs w:val="20"/>
        </w:rPr>
        <w:t>,</w:t>
      </w:r>
      <w:r w:rsidRPr="005F073C">
        <w:t xml:space="preserve"> </w:t>
      </w:r>
      <w:r w:rsidRPr="005F073C">
        <w:rPr>
          <w:rFonts w:cs="Arial"/>
          <w:szCs w:val="20"/>
        </w:rPr>
        <w:t>o zaměstnanosti,</w:t>
      </w:r>
      <w:r>
        <w:rPr>
          <w:rFonts w:cs="Arial"/>
          <w:szCs w:val="20"/>
        </w:rPr>
        <w:t xml:space="preserve"> ve znění pozdějších předpisů,</w:t>
      </w:r>
      <w:r w:rsidRPr="009E630E">
        <w:rPr>
          <w:rFonts w:cs="Arial"/>
          <w:szCs w:val="20"/>
        </w:rPr>
        <w:t xml:space="preserve"> ve smysl</w:t>
      </w:r>
      <w:r>
        <w:rPr>
          <w:rFonts w:cs="Arial"/>
          <w:szCs w:val="20"/>
        </w:rPr>
        <w:t>u eliminace zneužívání podpory.</w:t>
      </w:r>
    </w:p>
    <w:p w14:paraId="624188CF" w14:textId="77777777" w:rsidR="0064307A" w:rsidRDefault="0064307A" w:rsidP="0064307A">
      <w:pPr>
        <w:rPr>
          <w:rFonts w:cs="Arial"/>
          <w:szCs w:val="20"/>
        </w:rPr>
      </w:pPr>
      <w:r>
        <w:rPr>
          <w:rFonts w:cs="Arial"/>
          <w:szCs w:val="20"/>
        </w:rPr>
        <w:t xml:space="preserve">Termín: </w:t>
      </w:r>
      <w:proofErr w:type="gramStart"/>
      <w:r>
        <w:rPr>
          <w:rFonts w:cs="Arial"/>
          <w:szCs w:val="20"/>
        </w:rPr>
        <w:t>31.12.2023</w:t>
      </w:r>
      <w:proofErr w:type="gramEnd"/>
    </w:p>
    <w:p w14:paraId="072A4E3C" w14:textId="77777777" w:rsidR="0064307A" w:rsidRPr="009E630E" w:rsidRDefault="0064307A" w:rsidP="0064307A">
      <w:pPr>
        <w:rPr>
          <w:rFonts w:cs="Arial"/>
          <w:szCs w:val="20"/>
        </w:rPr>
      </w:pPr>
      <w:r w:rsidRPr="009E630E">
        <w:rPr>
          <w:rFonts w:cs="Arial"/>
          <w:szCs w:val="20"/>
        </w:rPr>
        <w:t>G</w:t>
      </w:r>
      <w:r>
        <w:rPr>
          <w:rFonts w:cs="Arial"/>
          <w:szCs w:val="20"/>
        </w:rPr>
        <w:t>estor: MPSV</w:t>
      </w:r>
    </w:p>
    <w:p w14:paraId="7D080FE3" w14:textId="310EEBD7" w:rsidR="0064307A" w:rsidRDefault="0064307A" w:rsidP="0064307A">
      <w:pPr>
        <w:rPr>
          <w:rFonts w:cs="Arial"/>
          <w:szCs w:val="20"/>
        </w:rPr>
      </w:pPr>
      <w:r w:rsidRPr="009E630E">
        <w:rPr>
          <w:rFonts w:cs="Arial"/>
          <w:szCs w:val="20"/>
        </w:rPr>
        <w:t xml:space="preserve">Indikátor: </w:t>
      </w:r>
      <w:r w:rsidRPr="00E12FAF">
        <w:rPr>
          <w:rFonts w:cs="Arial"/>
          <w:szCs w:val="20"/>
        </w:rPr>
        <w:t>Byla pro</w:t>
      </w:r>
      <w:r>
        <w:rPr>
          <w:rFonts w:cs="Arial"/>
          <w:szCs w:val="20"/>
        </w:rPr>
        <w:t>vedena úprava právních předpisů</w:t>
      </w:r>
      <w:r w:rsidRPr="00E12FAF">
        <w:rPr>
          <w:rFonts w:cs="Arial"/>
          <w:szCs w:val="20"/>
        </w:rPr>
        <w:t xml:space="preserve"> </w:t>
      </w:r>
      <w:r>
        <w:rPr>
          <w:rFonts w:cs="Arial"/>
          <w:szCs w:val="20"/>
        </w:rPr>
        <w:t>týkající se eliminace zneužívání podpory zaměstnávání osob se zdravotním postižením na chráněném trhu práce.</w:t>
      </w:r>
    </w:p>
    <w:p w14:paraId="247A5A05" w14:textId="72A7168B" w:rsidR="00C95149" w:rsidRDefault="00C95149" w:rsidP="0064307A">
      <w:pPr>
        <w:rPr>
          <w:rFonts w:cs="Arial"/>
          <w:szCs w:val="20"/>
        </w:rPr>
      </w:pPr>
    </w:p>
    <w:p w14:paraId="5E59D9D3" w14:textId="348ED208" w:rsidR="00C95149" w:rsidRPr="00467BBB" w:rsidRDefault="00C95149" w:rsidP="00C95149">
      <w:pPr>
        <w:keepNext/>
        <w:tabs>
          <w:tab w:val="left" w:pos="720"/>
        </w:tabs>
        <w:rPr>
          <w:rFonts w:cs="Arial"/>
          <w:b/>
          <w:bCs/>
          <w:sz w:val="20"/>
          <w:szCs w:val="20"/>
          <w:lang w:eastAsia="cs-CZ"/>
        </w:rPr>
      </w:pPr>
      <w:r w:rsidRPr="00467BBB">
        <w:rPr>
          <w:rFonts w:cs="Arial"/>
          <w:b/>
          <w:bCs/>
          <w:sz w:val="20"/>
          <w:szCs w:val="20"/>
          <w:lang w:eastAsia="cs-CZ"/>
        </w:rPr>
        <w:t>PLNĚNÍ MPSV:</w:t>
      </w:r>
    </w:p>
    <w:p w14:paraId="56D316DC" w14:textId="4738D735" w:rsidR="00527397" w:rsidRPr="00527397" w:rsidRDefault="00527397" w:rsidP="00527397">
      <w:pPr>
        <w:rPr>
          <w:bCs/>
          <w:iCs/>
          <w:sz w:val="20"/>
          <w:szCs w:val="20"/>
        </w:rPr>
      </w:pPr>
      <w:r w:rsidRPr="00527397">
        <w:rPr>
          <w:bCs/>
          <w:iCs/>
          <w:sz w:val="20"/>
          <w:szCs w:val="20"/>
        </w:rPr>
        <w:t>Novela zákona o zaměstnanosti obsahující oblast podpory zaměstnávání osob se ZP je nyní v legislativním procesu. Dne 4. ledna 2024 skončilo meziresortní připomínkové řízení, materiál byl po vypořádání zaslán k projednání do vlády a zařazen na</w:t>
      </w:r>
      <w:r>
        <w:rPr>
          <w:bCs/>
          <w:iCs/>
          <w:sz w:val="20"/>
          <w:szCs w:val="20"/>
        </w:rPr>
        <w:t xml:space="preserve"> program pracovních komisí LRV.</w:t>
      </w:r>
    </w:p>
    <w:p w14:paraId="23FD1188" w14:textId="77777777" w:rsidR="00527397" w:rsidRPr="00527397" w:rsidRDefault="00527397" w:rsidP="00527397">
      <w:pPr>
        <w:rPr>
          <w:iCs/>
          <w:sz w:val="20"/>
          <w:szCs w:val="20"/>
        </w:rPr>
      </w:pPr>
      <w:r w:rsidRPr="00527397">
        <w:rPr>
          <w:bCs/>
          <w:iCs/>
          <w:sz w:val="20"/>
          <w:szCs w:val="20"/>
        </w:rPr>
        <w:t>V současné době probíhá příprava stanoviska předsedy LRV.</w:t>
      </w:r>
    </w:p>
    <w:p w14:paraId="6F2B093A" w14:textId="3E965AD5" w:rsidR="00527397" w:rsidRPr="00527397" w:rsidRDefault="00527397" w:rsidP="00527397">
      <w:pPr>
        <w:rPr>
          <w:rFonts w:cs="Arial"/>
          <w:bCs/>
          <w:sz w:val="20"/>
          <w:szCs w:val="20"/>
        </w:rPr>
      </w:pPr>
      <w:r w:rsidRPr="00527397">
        <w:rPr>
          <w:iCs/>
          <w:sz w:val="20"/>
          <w:szCs w:val="20"/>
        </w:rPr>
        <w:t>Novela obsahuje opatření zaměřené na regulaci zneužívání provozní části příspěvku dle § 78a zákona o zaměstnanosti, konkrétně stanovuje strop maximální částky a zpřesňuje uznatelné náklady, které je možné z příspěvku financovat.</w:t>
      </w:r>
    </w:p>
    <w:p w14:paraId="0F18BFBF" w14:textId="24A9B052" w:rsidR="00C95149" w:rsidRPr="00467BBB" w:rsidRDefault="00C95149" w:rsidP="00C95149">
      <w:pPr>
        <w:keepNext/>
        <w:tabs>
          <w:tab w:val="left" w:pos="720"/>
        </w:tabs>
        <w:rPr>
          <w:rFonts w:cs="Arial"/>
          <w:b/>
          <w:bCs/>
          <w:sz w:val="20"/>
          <w:szCs w:val="20"/>
          <w:lang w:eastAsia="cs-CZ"/>
        </w:rPr>
      </w:pPr>
      <w:r w:rsidRPr="00467BBB">
        <w:rPr>
          <w:rFonts w:cs="Arial"/>
          <w:b/>
          <w:bCs/>
          <w:sz w:val="20"/>
          <w:szCs w:val="20"/>
          <w:lang w:eastAsia="cs-CZ"/>
        </w:rPr>
        <w:t xml:space="preserve">STANOVISKO K PLNĚNÍ: </w:t>
      </w:r>
      <w:r w:rsidRPr="002C5377">
        <w:rPr>
          <w:rFonts w:cs="Arial"/>
          <w:b/>
          <w:bCs/>
          <w:sz w:val="20"/>
          <w:szCs w:val="20"/>
          <w:lang w:eastAsia="cs-CZ"/>
        </w:rPr>
        <w:t xml:space="preserve">Nesplněno. Navržen posun termínu do </w:t>
      </w:r>
      <w:proofErr w:type="gramStart"/>
      <w:r w:rsidRPr="002C5377">
        <w:rPr>
          <w:rFonts w:cs="Arial"/>
          <w:b/>
          <w:bCs/>
          <w:sz w:val="20"/>
          <w:szCs w:val="20"/>
          <w:lang w:eastAsia="cs-CZ"/>
        </w:rPr>
        <w:t>31.12.2024</w:t>
      </w:r>
      <w:proofErr w:type="gramEnd"/>
      <w:r w:rsidRPr="002C5377">
        <w:rPr>
          <w:rFonts w:cs="Arial"/>
          <w:b/>
          <w:bCs/>
          <w:sz w:val="20"/>
          <w:szCs w:val="20"/>
          <w:lang w:eastAsia="cs-CZ"/>
        </w:rPr>
        <w:t>.</w:t>
      </w:r>
    </w:p>
    <w:p w14:paraId="498C7CAE" w14:textId="77777777" w:rsidR="0064307A" w:rsidRDefault="0064307A" w:rsidP="0064307A">
      <w:pPr>
        <w:rPr>
          <w:rFonts w:cs="Arial"/>
          <w:b/>
          <w:bCs/>
          <w:szCs w:val="20"/>
        </w:rPr>
      </w:pPr>
    </w:p>
    <w:p w14:paraId="5B174F88" w14:textId="492E38C2" w:rsidR="00F17E74" w:rsidRPr="00EC56EA" w:rsidRDefault="00F17E74" w:rsidP="00F17E74">
      <w:pPr>
        <w:rPr>
          <w:rFonts w:cs="Arial"/>
          <w:szCs w:val="20"/>
        </w:rPr>
      </w:pPr>
      <w:r w:rsidRPr="00EC56EA">
        <w:rPr>
          <w:rFonts w:cs="Arial"/>
          <w:bCs/>
          <w:szCs w:val="20"/>
        </w:rPr>
        <w:t>Opatření 11</w:t>
      </w:r>
      <w:r w:rsidRPr="00EC56EA">
        <w:rPr>
          <w:rFonts w:cs="Arial"/>
          <w:szCs w:val="20"/>
        </w:rPr>
        <w:t>.1.</w:t>
      </w:r>
      <w:r w:rsidR="003D002C" w:rsidRPr="00EC56EA">
        <w:rPr>
          <w:rFonts w:cs="Arial"/>
          <w:szCs w:val="20"/>
        </w:rPr>
        <w:t>3</w:t>
      </w:r>
      <w:r w:rsidRPr="00EC56EA">
        <w:rPr>
          <w:rFonts w:cs="Arial"/>
          <w:szCs w:val="20"/>
        </w:rPr>
        <w:t xml:space="preserve"> Jednou ročně předkládat VVOZP vyhodnocení realizace projektu „Rozvoj systému podpory zaměstnávání osob se zdravotním postižením na volném trhu práce“. Vyhodnocení bude obsahovat informace o počtu podpořených osob se zdravotním postižením v rámci projektu a o počtu osob se zdravotním postižením umístěných prostřednictvím projektových aktivit na trh práce v rozčlenění na chráněný a volný trh práce. </w:t>
      </w:r>
    </w:p>
    <w:p w14:paraId="1B9C7B0E" w14:textId="1C536B07" w:rsidR="009032F2" w:rsidRDefault="009032F2" w:rsidP="00F17E74">
      <w:pPr>
        <w:rPr>
          <w:rFonts w:cs="Arial"/>
          <w:szCs w:val="20"/>
        </w:rPr>
      </w:pPr>
      <w:r w:rsidRPr="00EC56EA">
        <w:rPr>
          <w:rFonts w:cs="Arial"/>
          <w:szCs w:val="20"/>
        </w:rPr>
        <w:t>Termín: 1x ročně po dobu realizace projektu</w:t>
      </w:r>
    </w:p>
    <w:p w14:paraId="663798A3" w14:textId="77777777" w:rsidR="006E6C0F" w:rsidRDefault="00F17E74" w:rsidP="006E6C0F">
      <w:pPr>
        <w:rPr>
          <w:rFonts w:cs="Arial"/>
          <w:szCs w:val="20"/>
        </w:rPr>
      </w:pPr>
      <w:r w:rsidRPr="00EC56EA">
        <w:rPr>
          <w:rFonts w:cs="Arial"/>
          <w:szCs w:val="20"/>
        </w:rPr>
        <w:t>Gestor: MPSV, ÚP</w:t>
      </w:r>
    </w:p>
    <w:p w14:paraId="79D693B5" w14:textId="33181D28" w:rsidR="00F17E74" w:rsidRDefault="00F17E74" w:rsidP="006E6C0F">
      <w:pPr>
        <w:rPr>
          <w:rFonts w:cs="Arial"/>
          <w:szCs w:val="20"/>
        </w:rPr>
      </w:pPr>
      <w:r w:rsidRPr="00EC56EA">
        <w:rPr>
          <w:rFonts w:cs="Arial"/>
          <w:szCs w:val="20"/>
        </w:rPr>
        <w:t>Indikátor: Byla podána zpráva o vyhodnocení projektu.</w:t>
      </w:r>
    </w:p>
    <w:p w14:paraId="3F234F3D" w14:textId="77777777" w:rsidR="0029791F" w:rsidRPr="00EB19DA" w:rsidRDefault="0029791F" w:rsidP="00EB19DA">
      <w:pPr>
        <w:rPr>
          <w:rFonts w:cs="Arial"/>
          <w:sz w:val="20"/>
          <w:szCs w:val="20"/>
        </w:rPr>
      </w:pPr>
    </w:p>
    <w:p w14:paraId="729977DB" w14:textId="69383449" w:rsidR="0029791F" w:rsidRDefault="0029791F" w:rsidP="00EB19DA">
      <w:pPr>
        <w:keepNext/>
        <w:tabs>
          <w:tab w:val="left" w:pos="720"/>
        </w:tabs>
        <w:rPr>
          <w:rFonts w:cs="Arial"/>
          <w:b/>
          <w:bCs/>
          <w:sz w:val="20"/>
          <w:szCs w:val="20"/>
          <w:lang w:eastAsia="cs-CZ"/>
        </w:rPr>
      </w:pPr>
      <w:r w:rsidRPr="00EB19DA">
        <w:rPr>
          <w:rFonts w:cs="Arial"/>
          <w:b/>
          <w:bCs/>
          <w:sz w:val="20"/>
          <w:szCs w:val="20"/>
          <w:lang w:eastAsia="cs-CZ"/>
        </w:rPr>
        <w:t>PLNĚNÍ MPSV:</w:t>
      </w:r>
    </w:p>
    <w:p w14:paraId="2C3AD253" w14:textId="34109007" w:rsidR="000557B8" w:rsidRPr="004040B7" w:rsidRDefault="000557B8" w:rsidP="004040B7">
      <w:pPr>
        <w:autoSpaceDE w:val="0"/>
        <w:autoSpaceDN w:val="0"/>
        <w:adjustRightInd w:val="0"/>
        <w:rPr>
          <w:rFonts w:cs="Arial"/>
          <w:sz w:val="20"/>
          <w:szCs w:val="20"/>
        </w:rPr>
      </w:pPr>
      <w:r w:rsidRPr="004040B7">
        <w:rPr>
          <w:rFonts w:cs="Arial"/>
          <w:sz w:val="20"/>
          <w:szCs w:val="20"/>
        </w:rPr>
        <w:t>Zpráv</w:t>
      </w:r>
      <w:r w:rsidR="00FF10DF" w:rsidRPr="004040B7">
        <w:rPr>
          <w:rFonts w:cs="Arial"/>
          <w:sz w:val="20"/>
          <w:szCs w:val="20"/>
        </w:rPr>
        <w:t>a</w:t>
      </w:r>
      <w:r w:rsidRPr="004040B7">
        <w:rPr>
          <w:rFonts w:cs="Arial"/>
          <w:sz w:val="20"/>
          <w:szCs w:val="20"/>
        </w:rPr>
        <w:t xml:space="preserve"> o vyhodnocení projektu </w:t>
      </w:r>
      <w:r w:rsidR="00FF10DF" w:rsidRPr="004040B7">
        <w:rPr>
          <w:rFonts w:cs="Arial"/>
          <w:sz w:val="20"/>
          <w:szCs w:val="20"/>
        </w:rPr>
        <w:t xml:space="preserve">byla sekretariátu VVOZP zaslána. </w:t>
      </w:r>
      <w:r w:rsidR="00FF10DF" w:rsidRPr="00181AD3">
        <w:rPr>
          <w:rFonts w:cs="Arial"/>
          <w:sz w:val="20"/>
          <w:szCs w:val="20"/>
        </w:rPr>
        <w:t>Realizace projektu byla ukončena</w:t>
      </w:r>
      <w:r w:rsidR="00FF10DF" w:rsidRPr="004040B7">
        <w:rPr>
          <w:rFonts w:cs="Arial"/>
          <w:sz w:val="20"/>
          <w:szCs w:val="20"/>
        </w:rPr>
        <w:t xml:space="preserve"> k </w:t>
      </w:r>
      <w:proofErr w:type="gramStart"/>
      <w:r w:rsidR="00FF10DF" w:rsidRPr="004040B7">
        <w:rPr>
          <w:rFonts w:cs="Arial"/>
          <w:sz w:val="20"/>
          <w:szCs w:val="20"/>
        </w:rPr>
        <w:t>31.05.2023</w:t>
      </w:r>
      <w:proofErr w:type="gramEnd"/>
      <w:r w:rsidR="00FF10DF" w:rsidRPr="004040B7">
        <w:rPr>
          <w:rFonts w:cs="Arial"/>
          <w:sz w:val="20"/>
          <w:szCs w:val="20"/>
        </w:rPr>
        <w:t>.</w:t>
      </w:r>
    </w:p>
    <w:p w14:paraId="5C64D375" w14:textId="354B324F" w:rsidR="0029791F" w:rsidRPr="00EB19DA" w:rsidRDefault="0029791F" w:rsidP="00EB19DA">
      <w:pPr>
        <w:keepNext/>
        <w:tabs>
          <w:tab w:val="left" w:pos="720"/>
        </w:tabs>
        <w:rPr>
          <w:rFonts w:cs="Arial"/>
          <w:b/>
          <w:bCs/>
          <w:sz w:val="20"/>
          <w:szCs w:val="20"/>
          <w:lang w:eastAsia="cs-CZ"/>
        </w:rPr>
      </w:pPr>
      <w:r w:rsidRPr="00EB19DA">
        <w:rPr>
          <w:rFonts w:cs="Arial"/>
          <w:b/>
          <w:bCs/>
          <w:sz w:val="20"/>
          <w:szCs w:val="20"/>
          <w:lang w:eastAsia="cs-CZ"/>
        </w:rPr>
        <w:t>STANOVISKO K PLNĚNÍ</w:t>
      </w:r>
      <w:r w:rsidRPr="00181AD3">
        <w:rPr>
          <w:rFonts w:cs="Arial"/>
          <w:b/>
          <w:bCs/>
          <w:sz w:val="20"/>
          <w:szCs w:val="20"/>
          <w:lang w:eastAsia="cs-CZ"/>
        </w:rPr>
        <w:t>:</w:t>
      </w:r>
      <w:r w:rsidR="00FE28BB" w:rsidRPr="00181AD3">
        <w:rPr>
          <w:rFonts w:cs="Arial"/>
          <w:b/>
          <w:bCs/>
          <w:sz w:val="20"/>
          <w:szCs w:val="20"/>
          <w:lang w:eastAsia="cs-CZ"/>
        </w:rPr>
        <w:t xml:space="preserve"> Plněno.</w:t>
      </w:r>
      <w:r w:rsidR="00FE28BB" w:rsidRPr="00EB19DA">
        <w:rPr>
          <w:rFonts w:cs="Arial"/>
          <w:b/>
          <w:bCs/>
          <w:sz w:val="20"/>
          <w:szCs w:val="20"/>
          <w:lang w:eastAsia="cs-CZ"/>
        </w:rPr>
        <w:t xml:space="preserve"> </w:t>
      </w:r>
    </w:p>
    <w:p w14:paraId="579E1C45" w14:textId="77777777" w:rsidR="00671C7E" w:rsidRPr="00EB19DA" w:rsidRDefault="00671C7E" w:rsidP="00EB19DA">
      <w:pPr>
        <w:rPr>
          <w:rFonts w:cs="Arial"/>
          <w:bCs/>
          <w:sz w:val="20"/>
          <w:szCs w:val="20"/>
        </w:rPr>
      </w:pPr>
    </w:p>
    <w:p w14:paraId="37ED92B9" w14:textId="0CC0B2F5" w:rsidR="00F17E74" w:rsidRPr="002924EF" w:rsidRDefault="00F17E74" w:rsidP="00F17E74">
      <w:pPr>
        <w:rPr>
          <w:rFonts w:cs="Arial"/>
          <w:szCs w:val="20"/>
        </w:rPr>
      </w:pPr>
      <w:r w:rsidRPr="0035060D">
        <w:rPr>
          <w:rFonts w:cs="Arial"/>
          <w:bCs/>
          <w:szCs w:val="20"/>
        </w:rPr>
        <w:lastRenderedPageBreak/>
        <w:t xml:space="preserve">Opatření </w:t>
      </w:r>
      <w:r>
        <w:rPr>
          <w:rFonts w:cs="Arial"/>
          <w:bCs/>
          <w:szCs w:val="20"/>
        </w:rPr>
        <w:t>11</w:t>
      </w:r>
      <w:r>
        <w:rPr>
          <w:rFonts w:cs="Arial"/>
          <w:szCs w:val="20"/>
        </w:rPr>
        <w:t>.1.</w:t>
      </w:r>
      <w:r w:rsidR="003D002C">
        <w:rPr>
          <w:rFonts w:cs="Arial"/>
          <w:szCs w:val="20"/>
        </w:rPr>
        <w:t>4</w:t>
      </w:r>
      <w:r>
        <w:rPr>
          <w:rFonts w:cs="Arial"/>
          <w:szCs w:val="20"/>
        </w:rPr>
        <w:t xml:space="preserve"> </w:t>
      </w:r>
      <w:r w:rsidRPr="002924EF">
        <w:rPr>
          <w:rFonts w:cs="Arial"/>
          <w:szCs w:val="20"/>
        </w:rPr>
        <w:t>Posilovat profesionalitu Úřadu práce ČR v oblasti podpory zaměstnávání osob se</w:t>
      </w:r>
      <w:r>
        <w:rPr>
          <w:rFonts w:cs="Arial"/>
          <w:szCs w:val="20"/>
        </w:rPr>
        <w:t> </w:t>
      </w:r>
      <w:r w:rsidRPr="002924EF">
        <w:rPr>
          <w:rFonts w:cs="Arial"/>
          <w:szCs w:val="20"/>
        </w:rPr>
        <w:t>zdravotním postižením. Jednou ročně předkládat informaci o počtu zaměstnanců, kteří byli v rámci projektu „Rozvoj systému podpory zaměstnávání osob se zdravotním postižením na volném trhu práce“ proškoleni pro práci s cílovou skupinou osob se</w:t>
      </w:r>
      <w:r w:rsidR="005D2584">
        <w:rPr>
          <w:rFonts w:cs="Arial"/>
          <w:szCs w:val="20"/>
        </w:rPr>
        <w:t> </w:t>
      </w:r>
      <w:r w:rsidRPr="002924EF">
        <w:rPr>
          <w:rFonts w:cs="Arial"/>
          <w:szCs w:val="20"/>
        </w:rPr>
        <w:t>zdravotním postižením a</w:t>
      </w:r>
      <w:r w:rsidR="00DD76AD">
        <w:rPr>
          <w:rFonts w:cs="Arial"/>
          <w:szCs w:val="20"/>
        </w:rPr>
        <w:t xml:space="preserve"> o počtu takto proškolených zaměstnanců,</w:t>
      </w:r>
      <w:r w:rsidRPr="002924EF">
        <w:rPr>
          <w:rFonts w:cs="Arial"/>
          <w:szCs w:val="20"/>
        </w:rPr>
        <w:t xml:space="preserve"> kteří </w:t>
      </w:r>
      <w:r w:rsidR="00DD76AD">
        <w:rPr>
          <w:rFonts w:cs="Arial"/>
          <w:szCs w:val="20"/>
        </w:rPr>
        <w:t xml:space="preserve">i po ukončení projektu </w:t>
      </w:r>
      <w:r w:rsidRPr="002924EF">
        <w:rPr>
          <w:rFonts w:cs="Arial"/>
          <w:szCs w:val="20"/>
        </w:rPr>
        <w:t>nadále na Úřadu práce ČR v jednotlivých reg</w:t>
      </w:r>
      <w:r w:rsidR="00F760F8">
        <w:rPr>
          <w:rFonts w:cs="Arial"/>
          <w:szCs w:val="20"/>
        </w:rPr>
        <w:t>ionech působí jakožto poradci a </w:t>
      </w:r>
      <w:r w:rsidRPr="002924EF">
        <w:rPr>
          <w:rFonts w:cs="Arial"/>
          <w:szCs w:val="20"/>
        </w:rPr>
        <w:t>koordinátoři pro osoby se zdravotním postižením.</w:t>
      </w:r>
    </w:p>
    <w:p w14:paraId="26294507" w14:textId="6623391C" w:rsidR="009032F2" w:rsidRDefault="009032F2" w:rsidP="00F17E74">
      <w:pPr>
        <w:rPr>
          <w:rFonts w:cs="Arial"/>
          <w:szCs w:val="20"/>
        </w:rPr>
      </w:pPr>
      <w:r w:rsidRPr="002924EF">
        <w:rPr>
          <w:rFonts w:cs="Arial"/>
          <w:szCs w:val="20"/>
        </w:rPr>
        <w:t xml:space="preserve">Termín: </w:t>
      </w:r>
      <w:r>
        <w:rPr>
          <w:rFonts w:cs="Arial"/>
          <w:szCs w:val="20"/>
        </w:rPr>
        <w:t>průběžně</w:t>
      </w:r>
    </w:p>
    <w:p w14:paraId="3022825F" w14:textId="77777777" w:rsidR="00F17E74" w:rsidRPr="002924EF" w:rsidRDefault="00F17E74" w:rsidP="00F17E74">
      <w:pPr>
        <w:rPr>
          <w:rFonts w:cs="Arial"/>
          <w:szCs w:val="20"/>
        </w:rPr>
      </w:pPr>
      <w:r w:rsidRPr="002924EF">
        <w:rPr>
          <w:rFonts w:cs="Arial"/>
          <w:szCs w:val="20"/>
        </w:rPr>
        <w:t>Gestor: MPSV</w:t>
      </w:r>
      <w:r>
        <w:rPr>
          <w:rFonts w:cs="Arial"/>
          <w:szCs w:val="20"/>
        </w:rPr>
        <w:t>, ÚP</w:t>
      </w:r>
    </w:p>
    <w:p w14:paraId="3CFC7638" w14:textId="5653AA93" w:rsidR="00F17E74" w:rsidRDefault="00F17E74" w:rsidP="00D57936">
      <w:pPr>
        <w:rPr>
          <w:rFonts w:cs="Arial"/>
          <w:szCs w:val="20"/>
        </w:rPr>
      </w:pPr>
      <w:r w:rsidRPr="002924EF">
        <w:rPr>
          <w:rFonts w:cs="Arial"/>
          <w:szCs w:val="20"/>
        </w:rPr>
        <w:t xml:space="preserve">Indikátor: </w:t>
      </w:r>
      <w:r>
        <w:rPr>
          <w:rFonts w:cs="Arial"/>
          <w:szCs w:val="20"/>
        </w:rPr>
        <w:t>Byla podána informace o uskutečněných školeních a o c</w:t>
      </w:r>
      <w:r w:rsidRPr="002924EF">
        <w:rPr>
          <w:rFonts w:cs="Arial"/>
          <w:szCs w:val="20"/>
        </w:rPr>
        <w:t>elkov</w:t>
      </w:r>
      <w:r>
        <w:rPr>
          <w:rFonts w:cs="Arial"/>
          <w:szCs w:val="20"/>
        </w:rPr>
        <w:t>ém</w:t>
      </w:r>
      <w:r w:rsidRPr="002924EF">
        <w:rPr>
          <w:rFonts w:cs="Arial"/>
          <w:szCs w:val="20"/>
        </w:rPr>
        <w:t xml:space="preserve"> počt</w:t>
      </w:r>
      <w:r>
        <w:rPr>
          <w:rFonts w:cs="Arial"/>
          <w:szCs w:val="20"/>
        </w:rPr>
        <w:t>u</w:t>
      </w:r>
      <w:r w:rsidRPr="002924EF">
        <w:rPr>
          <w:rFonts w:cs="Arial"/>
          <w:szCs w:val="20"/>
        </w:rPr>
        <w:t xml:space="preserve"> zaměstnanců Úřadu práce ČR vykonávajících činnost poradce nebo koordinátora pro osoby se zdravotním postižením. </w:t>
      </w:r>
    </w:p>
    <w:p w14:paraId="62C3A005" w14:textId="77777777" w:rsidR="00D57936" w:rsidRPr="00604ABB" w:rsidRDefault="00D57936" w:rsidP="00604ABB">
      <w:pPr>
        <w:rPr>
          <w:rFonts w:cs="Arial"/>
          <w:sz w:val="20"/>
          <w:szCs w:val="20"/>
        </w:rPr>
      </w:pPr>
    </w:p>
    <w:p w14:paraId="5DD246F5" w14:textId="0F0EBCA0" w:rsidR="00D57936" w:rsidRPr="00942E4F" w:rsidRDefault="0029791F" w:rsidP="00604ABB">
      <w:pPr>
        <w:keepNext/>
        <w:tabs>
          <w:tab w:val="left" w:pos="720"/>
        </w:tabs>
        <w:rPr>
          <w:rFonts w:cs="Arial"/>
          <w:b/>
          <w:bCs/>
          <w:sz w:val="20"/>
          <w:szCs w:val="20"/>
          <w:lang w:eastAsia="cs-CZ"/>
        </w:rPr>
      </w:pPr>
      <w:r w:rsidRPr="00942E4F">
        <w:rPr>
          <w:rFonts w:cs="Arial"/>
          <w:b/>
          <w:bCs/>
          <w:sz w:val="20"/>
          <w:szCs w:val="20"/>
          <w:lang w:eastAsia="cs-CZ"/>
        </w:rPr>
        <w:t>PLNĚNÍ MPSV:</w:t>
      </w:r>
    </w:p>
    <w:p w14:paraId="0E22A372" w14:textId="212EFED5" w:rsidR="00BB2A06" w:rsidRPr="005366A9" w:rsidRDefault="00BB2A06" w:rsidP="00BB2A06">
      <w:pPr>
        <w:autoSpaceDE w:val="0"/>
        <w:autoSpaceDN w:val="0"/>
        <w:adjustRightInd w:val="0"/>
        <w:rPr>
          <w:rFonts w:cs="Arial"/>
          <w:sz w:val="20"/>
          <w:szCs w:val="20"/>
        </w:rPr>
      </w:pPr>
      <w:r w:rsidRPr="005366A9">
        <w:rPr>
          <w:rFonts w:cs="Arial"/>
          <w:sz w:val="20"/>
          <w:szCs w:val="20"/>
        </w:rPr>
        <w:t>Zpráva o vyhodnocení projektu byla sekretariátu VVOZP zaslána. Realizace projektu byla ukončena k 31. 05.2023.</w:t>
      </w:r>
      <w:r w:rsidR="00A51FD1" w:rsidRPr="005366A9">
        <w:rPr>
          <w:rFonts w:cs="Arial"/>
          <w:sz w:val="20"/>
          <w:szCs w:val="20"/>
        </w:rPr>
        <w:t xml:space="preserve"> Na pobočkách Úřadu práce působí profesionální poradci pro zaměstnávání OZP.</w:t>
      </w:r>
    </w:p>
    <w:p w14:paraId="22F2E24F" w14:textId="3B28496C" w:rsidR="005366A9" w:rsidRPr="005366A9" w:rsidRDefault="005366A9" w:rsidP="00BB2A06">
      <w:pPr>
        <w:autoSpaceDE w:val="0"/>
        <w:autoSpaceDN w:val="0"/>
        <w:adjustRightInd w:val="0"/>
        <w:rPr>
          <w:rFonts w:cs="Arial"/>
          <w:sz w:val="20"/>
          <w:szCs w:val="20"/>
        </w:rPr>
      </w:pPr>
      <w:r w:rsidRPr="005366A9">
        <w:rPr>
          <w:sz w:val="20"/>
          <w:szCs w:val="20"/>
        </w:rPr>
        <w:t>Během realizace projektu „Rozvoj systému podpory zaměstnávání osob se zdravotním postižením na volném trhu práce“ (OZP) proběhlo celkem 148 běhů 13 různých kurzů. Vzdělávání v minimální výši 40 hodin absolvovalo 211 zaměstnanců projektu OZP a jejich kmenových zástupců. Došlo ke vzniku 9 nových vzdělávacích modulů, které budou nadále využívány i po skončení projektu.</w:t>
      </w:r>
    </w:p>
    <w:p w14:paraId="22E6F0CC" w14:textId="3690ADED" w:rsidR="00D54AD3" w:rsidRPr="00942E4F" w:rsidRDefault="0029791F" w:rsidP="00604ABB">
      <w:pPr>
        <w:keepNext/>
        <w:tabs>
          <w:tab w:val="left" w:pos="720"/>
        </w:tabs>
        <w:rPr>
          <w:rFonts w:cs="Arial"/>
          <w:b/>
          <w:bCs/>
          <w:sz w:val="20"/>
          <w:szCs w:val="20"/>
          <w:lang w:eastAsia="cs-CZ"/>
        </w:rPr>
      </w:pPr>
      <w:r w:rsidRPr="00181AD3">
        <w:rPr>
          <w:rFonts w:cs="Arial"/>
          <w:b/>
          <w:bCs/>
          <w:sz w:val="20"/>
          <w:szCs w:val="20"/>
          <w:lang w:eastAsia="cs-CZ"/>
        </w:rPr>
        <w:t>STANOVISKO K PLNĚNÍ:</w:t>
      </w:r>
      <w:r w:rsidR="00D54AD3" w:rsidRPr="00181AD3">
        <w:rPr>
          <w:rFonts w:cs="Arial"/>
          <w:b/>
          <w:bCs/>
          <w:sz w:val="20"/>
          <w:szCs w:val="20"/>
          <w:lang w:eastAsia="cs-CZ"/>
        </w:rPr>
        <w:t xml:space="preserve"> Plněno.</w:t>
      </w:r>
      <w:r w:rsidR="00D54AD3" w:rsidRPr="00942E4F">
        <w:rPr>
          <w:rFonts w:cs="Arial"/>
          <w:b/>
          <w:bCs/>
          <w:sz w:val="20"/>
          <w:szCs w:val="20"/>
          <w:lang w:eastAsia="cs-CZ"/>
        </w:rPr>
        <w:t xml:space="preserve"> </w:t>
      </w:r>
    </w:p>
    <w:p w14:paraId="387E4077" w14:textId="77777777" w:rsidR="0029791F" w:rsidRPr="00604ABB" w:rsidRDefault="0029791F" w:rsidP="00604ABB">
      <w:pPr>
        <w:rPr>
          <w:rFonts w:cs="Arial"/>
          <w:sz w:val="20"/>
          <w:szCs w:val="20"/>
        </w:rPr>
      </w:pPr>
    </w:p>
    <w:p w14:paraId="3C5024A6" w14:textId="06D17DEB" w:rsidR="00F17E74" w:rsidRDefault="00F17E74" w:rsidP="00D57936">
      <w:pPr>
        <w:rPr>
          <w:rFonts w:cs="Arial"/>
          <w:szCs w:val="20"/>
        </w:rPr>
      </w:pPr>
      <w:r w:rsidRPr="0035060D">
        <w:rPr>
          <w:rFonts w:cs="Arial"/>
          <w:bCs/>
          <w:szCs w:val="20"/>
        </w:rPr>
        <w:t xml:space="preserve">Opatření </w:t>
      </w:r>
      <w:r>
        <w:rPr>
          <w:rFonts w:cs="Arial"/>
          <w:bCs/>
          <w:szCs w:val="20"/>
        </w:rPr>
        <w:t>11</w:t>
      </w:r>
      <w:r>
        <w:rPr>
          <w:rFonts w:cs="Arial"/>
          <w:szCs w:val="20"/>
        </w:rPr>
        <w:t>.1.</w:t>
      </w:r>
      <w:r w:rsidR="003D002C">
        <w:rPr>
          <w:rFonts w:cs="Arial"/>
          <w:szCs w:val="20"/>
        </w:rPr>
        <w:t>5</w:t>
      </w:r>
      <w:r>
        <w:rPr>
          <w:rFonts w:cs="Arial"/>
          <w:szCs w:val="20"/>
        </w:rPr>
        <w:t xml:space="preserve"> </w:t>
      </w:r>
      <w:r w:rsidRPr="000549E6">
        <w:rPr>
          <w:rFonts w:cs="Arial"/>
          <w:szCs w:val="20"/>
        </w:rPr>
        <w:t xml:space="preserve">Jednou ročně předkládat </w:t>
      </w:r>
      <w:r>
        <w:rPr>
          <w:rFonts w:cs="Arial"/>
          <w:szCs w:val="20"/>
        </w:rPr>
        <w:t>VVOZP</w:t>
      </w:r>
      <w:r w:rsidRPr="000549E6">
        <w:rPr>
          <w:rFonts w:cs="Arial"/>
          <w:szCs w:val="20"/>
        </w:rPr>
        <w:t xml:space="preserve"> vyhodnocení ročních zpráv o činnosti zaměstnavatelů působících na chráněném trhu práce, které jsou tito zaměstnavatelé povinni dokládat Úřadu práce ČR podle ustanovení § 78 odst. 6 písm. </w:t>
      </w:r>
      <w:r w:rsidR="006D3A12">
        <w:rPr>
          <w:rFonts w:cs="Arial"/>
          <w:szCs w:val="20"/>
        </w:rPr>
        <w:t>d</w:t>
      </w:r>
      <w:r w:rsidRPr="000549E6">
        <w:rPr>
          <w:rFonts w:cs="Arial"/>
          <w:szCs w:val="20"/>
        </w:rPr>
        <w:t>) zákona č. 435/2004 Sb.</w:t>
      </w:r>
      <w:r>
        <w:rPr>
          <w:rFonts w:cs="Arial"/>
          <w:szCs w:val="20"/>
        </w:rPr>
        <w:t>,</w:t>
      </w:r>
      <w:r w:rsidRPr="000549E6">
        <w:rPr>
          <w:rFonts w:cs="Arial"/>
          <w:szCs w:val="20"/>
        </w:rPr>
        <w:t xml:space="preserve"> o</w:t>
      </w:r>
      <w:r w:rsidR="005D2584">
        <w:rPr>
          <w:rFonts w:cs="Arial"/>
          <w:szCs w:val="20"/>
        </w:rPr>
        <w:t> </w:t>
      </w:r>
      <w:r w:rsidRPr="000549E6">
        <w:rPr>
          <w:rFonts w:cs="Arial"/>
          <w:szCs w:val="20"/>
        </w:rPr>
        <w:t>zaměstnanosti, ve</w:t>
      </w:r>
      <w:r>
        <w:rPr>
          <w:rFonts w:cs="Arial"/>
          <w:szCs w:val="20"/>
        </w:rPr>
        <w:t> </w:t>
      </w:r>
      <w:r w:rsidRPr="000549E6">
        <w:rPr>
          <w:rFonts w:cs="Arial"/>
          <w:szCs w:val="20"/>
        </w:rPr>
        <w:t>znění pozdějších předpisů. Vyhodnocení bude obsahovat zmapování struktury t</w:t>
      </w:r>
      <w:r>
        <w:rPr>
          <w:rFonts w:cs="Arial"/>
          <w:szCs w:val="20"/>
        </w:rPr>
        <w:t>ěchto</w:t>
      </w:r>
      <w:r w:rsidRPr="000549E6">
        <w:rPr>
          <w:rFonts w:cs="Arial"/>
          <w:szCs w:val="20"/>
        </w:rPr>
        <w:t xml:space="preserve"> zaměstnavatelů včetně případných legislativních a nelegislativních </w:t>
      </w:r>
      <w:r>
        <w:rPr>
          <w:rFonts w:cs="Arial"/>
          <w:szCs w:val="20"/>
        </w:rPr>
        <w:t xml:space="preserve">návrhů </w:t>
      </w:r>
      <w:r w:rsidRPr="000549E6">
        <w:rPr>
          <w:rFonts w:cs="Arial"/>
          <w:szCs w:val="20"/>
        </w:rPr>
        <w:t xml:space="preserve">úprav systému podpory zaměstnávání osob se zdravotním postižením na chráněném trhu práce. </w:t>
      </w:r>
    </w:p>
    <w:p w14:paraId="372FC34C" w14:textId="210C8A78" w:rsidR="009032F2" w:rsidRDefault="009032F2" w:rsidP="00D57936">
      <w:pPr>
        <w:rPr>
          <w:rFonts w:cs="Arial"/>
          <w:szCs w:val="20"/>
        </w:rPr>
      </w:pPr>
      <w:r>
        <w:rPr>
          <w:rFonts w:cs="Arial"/>
          <w:szCs w:val="20"/>
        </w:rPr>
        <w:t>Termín: 1x ročně</w:t>
      </w:r>
    </w:p>
    <w:p w14:paraId="3190AA5A" w14:textId="663B633B" w:rsidR="009032F2" w:rsidRDefault="009032F2" w:rsidP="00D57936">
      <w:pPr>
        <w:rPr>
          <w:rFonts w:cs="Arial"/>
          <w:szCs w:val="20"/>
        </w:rPr>
      </w:pPr>
      <w:r w:rsidRPr="000549E6">
        <w:rPr>
          <w:rFonts w:cs="Arial"/>
          <w:szCs w:val="20"/>
        </w:rPr>
        <w:t xml:space="preserve">Gestor: MPSV </w:t>
      </w:r>
    </w:p>
    <w:p w14:paraId="7D2EE76D" w14:textId="133A3B76" w:rsidR="00F17E74" w:rsidRDefault="00F17E74" w:rsidP="00D57936">
      <w:pPr>
        <w:rPr>
          <w:rFonts w:cs="Arial"/>
          <w:szCs w:val="20"/>
        </w:rPr>
      </w:pPr>
      <w:r w:rsidRPr="000549E6">
        <w:rPr>
          <w:rFonts w:cs="Arial"/>
          <w:szCs w:val="20"/>
        </w:rPr>
        <w:t>Indikátor: Byla podána zpr</w:t>
      </w:r>
      <w:r>
        <w:rPr>
          <w:rFonts w:cs="Arial"/>
          <w:szCs w:val="20"/>
        </w:rPr>
        <w:t>áva o vyhodnocení ročních zpráv,</w:t>
      </w:r>
      <w:r w:rsidRPr="000549E6">
        <w:rPr>
          <w:rFonts w:cs="Arial"/>
          <w:szCs w:val="20"/>
        </w:rPr>
        <w:t xml:space="preserve"> </w:t>
      </w:r>
      <w:r w:rsidR="009032F2">
        <w:rPr>
          <w:rFonts w:cs="Arial"/>
          <w:szCs w:val="20"/>
        </w:rPr>
        <w:t xml:space="preserve">vždy do </w:t>
      </w:r>
      <w:proofErr w:type="gramStart"/>
      <w:r w:rsidR="009032F2">
        <w:rPr>
          <w:rFonts w:cs="Arial"/>
          <w:szCs w:val="20"/>
        </w:rPr>
        <w:t>30.</w:t>
      </w:r>
      <w:r w:rsidR="002C0D9C">
        <w:rPr>
          <w:rFonts w:cs="Arial"/>
          <w:szCs w:val="20"/>
        </w:rPr>
        <w:t>11.</w:t>
      </w:r>
      <w:r w:rsidR="00F760F8">
        <w:rPr>
          <w:rFonts w:cs="Arial"/>
          <w:szCs w:val="20"/>
        </w:rPr>
        <w:t xml:space="preserve"> </w:t>
      </w:r>
      <w:r w:rsidR="002C0D9C">
        <w:rPr>
          <w:rFonts w:cs="Arial"/>
          <w:szCs w:val="20"/>
        </w:rPr>
        <w:t>p</w:t>
      </w:r>
      <w:r>
        <w:rPr>
          <w:rFonts w:cs="Arial"/>
          <w:szCs w:val="20"/>
        </w:rPr>
        <w:t>říslušného</w:t>
      </w:r>
      <w:proofErr w:type="gramEnd"/>
      <w:r>
        <w:rPr>
          <w:rFonts w:cs="Arial"/>
          <w:szCs w:val="20"/>
        </w:rPr>
        <w:t xml:space="preserve"> roku.</w:t>
      </w:r>
    </w:p>
    <w:p w14:paraId="3C07DB9C" w14:textId="77777777" w:rsidR="00D57936" w:rsidRPr="007417C8" w:rsidRDefault="00D57936" w:rsidP="007417C8">
      <w:pPr>
        <w:rPr>
          <w:rFonts w:cs="Arial"/>
          <w:sz w:val="20"/>
          <w:szCs w:val="20"/>
        </w:rPr>
      </w:pPr>
    </w:p>
    <w:p w14:paraId="26B8B964" w14:textId="441D47CA" w:rsidR="00867F10" w:rsidRPr="00942E4F" w:rsidRDefault="00867F10" w:rsidP="007417C8">
      <w:pPr>
        <w:keepNext/>
        <w:tabs>
          <w:tab w:val="left" w:pos="720"/>
        </w:tabs>
        <w:rPr>
          <w:rFonts w:cs="Arial"/>
          <w:b/>
          <w:bCs/>
          <w:sz w:val="20"/>
          <w:szCs w:val="20"/>
          <w:lang w:eastAsia="cs-CZ"/>
        </w:rPr>
      </w:pPr>
      <w:r w:rsidRPr="00942E4F">
        <w:rPr>
          <w:rFonts w:cs="Arial"/>
          <w:b/>
          <w:bCs/>
          <w:sz w:val="20"/>
          <w:szCs w:val="20"/>
          <w:lang w:eastAsia="cs-CZ"/>
        </w:rPr>
        <w:t>PLNĚNÍ MPSV:</w:t>
      </w:r>
    </w:p>
    <w:p w14:paraId="3257F78F" w14:textId="6D5F27A1" w:rsidR="00942E4F" w:rsidRPr="00942E4F" w:rsidRDefault="00942E4F" w:rsidP="00942E4F">
      <w:pPr>
        <w:rPr>
          <w:rFonts w:cs="Arial"/>
          <w:bCs/>
          <w:sz w:val="20"/>
          <w:szCs w:val="20"/>
        </w:rPr>
      </w:pPr>
      <w:r w:rsidRPr="00942E4F">
        <w:rPr>
          <w:rFonts w:cs="Arial"/>
          <w:bCs/>
          <w:sz w:val="20"/>
          <w:szCs w:val="20"/>
        </w:rPr>
        <w:t>Vyhodnocení ročních zpráv je součástí hodnocení dopadů regulace RIA, která je součástí shora uvedené novely zákona o zaměstnanosti. Součástí hodnocení dopadů regulace je dopadová analýza navrhovaných změn vč. využití dat obsažených v ročních zprávách zaměstnavatelů působících na chráněném trhu práce.</w:t>
      </w:r>
    </w:p>
    <w:p w14:paraId="6358F063" w14:textId="52F661FE" w:rsidR="00867F10" w:rsidRPr="00942E4F" w:rsidRDefault="00867F10" w:rsidP="007417C8">
      <w:pPr>
        <w:keepNext/>
        <w:tabs>
          <w:tab w:val="left" w:pos="720"/>
        </w:tabs>
        <w:rPr>
          <w:rFonts w:cs="Arial"/>
          <w:b/>
          <w:bCs/>
          <w:sz w:val="20"/>
          <w:szCs w:val="20"/>
          <w:lang w:eastAsia="cs-CZ"/>
        </w:rPr>
      </w:pPr>
      <w:r w:rsidRPr="00D7491E">
        <w:rPr>
          <w:rFonts w:cs="Arial"/>
          <w:b/>
          <w:bCs/>
          <w:sz w:val="20"/>
          <w:szCs w:val="20"/>
          <w:lang w:eastAsia="cs-CZ"/>
        </w:rPr>
        <w:t>STANOVISKO K PLNĚNÍ:</w:t>
      </w:r>
      <w:r w:rsidR="0090103B" w:rsidRPr="00D7491E">
        <w:rPr>
          <w:rFonts w:cs="Arial"/>
          <w:b/>
          <w:bCs/>
          <w:sz w:val="20"/>
          <w:szCs w:val="20"/>
          <w:lang w:eastAsia="cs-CZ"/>
        </w:rPr>
        <w:t xml:space="preserve"> </w:t>
      </w:r>
      <w:r w:rsidR="007417C8" w:rsidRPr="00D7491E">
        <w:rPr>
          <w:rFonts w:cs="Arial"/>
          <w:b/>
          <w:bCs/>
          <w:sz w:val="20"/>
          <w:szCs w:val="20"/>
          <w:lang w:eastAsia="cs-CZ"/>
        </w:rPr>
        <w:t>Neplněno</w:t>
      </w:r>
      <w:r w:rsidR="0090103B" w:rsidRPr="00D7491E">
        <w:rPr>
          <w:rFonts w:cs="Arial"/>
          <w:b/>
          <w:bCs/>
          <w:sz w:val="20"/>
          <w:szCs w:val="20"/>
          <w:lang w:eastAsia="cs-CZ"/>
        </w:rPr>
        <w:t>.</w:t>
      </w:r>
      <w:r w:rsidR="00BC1498" w:rsidRPr="00D7491E">
        <w:rPr>
          <w:rFonts w:cs="Arial"/>
          <w:b/>
          <w:bCs/>
          <w:sz w:val="20"/>
          <w:szCs w:val="20"/>
          <w:lang w:eastAsia="cs-CZ"/>
        </w:rPr>
        <w:t xml:space="preserve"> Zpráva nebyla podána.</w:t>
      </w:r>
    </w:p>
    <w:p w14:paraId="6CA4D494" w14:textId="77777777" w:rsidR="00867F10" w:rsidRPr="007417C8" w:rsidRDefault="00867F10" w:rsidP="007417C8">
      <w:pPr>
        <w:rPr>
          <w:rFonts w:cs="Arial"/>
          <w:sz w:val="20"/>
          <w:szCs w:val="20"/>
        </w:rPr>
      </w:pPr>
    </w:p>
    <w:p w14:paraId="0B714AD8" w14:textId="771818F6" w:rsidR="00F17E74" w:rsidRDefault="00F17E74" w:rsidP="00F17E74">
      <w:pPr>
        <w:rPr>
          <w:rFonts w:cs="Arial"/>
          <w:szCs w:val="20"/>
        </w:rPr>
      </w:pPr>
      <w:r w:rsidRPr="0035060D">
        <w:rPr>
          <w:rFonts w:cs="Arial"/>
          <w:bCs/>
          <w:szCs w:val="20"/>
        </w:rPr>
        <w:t xml:space="preserve">Opatření </w:t>
      </w:r>
      <w:r>
        <w:rPr>
          <w:rFonts w:cs="Arial"/>
          <w:bCs/>
          <w:szCs w:val="20"/>
        </w:rPr>
        <w:t>11</w:t>
      </w:r>
      <w:r>
        <w:rPr>
          <w:rFonts w:cs="Arial"/>
          <w:szCs w:val="20"/>
        </w:rPr>
        <w:t>.1.</w:t>
      </w:r>
      <w:r w:rsidR="003D002C">
        <w:rPr>
          <w:rFonts w:cs="Arial"/>
          <w:szCs w:val="20"/>
        </w:rPr>
        <w:t>6</w:t>
      </w:r>
      <w:r>
        <w:rPr>
          <w:rFonts w:cs="Arial"/>
          <w:szCs w:val="20"/>
        </w:rPr>
        <w:t xml:space="preserve"> </w:t>
      </w:r>
      <w:r w:rsidRPr="000549E6">
        <w:rPr>
          <w:rFonts w:cs="Arial"/>
          <w:szCs w:val="20"/>
        </w:rPr>
        <w:t>Věnovat zvýšenou pozornost uchazečům nebo zájemcům o zaměstnání z</w:t>
      </w:r>
      <w:r w:rsidR="005D2584">
        <w:rPr>
          <w:rFonts w:cs="Arial"/>
          <w:szCs w:val="20"/>
        </w:rPr>
        <w:t> </w:t>
      </w:r>
      <w:r w:rsidRPr="000549E6">
        <w:rPr>
          <w:rFonts w:cs="Arial"/>
          <w:szCs w:val="20"/>
        </w:rPr>
        <w:t>řad osob se</w:t>
      </w:r>
      <w:r>
        <w:rPr>
          <w:rFonts w:cs="Arial"/>
          <w:szCs w:val="20"/>
        </w:rPr>
        <w:t> </w:t>
      </w:r>
      <w:r w:rsidRPr="000549E6">
        <w:rPr>
          <w:rFonts w:cs="Arial"/>
          <w:szCs w:val="20"/>
        </w:rPr>
        <w:t>zdravotním pos</w:t>
      </w:r>
      <w:r>
        <w:rPr>
          <w:rFonts w:cs="Arial"/>
          <w:szCs w:val="20"/>
        </w:rPr>
        <w:t xml:space="preserve">tižením při výběru a zařazování, zejména formou </w:t>
      </w:r>
      <w:r w:rsidRPr="000549E6">
        <w:rPr>
          <w:rFonts w:cs="Arial"/>
          <w:szCs w:val="20"/>
        </w:rPr>
        <w:t xml:space="preserve">poradenských aktivit Úřadu práce ČR se zaměřením na pracovní uplatnění na trhu práce. </w:t>
      </w:r>
    </w:p>
    <w:p w14:paraId="2EFD64CC" w14:textId="7DC3746A" w:rsidR="009032F2" w:rsidRDefault="009032F2" w:rsidP="00F17E74">
      <w:pPr>
        <w:rPr>
          <w:rFonts w:cs="Arial"/>
          <w:szCs w:val="20"/>
        </w:rPr>
      </w:pPr>
      <w:r w:rsidRPr="000549E6">
        <w:rPr>
          <w:rFonts w:cs="Arial"/>
          <w:szCs w:val="20"/>
        </w:rPr>
        <w:t>Termín: průběžně</w:t>
      </w:r>
    </w:p>
    <w:p w14:paraId="25F32036" w14:textId="37DEA8DC" w:rsidR="009032F2" w:rsidRDefault="009032F2" w:rsidP="00F17E74">
      <w:pPr>
        <w:rPr>
          <w:rFonts w:cs="Arial"/>
          <w:szCs w:val="20"/>
        </w:rPr>
      </w:pPr>
      <w:r w:rsidRPr="000549E6">
        <w:rPr>
          <w:rFonts w:cs="Arial"/>
          <w:szCs w:val="20"/>
        </w:rPr>
        <w:t xml:space="preserve">Gestor: MPSV </w:t>
      </w:r>
    </w:p>
    <w:p w14:paraId="37330CAB" w14:textId="520D0806" w:rsidR="00F17E74" w:rsidRDefault="00F17E74" w:rsidP="00FE1AE1">
      <w:pPr>
        <w:rPr>
          <w:rFonts w:cs="Arial"/>
          <w:szCs w:val="20"/>
        </w:rPr>
      </w:pPr>
      <w:r w:rsidRPr="000549E6">
        <w:rPr>
          <w:rFonts w:cs="Arial"/>
          <w:szCs w:val="20"/>
        </w:rPr>
        <w:lastRenderedPageBreak/>
        <w:t>Indikátor: Vývoj počtu podpořených osob se zdravotním postižením</w:t>
      </w:r>
      <w:r>
        <w:rPr>
          <w:rFonts w:cs="Arial"/>
          <w:szCs w:val="20"/>
        </w:rPr>
        <w:t xml:space="preserve"> v rámci poradenství Úřadu práce ČR </w:t>
      </w:r>
      <w:r w:rsidRPr="007671B7">
        <w:rPr>
          <w:rFonts w:cs="Arial"/>
          <w:szCs w:val="20"/>
        </w:rPr>
        <w:t>(posuzuje se meziroční pokles či nárůst tohoto počtu).</w:t>
      </w:r>
    </w:p>
    <w:p w14:paraId="211BA2B7" w14:textId="77777777" w:rsidR="00C536A4" w:rsidRPr="00127DE8" w:rsidRDefault="00C536A4" w:rsidP="00127DE8">
      <w:pPr>
        <w:keepNext/>
        <w:tabs>
          <w:tab w:val="left" w:pos="720"/>
        </w:tabs>
        <w:rPr>
          <w:rFonts w:cs="Arial"/>
          <w:b/>
          <w:bCs/>
          <w:sz w:val="20"/>
          <w:szCs w:val="20"/>
          <w:lang w:eastAsia="cs-CZ"/>
        </w:rPr>
      </w:pPr>
    </w:p>
    <w:p w14:paraId="5FBC7A66" w14:textId="60CCE4EA" w:rsidR="00BD15FE" w:rsidRPr="00DE4979" w:rsidRDefault="00BD15FE" w:rsidP="00127DE8">
      <w:pPr>
        <w:keepNext/>
        <w:tabs>
          <w:tab w:val="left" w:pos="720"/>
        </w:tabs>
        <w:rPr>
          <w:rFonts w:cs="Arial"/>
          <w:b/>
          <w:bCs/>
          <w:sz w:val="20"/>
          <w:szCs w:val="20"/>
          <w:lang w:eastAsia="cs-CZ"/>
        </w:rPr>
      </w:pPr>
      <w:r w:rsidRPr="00DE4979">
        <w:rPr>
          <w:rFonts w:cs="Arial"/>
          <w:b/>
          <w:bCs/>
          <w:sz w:val="20"/>
          <w:szCs w:val="20"/>
          <w:lang w:eastAsia="cs-CZ"/>
        </w:rPr>
        <w:t>PLNĚNÍ MPSV:</w:t>
      </w:r>
    </w:p>
    <w:p w14:paraId="2F76E1D7" w14:textId="7204ECC2" w:rsidR="00DE4979" w:rsidRDefault="00DE4979" w:rsidP="00DE4979">
      <w:pPr>
        <w:rPr>
          <w:rFonts w:cs="Arial"/>
          <w:sz w:val="20"/>
          <w:szCs w:val="20"/>
        </w:rPr>
      </w:pPr>
      <w:r w:rsidRPr="00DE4979">
        <w:rPr>
          <w:rFonts w:cs="Arial"/>
          <w:sz w:val="20"/>
          <w:szCs w:val="20"/>
        </w:rPr>
        <w:t>V souladu s ustanovením § 67 zákona o zaměstnanosti je ze strany ÚP ČR poskytována osobám se ZP zvýšená ochrana na trhu práce. Dále podle § 33 zákona o zaměstnanosti je také zajišťována zvýšená péče při zprostředkování zaměstnání uchazečům o zaměstnání, kteří ji pro svůj zdravotní stav potřebují. Ve výše uvedených souvislostech je uchazečům a zájemcům o zaměstnání z řad osob se ZP věnována zvýšená pozornost při zařazování do poradenských aktivit, které jsou opatřením aktivní politiky zaměstnanosti. Této cílové skupině se v oblasti poradenství věnují zejména poradci pro osoby se ZP, kteří v roce 2023 poskytli individuální poradenství pro celkem 29 572 klientů – osob se ZP a zabezpečili 1 224 skupinových poradenských akcí, kterých se zúč</w:t>
      </w:r>
      <w:r w:rsidR="000D2BD6">
        <w:rPr>
          <w:rFonts w:cs="Arial"/>
          <w:sz w:val="20"/>
          <w:szCs w:val="20"/>
        </w:rPr>
        <w:t>astnilo celkem 7 650 klientů. V </w:t>
      </w:r>
      <w:r w:rsidRPr="00DE4979">
        <w:rPr>
          <w:rFonts w:cs="Arial"/>
          <w:sz w:val="20"/>
          <w:szCs w:val="20"/>
        </w:rPr>
        <w:t>roce 2023 došlo k zefektivnění poskytování poradenských služeb zejména formou skupinového poradenství (obsahově zaměřeného na poskytování poradenských informací z oblasti podpory zaměstnanosti osob se ZP, problematiky NSD, pracovního práva aj.). Pro srovnání v roce 2022 bylo poskytnuto 841 skupinových poradenství pro 4 917 osob se ZP, individuálního poradenství využilo 34 429 osob se ZP. I přes pandemii bylo v roce 2021 poskytnuto indivi</w:t>
      </w:r>
      <w:r w:rsidR="000D2BD6">
        <w:rPr>
          <w:rFonts w:cs="Arial"/>
          <w:sz w:val="20"/>
          <w:szCs w:val="20"/>
        </w:rPr>
        <w:t>duální poradenství 25 300 OZP a </w:t>
      </w:r>
      <w:r w:rsidRPr="00DE4979">
        <w:rPr>
          <w:rFonts w:cs="Arial"/>
          <w:sz w:val="20"/>
          <w:szCs w:val="20"/>
        </w:rPr>
        <w:t>zrealizováno 161 skupinových poradenství pro 720 klientů se ZP.</w:t>
      </w:r>
    </w:p>
    <w:p w14:paraId="775743D5" w14:textId="09AB8FA6" w:rsidR="0054422B" w:rsidRPr="0054422B" w:rsidRDefault="0054422B" w:rsidP="0054422B">
      <w:pPr>
        <w:spacing w:before="120"/>
        <w:rPr>
          <w:rFonts w:cs="Times New Roman"/>
          <w:iCs/>
          <w:sz w:val="20"/>
          <w:szCs w:val="20"/>
        </w:rPr>
      </w:pPr>
      <w:r w:rsidRPr="0054422B">
        <w:rPr>
          <w:iCs/>
          <w:sz w:val="20"/>
          <w:szCs w:val="20"/>
        </w:rPr>
        <w:t>V rámci Operačního programu Zaměstnanost plus (OPZ+) jsou vedle podpory realizované na ÚP ČR realizovány projekty neziskových, vzdělávacích a poradenských organizací, které jsou zaměřeny na zvýšení zaměstnanosti osob se zdravotním postižením z řad uchazečů (v podstatně menší míře zájemců) o zaměstnání a i osob neaktivních, na ÚP ČR neevidovaných. Tyto projekty nezávisle doplňují aktivity ÚP ČR a zahrnují projekty zaměřující se např. na osoby s tělesným postižením (po úrazech páteře, se zrakovým či sluchovým postižením), s mentálním postižením, s duševním onemocněním či jiným speciálním postižením. Po uzavření projektů z</w:t>
      </w:r>
      <w:r w:rsidR="000D2BD6">
        <w:rPr>
          <w:iCs/>
          <w:sz w:val="20"/>
          <w:szCs w:val="20"/>
        </w:rPr>
        <w:t xml:space="preserve"> předcházejícího období OPZ v </w:t>
      </w:r>
      <w:r w:rsidRPr="0054422B">
        <w:rPr>
          <w:iCs/>
          <w:sz w:val="20"/>
          <w:szCs w:val="20"/>
        </w:rPr>
        <w:t>roce 2023 zahájilo realizaci 10 nových projektů z OPZ+ zaměřených na podporu osob se zdravotním postižením. Tyto projekty mají objem 66 mil</w:t>
      </w:r>
      <w:r w:rsidR="00C4577D">
        <w:rPr>
          <w:iCs/>
          <w:sz w:val="20"/>
          <w:szCs w:val="20"/>
        </w:rPr>
        <w:t>.</w:t>
      </w:r>
      <w:r w:rsidRPr="0054422B">
        <w:rPr>
          <w:iCs/>
          <w:sz w:val="20"/>
          <w:szCs w:val="20"/>
        </w:rPr>
        <w:t xml:space="preserve"> Kč a mají za cíl podpořit cca 600 osob.</w:t>
      </w:r>
    </w:p>
    <w:p w14:paraId="7D10525B" w14:textId="76FDEF76" w:rsidR="00BD15FE" w:rsidRPr="00DE4979" w:rsidRDefault="00BD15FE" w:rsidP="00127DE8">
      <w:pPr>
        <w:keepNext/>
        <w:tabs>
          <w:tab w:val="left" w:pos="720"/>
        </w:tabs>
        <w:rPr>
          <w:rFonts w:cs="Arial"/>
          <w:b/>
          <w:bCs/>
          <w:sz w:val="20"/>
          <w:szCs w:val="20"/>
          <w:lang w:eastAsia="cs-CZ"/>
        </w:rPr>
      </w:pPr>
      <w:r w:rsidRPr="00DE4979">
        <w:rPr>
          <w:rFonts w:cs="Arial"/>
          <w:b/>
          <w:bCs/>
          <w:sz w:val="20"/>
          <w:szCs w:val="20"/>
          <w:lang w:eastAsia="cs-CZ"/>
        </w:rPr>
        <w:t>STANOVISKO K PLNĚNÍ:</w:t>
      </w:r>
      <w:r w:rsidR="00AB6E25" w:rsidRPr="00DE4979">
        <w:rPr>
          <w:rFonts w:cs="Arial"/>
          <w:b/>
          <w:bCs/>
          <w:sz w:val="20"/>
          <w:szCs w:val="20"/>
          <w:lang w:eastAsia="cs-CZ"/>
        </w:rPr>
        <w:t xml:space="preserve"> Plněno.</w:t>
      </w:r>
    </w:p>
    <w:p w14:paraId="58F9ABFD" w14:textId="77777777" w:rsidR="00BD15FE" w:rsidRPr="00127DE8" w:rsidRDefault="00BD15FE" w:rsidP="00127DE8">
      <w:pPr>
        <w:rPr>
          <w:rFonts w:cs="Arial"/>
          <w:sz w:val="20"/>
          <w:szCs w:val="20"/>
        </w:rPr>
      </w:pPr>
    </w:p>
    <w:p w14:paraId="3C79BCB6" w14:textId="181263F5" w:rsidR="00F17E74" w:rsidRPr="000549E6" w:rsidRDefault="00F17E74" w:rsidP="00F17E74">
      <w:pPr>
        <w:rPr>
          <w:rFonts w:cs="Arial"/>
          <w:szCs w:val="20"/>
        </w:rPr>
      </w:pPr>
      <w:r w:rsidRPr="0035060D">
        <w:rPr>
          <w:rFonts w:cs="Arial"/>
          <w:bCs/>
          <w:szCs w:val="20"/>
        </w:rPr>
        <w:t xml:space="preserve">Opatření </w:t>
      </w:r>
      <w:r>
        <w:rPr>
          <w:rFonts w:cs="Arial"/>
          <w:bCs/>
          <w:szCs w:val="20"/>
        </w:rPr>
        <w:t>11</w:t>
      </w:r>
      <w:r>
        <w:rPr>
          <w:rFonts w:cs="Arial"/>
          <w:szCs w:val="20"/>
        </w:rPr>
        <w:t>.1.</w:t>
      </w:r>
      <w:r w:rsidR="003D002C">
        <w:rPr>
          <w:rFonts w:cs="Arial"/>
          <w:szCs w:val="20"/>
        </w:rPr>
        <w:t>7</w:t>
      </w:r>
      <w:r>
        <w:rPr>
          <w:rFonts w:cs="Arial"/>
          <w:szCs w:val="20"/>
        </w:rPr>
        <w:t xml:space="preserve"> </w:t>
      </w:r>
      <w:r w:rsidRPr="000549E6">
        <w:rPr>
          <w:rFonts w:cs="Arial"/>
          <w:szCs w:val="20"/>
        </w:rPr>
        <w:t xml:space="preserve">Nadále podporovat a rozvíjet projekty zrealizované v součinnosti </w:t>
      </w:r>
      <w:r>
        <w:rPr>
          <w:rFonts w:cs="Arial"/>
          <w:szCs w:val="20"/>
        </w:rPr>
        <w:t>MZe</w:t>
      </w:r>
      <w:r w:rsidRPr="000549E6">
        <w:rPr>
          <w:rFonts w:cs="Arial"/>
          <w:szCs w:val="20"/>
        </w:rPr>
        <w:t>, Agrární komory ČR a</w:t>
      </w:r>
      <w:r>
        <w:rPr>
          <w:rFonts w:cs="Arial"/>
          <w:szCs w:val="20"/>
        </w:rPr>
        <w:t> </w:t>
      </w:r>
      <w:r w:rsidRPr="000549E6">
        <w:rPr>
          <w:rFonts w:cs="Arial"/>
          <w:szCs w:val="20"/>
        </w:rPr>
        <w:t>francouzské sociální zemědělské pojišťovny MSA za účelem pracovní rehabilitace osob se</w:t>
      </w:r>
      <w:r>
        <w:rPr>
          <w:rFonts w:cs="Arial"/>
          <w:szCs w:val="20"/>
        </w:rPr>
        <w:t> </w:t>
      </w:r>
      <w:r w:rsidRPr="000549E6">
        <w:rPr>
          <w:rFonts w:cs="Arial"/>
          <w:szCs w:val="20"/>
        </w:rPr>
        <w:t>zdravotním postižením formou jejich zaměstnávání v zemědělství. Vytvářet podmínky tak, aby osoby se zdravotním postižením měly možnost uplatnit své schopnosti při práci na farmách a v řemeslech souvisejících s životem na venkově.</w:t>
      </w:r>
    </w:p>
    <w:p w14:paraId="5443D1C3" w14:textId="2D7B1AA6" w:rsidR="009032F2" w:rsidRDefault="00307226" w:rsidP="00F17E74">
      <w:pPr>
        <w:rPr>
          <w:rFonts w:cs="Arial"/>
          <w:szCs w:val="20"/>
        </w:rPr>
      </w:pPr>
      <w:r>
        <w:rPr>
          <w:rFonts w:cs="Arial"/>
          <w:szCs w:val="20"/>
        </w:rPr>
        <w:t>Termín: průběžně</w:t>
      </w:r>
    </w:p>
    <w:p w14:paraId="5C28481E" w14:textId="587074BD" w:rsidR="009032F2" w:rsidRDefault="009032F2" w:rsidP="00F17E74">
      <w:pPr>
        <w:rPr>
          <w:rFonts w:cs="Arial"/>
          <w:szCs w:val="20"/>
        </w:rPr>
      </w:pPr>
      <w:r w:rsidRPr="000549E6">
        <w:rPr>
          <w:rFonts w:cs="Arial"/>
          <w:szCs w:val="20"/>
        </w:rPr>
        <w:t>Gestor: MZe</w:t>
      </w:r>
    </w:p>
    <w:p w14:paraId="26184E59" w14:textId="3E9D7EAD" w:rsidR="00F17E74" w:rsidRDefault="00F17E74" w:rsidP="00FE1AE1">
      <w:pPr>
        <w:rPr>
          <w:rFonts w:cs="Arial"/>
          <w:szCs w:val="20"/>
        </w:rPr>
      </w:pPr>
      <w:r w:rsidRPr="000549E6">
        <w:rPr>
          <w:rFonts w:cs="Arial"/>
          <w:szCs w:val="20"/>
        </w:rPr>
        <w:t>Indikátor:</w:t>
      </w:r>
      <w:r>
        <w:rPr>
          <w:rFonts w:cs="Arial"/>
          <w:szCs w:val="20"/>
        </w:rPr>
        <w:t xml:space="preserve"> </w:t>
      </w:r>
      <w:r w:rsidR="00834B19">
        <w:rPr>
          <w:rFonts w:cs="Arial"/>
          <w:szCs w:val="20"/>
        </w:rPr>
        <w:t>Je vyhlašován dotační program s</w:t>
      </w:r>
      <w:r w:rsidR="00CD468D">
        <w:rPr>
          <w:rFonts w:cs="Arial"/>
          <w:szCs w:val="20"/>
        </w:rPr>
        <w:t> </w:t>
      </w:r>
      <w:r w:rsidR="00834B19">
        <w:rPr>
          <w:rFonts w:cs="Arial"/>
          <w:szCs w:val="20"/>
        </w:rPr>
        <w:t>uvede</w:t>
      </w:r>
      <w:r w:rsidR="00CD468D">
        <w:rPr>
          <w:rFonts w:cs="Arial"/>
          <w:szCs w:val="20"/>
        </w:rPr>
        <w:t>nou podporou</w:t>
      </w:r>
      <w:r w:rsidR="00834B19">
        <w:rPr>
          <w:rFonts w:cs="Arial"/>
          <w:szCs w:val="20"/>
        </w:rPr>
        <w:t>.</w:t>
      </w:r>
    </w:p>
    <w:p w14:paraId="3B118771" w14:textId="77777777" w:rsidR="00FE1AE1" w:rsidRPr="00901B23" w:rsidRDefault="00FE1AE1" w:rsidP="00901B23">
      <w:pPr>
        <w:rPr>
          <w:rFonts w:cs="Arial"/>
          <w:sz w:val="20"/>
          <w:szCs w:val="20"/>
        </w:rPr>
      </w:pPr>
    </w:p>
    <w:p w14:paraId="12E659EA" w14:textId="2A52947B" w:rsidR="000B0DAC" w:rsidRPr="002D0822" w:rsidRDefault="000B0DAC" w:rsidP="002D0822">
      <w:pPr>
        <w:tabs>
          <w:tab w:val="left" w:pos="720"/>
        </w:tabs>
        <w:rPr>
          <w:rFonts w:cs="Arial"/>
          <w:b/>
          <w:bCs/>
          <w:sz w:val="20"/>
          <w:szCs w:val="20"/>
          <w:lang w:eastAsia="cs-CZ"/>
        </w:rPr>
      </w:pPr>
      <w:r w:rsidRPr="002D0822">
        <w:rPr>
          <w:rFonts w:cs="Arial"/>
          <w:b/>
          <w:bCs/>
          <w:sz w:val="20"/>
          <w:szCs w:val="20"/>
          <w:lang w:eastAsia="cs-CZ"/>
        </w:rPr>
        <w:t>PLNĚNÍ MZe:</w:t>
      </w:r>
    </w:p>
    <w:p w14:paraId="48EBA254" w14:textId="56C398D3" w:rsidR="002D0822" w:rsidRPr="002D0822" w:rsidRDefault="002D0822" w:rsidP="002D0822">
      <w:pPr>
        <w:rPr>
          <w:sz w:val="20"/>
          <w:szCs w:val="20"/>
        </w:rPr>
      </w:pPr>
      <w:r w:rsidRPr="002D0822">
        <w:rPr>
          <w:sz w:val="20"/>
          <w:szCs w:val="20"/>
        </w:rPr>
        <w:t>V rámci dotačního programu 8.1 Podpora zdraví včetně péče a pomoci zdravotně postiženým byly v roce 2023 vyplaceny dotace ve výši 2 930 019 Kč.</w:t>
      </w:r>
    </w:p>
    <w:p w14:paraId="3E064E4E" w14:textId="738D9B30" w:rsidR="000B0DAC" w:rsidRPr="002D0822" w:rsidRDefault="000B0DAC" w:rsidP="002D0822">
      <w:pPr>
        <w:keepNext/>
        <w:tabs>
          <w:tab w:val="left" w:pos="720"/>
        </w:tabs>
        <w:rPr>
          <w:rFonts w:cs="Arial"/>
          <w:b/>
          <w:bCs/>
          <w:sz w:val="20"/>
          <w:szCs w:val="20"/>
          <w:lang w:eastAsia="cs-CZ"/>
        </w:rPr>
      </w:pPr>
      <w:r w:rsidRPr="002D0822">
        <w:rPr>
          <w:rFonts w:cs="Arial"/>
          <w:b/>
          <w:bCs/>
          <w:sz w:val="20"/>
          <w:szCs w:val="20"/>
          <w:lang w:eastAsia="cs-CZ"/>
        </w:rPr>
        <w:t>STANOVISKO K PLNĚNÍ:</w:t>
      </w:r>
      <w:r w:rsidR="0089533D" w:rsidRPr="002D0822">
        <w:rPr>
          <w:rFonts w:cs="Arial"/>
          <w:b/>
          <w:bCs/>
          <w:sz w:val="20"/>
          <w:szCs w:val="20"/>
          <w:lang w:eastAsia="cs-CZ"/>
        </w:rPr>
        <w:t xml:space="preserve"> Plněno.</w:t>
      </w:r>
    </w:p>
    <w:p w14:paraId="1A8765BE" w14:textId="77777777" w:rsidR="00901B23" w:rsidRPr="00901B23" w:rsidRDefault="00901B23" w:rsidP="00901B23">
      <w:pPr>
        <w:keepNext/>
        <w:tabs>
          <w:tab w:val="left" w:pos="720"/>
        </w:tabs>
        <w:rPr>
          <w:rFonts w:cs="Arial"/>
          <w:b/>
          <w:bCs/>
          <w:sz w:val="20"/>
          <w:szCs w:val="20"/>
          <w:lang w:eastAsia="cs-CZ"/>
        </w:rPr>
      </w:pPr>
    </w:p>
    <w:p w14:paraId="0632EC26" w14:textId="77777777" w:rsidR="004611D2" w:rsidRPr="007E4594" w:rsidRDefault="004611D2" w:rsidP="007E4594">
      <w:pPr>
        <w:keepNext/>
        <w:tabs>
          <w:tab w:val="left" w:pos="720"/>
        </w:tabs>
        <w:rPr>
          <w:rFonts w:cs="Arial"/>
          <w:b/>
          <w:bCs/>
          <w:sz w:val="20"/>
          <w:szCs w:val="20"/>
          <w:lang w:eastAsia="cs-CZ"/>
        </w:rPr>
      </w:pPr>
    </w:p>
    <w:p w14:paraId="71D139F0" w14:textId="77777777" w:rsidR="000F0C18" w:rsidRDefault="000F0C18" w:rsidP="002D3B01">
      <w:pPr>
        <w:spacing w:before="600"/>
        <w:rPr>
          <w:rFonts w:cs="Arial"/>
          <w:b/>
          <w:bCs/>
          <w:szCs w:val="20"/>
        </w:rPr>
        <w:sectPr w:rsidR="000F0C18" w:rsidSect="009A6FAD">
          <w:footerReference w:type="default" r:id="rId117"/>
          <w:pgSz w:w="11906" w:h="16838"/>
          <w:pgMar w:top="1417" w:right="1417" w:bottom="1417" w:left="1418" w:header="708" w:footer="708" w:gutter="0"/>
          <w:cols w:space="708"/>
          <w:docGrid w:linePitch="360"/>
        </w:sectPr>
      </w:pPr>
    </w:p>
    <w:p w14:paraId="64100570" w14:textId="152AA180" w:rsidR="00752E9C" w:rsidRPr="00752E9C" w:rsidRDefault="00752E9C" w:rsidP="00F17E74">
      <w:pPr>
        <w:rPr>
          <w:rFonts w:cs="Arial"/>
          <w:b/>
          <w:bCs/>
          <w:szCs w:val="20"/>
        </w:rPr>
      </w:pPr>
      <w:r>
        <w:rPr>
          <w:rFonts w:cs="Arial"/>
          <w:b/>
          <w:bCs/>
          <w:szCs w:val="20"/>
        </w:rPr>
        <w:lastRenderedPageBreak/>
        <w:t xml:space="preserve">11.2 </w:t>
      </w:r>
      <w:r w:rsidRPr="000549E6">
        <w:rPr>
          <w:rFonts w:cs="Arial"/>
          <w:b/>
          <w:bCs/>
          <w:szCs w:val="20"/>
        </w:rPr>
        <w:t xml:space="preserve">Cíl: </w:t>
      </w:r>
      <w:r>
        <w:rPr>
          <w:rFonts w:cs="Arial"/>
          <w:b/>
          <w:bCs/>
          <w:szCs w:val="20"/>
        </w:rPr>
        <w:t>Podpora zaměstnávání</w:t>
      </w:r>
      <w:r w:rsidRPr="000549E6">
        <w:rPr>
          <w:rFonts w:cs="Arial"/>
          <w:b/>
          <w:bCs/>
          <w:szCs w:val="20"/>
        </w:rPr>
        <w:t xml:space="preserve"> osob se zdravotním postižením ve veřejném sektoru.</w:t>
      </w:r>
    </w:p>
    <w:p w14:paraId="40DF9635" w14:textId="0458F733" w:rsidR="00F17E74" w:rsidRPr="000549E6" w:rsidRDefault="00F17E74" w:rsidP="00F17E74">
      <w:pPr>
        <w:rPr>
          <w:rFonts w:cs="Arial"/>
          <w:szCs w:val="20"/>
        </w:rPr>
      </w:pPr>
      <w:r w:rsidRPr="0035060D">
        <w:rPr>
          <w:rFonts w:cs="Arial"/>
          <w:bCs/>
          <w:szCs w:val="20"/>
        </w:rPr>
        <w:t xml:space="preserve">Opatření </w:t>
      </w:r>
      <w:r>
        <w:rPr>
          <w:rFonts w:cs="Arial"/>
          <w:bCs/>
          <w:szCs w:val="20"/>
        </w:rPr>
        <w:t>11</w:t>
      </w:r>
      <w:r>
        <w:rPr>
          <w:rFonts w:cs="Arial"/>
          <w:szCs w:val="20"/>
        </w:rPr>
        <w:t>.2.2 P</w:t>
      </w:r>
      <w:r w:rsidRPr="00E55E74">
        <w:rPr>
          <w:rFonts w:cs="Arial"/>
          <w:szCs w:val="20"/>
        </w:rPr>
        <w:t xml:space="preserve">odporovat zvyšování </w:t>
      </w:r>
      <w:r>
        <w:rPr>
          <w:rFonts w:cs="Arial"/>
          <w:szCs w:val="20"/>
        </w:rPr>
        <w:t xml:space="preserve">počtu </w:t>
      </w:r>
      <w:r w:rsidRPr="000549E6">
        <w:rPr>
          <w:rFonts w:cs="Arial"/>
          <w:szCs w:val="20"/>
        </w:rPr>
        <w:t>zaměstnaných osob se zdravotním postižením a</w:t>
      </w:r>
      <w:r>
        <w:rPr>
          <w:rFonts w:cs="Arial"/>
          <w:szCs w:val="20"/>
        </w:rPr>
        <w:t> </w:t>
      </w:r>
      <w:r w:rsidRPr="000549E6">
        <w:rPr>
          <w:rFonts w:cs="Arial"/>
          <w:szCs w:val="20"/>
        </w:rPr>
        <w:t>předkládat informaci o</w:t>
      </w:r>
      <w:r>
        <w:rPr>
          <w:rFonts w:cs="Arial"/>
          <w:szCs w:val="20"/>
        </w:rPr>
        <w:t> </w:t>
      </w:r>
      <w:r w:rsidRPr="000549E6">
        <w:rPr>
          <w:rFonts w:cs="Arial"/>
          <w:szCs w:val="20"/>
        </w:rPr>
        <w:t>vývoji zaměstnanosti osob se zdravotním postižením v jednotlivých re</w:t>
      </w:r>
      <w:r>
        <w:rPr>
          <w:rFonts w:cs="Arial"/>
          <w:szCs w:val="20"/>
        </w:rPr>
        <w:t>s</w:t>
      </w:r>
      <w:r w:rsidRPr="000549E6">
        <w:rPr>
          <w:rFonts w:cs="Arial"/>
          <w:szCs w:val="20"/>
        </w:rPr>
        <w:t>ortech</w:t>
      </w:r>
      <w:r>
        <w:rPr>
          <w:rFonts w:cs="Arial"/>
          <w:szCs w:val="20"/>
        </w:rPr>
        <w:t>.</w:t>
      </w:r>
    </w:p>
    <w:p w14:paraId="5C924951" w14:textId="3247FB4A" w:rsidR="00F17E74" w:rsidRPr="000549E6" w:rsidRDefault="00F17E74" w:rsidP="00F17E74">
      <w:pPr>
        <w:rPr>
          <w:rFonts w:cs="Arial"/>
          <w:szCs w:val="20"/>
        </w:rPr>
      </w:pPr>
      <w:r w:rsidRPr="000549E6">
        <w:rPr>
          <w:rFonts w:cs="Arial"/>
          <w:szCs w:val="20"/>
        </w:rPr>
        <w:t>Termín: průběžně</w:t>
      </w:r>
    </w:p>
    <w:p w14:paraId="73138F00" w14:textId="77777777" w:rsidR="00F17E74" w:rsidRPr="000549E6" w:rsidRDefault="00F17E74" w:rsidP="00F17E74">
      <w:pPr>
        <w:rPr>
          <w:rFonts w:cs="Arial"/>
          <w:szCs w:val="20"/>
        </w:rPr>
      </w:pPr>
      <w:r w:rsidRPr="000549E6">
        <w:rPr>
          <w:rFonts w:cs="Arial"/>
          <w:szCs w:val="20"/>
        </w:rPr>
        <w:t>Gestor: všechny resorty</w:t>
      </w:r>
      <w:r>
        <w:rPr>
          <w:rFonts w:cs="Arial"/>
          <w:szCs w:val="20"/>
        </w:rPr>
        <w:t>, ÚV</w:t>
      </w:r>
    </w:p>
    <w:p w14:paraId="630C7224" w14:textId="4BD68BA2" w:rsidR="0028279E" w:rsidRDefault="00F17E74" w:rsidP="00700A85">
      <w:pPr>
        <w:rPr>
          <w:rFonts w:cs="Arial"/>
          <w:szCs w:val="20"/>
        </w:rPr>
      </w:pPr>
      <w:r w:rsidRPr="000549E6">
        <w:rPr>
          <w:rFonts w:cs="Arial"/>
          <w:szCs w:val="20"/>
        </w:rPr>
        <w:t>Indikátor:</w:t>
      </w:r>
      <w:r>
        <w:rPr>
          <w:rFonts w:cs="Arial"/>
          <w:szCs w:val="20"/>
        </w:rPr>
        <w:t xml:space="preserve"> Vývoj p</w:t>
      </w:r>
      <w:r w:rsidRPr="00DA73E7">
        <w:rPr>
          <w:rFonts w:cs="Arial"/>
          <w:szCs w:val="20"/>
        </w:rPr>
        <w:t>očt</w:t>
      </w:r>
      <w:r>
        <w:rPr>
          <w:rFonts w:cs="Arial"/>
          <w:szCs w:val="20"/>
        </w:rPr>
        <w:t>u</w:t>
      </w:r>
      <w:r w:rsidRPr="00DA73E7">
        <w:rPr>
          <w:rFonts w:cs="Arial"/>
          <w:szCs w:val="20"/>
        </w:rPr>
        <w:t xml:space="preserve"> zaměstnaných osob se zdravotním postižením</w:t>
      </w:r>
      <w:r>
        <w:rPr>
          <w:rFonts w:cs="Arial"/>
          <w:szCs w:val="20"/>
        </w:rPr>
        <w:t xml:space="preserve"> </w:t>
      </w:r>
      <w:r w:rsidRPr="007671B7">
        <w:rPr>
          <w:rFonts w:cs="Arial"/>
          <w:szCs w:val="20"/>
        </w:rPr>
        <w:t>(posuzuje se meziroční pokles či</w:t>
      </w:r>
      <w:r w:rsidR="00AE1B82">
        <w:rPr>
          <w:rFonts w:cs="Arial"/>
          <w:szCs w:val="20"/>
        </w:rPr>
        <w:t xml:space="preserve"> </w:t>
      </w:r>
      <w:r w:rsidRPr="007671B7">
        <w:rPr>
          <w:rFonts w:cs="Arial"/>
          <w:szCs w:val="20"/>
        </w:rPr>
        <w:t>nárůst tohoto počtu).</w:t>
      </w:r>
    </w:p>
    <w:p w14:paraId="00B7AD42" w14:textId="43C8D5DE" w:rsidR="00700A85" w:rsidRDefault="00700A85" w:rsidP="00700A85">
      <w:pPr>
        <w:rPr>
          <w:rFonts w:cs="Arial"/>
          <w:szCs w:val="20"/>
        </w:rPr>
      </w:pPr>
    </w:p>
    <w:p w14:paraId="07D91B8B" w14:textId="77777777" w:rsidR="00AC2C4F" w:rsidRPr="00330F66" w:rsidRDefault="00AC2C4F" w:rsidP="00AC2C4F">
      <w:pPr>
        <w:rPr>
          <w:rFonts w:cs="Arial"/>
          <w:b/>
          <w:sz w:val="20"/>
          <w:szCs w:val="20"/>
        </w:rPr>
      </w:pPr>
      <w:r w:rsidRPr="00330F66">
        <w:rPr>
          <w:rFonts w:cs="Arial"/>
          <w:b/>
          <w:sz w:val="20"/>
          <w:szCs w:val="20"/>
        </w:rPr>
        <w:t>Plnění:</w:t>
      </w:r>
    </w:p>
    <w:p w14:paraId="2F024584" w14:textId="77777777" w:rsidR="00AC2C4F" w:rsidRPr="00700A85" w:rsidRDefault="00AC2C4F" w:rsidP="00AC2C4F">
      <w:pPr>
        <w:rPr>
          <w:rFonts w:cs="Arial"/>
          <w:b/>
          <w:sz w:val="20"/>
          <w:szCs w:val="20"/>
        </w:rPr>
      </w:pPr>
      <w:r w:rsidRPr="00330F66">
        <w:rPr>
          <w:rFonts w:eastAsia="Calibri" w:cs="Arial"/>
          <w:b/>
          <w:sz w:val="20"/>
          <w:szCs w:val="20"/>
        </w:rPr>
        <w:t>Plnění povinného podílu</w:t>
      </w:r>
    </w:p>
    <w:tbl>
      <w:tblPr>
        <w:tblW w:w="1275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1985"/>
        <w:gridCol w:w="1984"/>
        <w:gridCol w:w="1985"/>
        <w:gridCol w:w="1984"/>
        <w:gridCol w:w="1843"/>
      </w:tblGrid>
      <w:tr w:rsidR="00AC2C4F" w:rsidRPr="00AE7337" w14:paraId="71788DB9" w14:textId="77777777" w:rsidTr="005F2E4B">
        <w:trPr>
          <w:trHeight w:val="1455"/>
        </w:trPr>
        <w:tc>
          <w:tcPr>
            <w:tcW w:w="1134" w:type="dxa"/>
            <w:tcBorders>
              <w:top w:val="single" w:sz="12" w:space="0" w:color="auto"/>
              <w:bottom w:val="single" w:sz="12" w:space="0" w:color="auto"/>
            </w:tcBorders>
            <w:shd w:val="clear" w:color="auto" w:fill="auto"/>
            <w:hideMark/>
          </w:tcPr>
          <w:p w14:paraId="05319E44" w14:textId="77777777" w:rsidR="00AC2C4F" w:rsidRPr="00326864" w:rsidRDefault="00AC2C4F" w:rsidP="005F2E4B">
            <w:pPr>
              <w:tabs>
                <w:tab w:val="left" w:pos="720"/>
              </w:tabs>
              <w:rPr>
                <w:rFonts w:cs="Arial"/>
                <w:b/>
                <w:bCs/>
                <w:sz w:val="20"/>
                <w:szCs w:val="20"/>
              </w:rPr>
            </w:pPr>
            <w:r w:rsidRPr="00326864">
              <w:rPr>
                <w:rFonts w:cs="Arial"/>
                <w:b/>
                <w:bCs/>
                <w:sz w:val="20"/>
                <w:szCs w:val="20"/>
              </w:rPr>
              <w:t>Resort</w:t>
            </w:r>
          </w:p>
        </w:tc>
        <w:tc>
          <w:tcPr>
            <w:tcW w:w="1843" w:type="dxa"/>
            <w:tcBorders>
              <w:top w:val="single" w:sz="12" w:space="0" w:color="auto"/>
              <w:bottom w:val="single" w:sz="12" w:space="0" w:color="auto"/>
            </w:tcBorders>
            <w:shd w:val="clear" w:color="auto" w:fill="auto"/>
            <w:hideMark/>
          </w:tcPr>
          <w:p w14:paraId="5B914ADA" w14:textId="77777777" w:rsidR="00AC2C4F" w:rsidRPr="00326864" w:rsidRDefault="00AC2C4F" w:rsidP="005F2E4B">
            <w:pPr>
              <w:tabs>
                <w:tab w:val="left" w:pos="720"/>
              </w:tabs>
              <w:rPr>
                <w:rFonts w:cs="Arial"/>
                <w:b/>
                <w:bCs/>
                <w:sz w:val="20"/>
                <w:szCs w:val="20"/>
              </w:rPr>
            </w:pPr>
            <w:r w:rsidRPr="00326864">
              <w:rPr>
                <w:rFonts w:cs="Arial"/>
                <w:b/>
                <w:bCs/>
                <w:sz w:val="20"/>
                <w:szCs w:val="20"/>
              </w:rPr>
              <w:t>Průměrný počet zaměstnanců</w:t>
            </w:r>
          </w:p>
        </w:tc>
        <w:tc>
          <w:tcPr>
            <w:tcW w:w="1985" w:type="dxa"/>
            <w:tcBorders>
              <w:top w:val="single" w:sz="12" w:space="0" w:color="auto"/>
              <w:bottom w:val="single" w:sz="12" w:space="0" w:color="auto"/>
            </w:tcBorders>
            <w:shd w:val="clear" w:color="auto" w:fill="auto"/>
            <w:hideMark/>
          </w:tcPr>
          <w:p w14:paraId="6FF17737" w14:textId="77777777" w:rsidR="00AC2C4F" w:rsidRPr="00326864" w:rsidRDefault="00AC2C4F" w:rsidP="005F2E4B">
            <w:pPr>
              <w:tabs>
                <w:tab w:val="left" w:pos="720"/>
              </w:tabs>
              <w:jc w:val="left"/>
              <w:rPr>
                <w:rFonts w:cs="Arial"/>
                <w:b/>
                <w:bCs/>
                <w:sz w:val="20"/>
                <w:szCs w:val="20"/>
              </w:rPr>
            </w:pPr>
            <w:r w:rsidRPr="00326864">
              <w:rPr>
                <w:rFonts w:eastAsia="Calibri" w:cs="Arial"/>
                <w:b/>
                <w:sz w:val="20"/>
                <w:szCs w:val="20"/>
              </w:rPr>
              <w:t>Počet zaměstnanců se ZP potřebných ke splnění povinného podílu 4 %*</w:t>
            </w:r>
          </w:p>
        </w:tc>
        <w:tc>
          <w:tcPr>
            <w:tcW w:w="1984" w:type="dxa"/>
            <w:tcBorders>
              <w:top w:val="single" w:sz="12" w:space="0" w:color="auto"/>
              <w:bottom w:val="single" w:sz="12" w:space="0" w:color="auto"/>
            </w:tcBorders>
            <w:shd w:val="clear" w:color="auto" w:fill="auto"/>
            <w:hideMark/>
          </w:tcPr>
          <w:p w14:paraId="1D777A02" w14:textId="77777777" w:rsidR="00AC2C4F" w:rsidRPr="002143F1" w:rsidRDefault="00AC2C4F" w:rsidP="005F2E4B">
            <w:pPr>
              <w:tabs>
                <w:tab w:val="left" w:pos="720"/>
              </w:tabs>
              <w:jc w:val="left"/>
              <w:rPr>
                <w:rFonts w:cs="Arial"/>
                <w:b/>
                <w:bCs/>
                <w:sz w:val="19"/>
                <w:szCs w:val="19"/>
              </w:rPr>
            </w:pPr>
            <w:r w:rsidRPr="002143F1">
              <w:rPr>
                <w:rFonts w:eastAsia="Calibri" w:cs="Arial"/>
                <w:b/>
                <w:sz w:val="20"/>
                <w:szCs w:val="20"/>
              </w:rPr>
              <w:t>Počet osob se ZP zaměstnaných přímým zaměstnáváním pro účely plnění povinného podílu*</w:t>
            </w:r>
          </w:p>
        </w:tc>
        <w:tc>
          <w:tcPr>
            <w:tcW w:w="1985" w:type="dxa"/>
            <w:tcBorders>
              <w:top w:val="single" w:sz="12" w:space="0" w:color="auto"/>
              <w:bottom w:val="single" w:sz="12" w:space="0" w:color="auto"/>
            </w:tcBorders>
            <w:shd w:val="clear" w:color="auto" w:fill="auto"/>
            <w:hideMark/>
          </w:tcPr>
          <w:p w14:paraId="0B90707A" w14:textId="77777777" w:rsidR="00AC2C4F" w:rsidRPr="00B53729" w:rsidRDefault="00AC2C4F" w:rsidP="005F2E4B">
            <w:pPr>
              <w:spacing w:after="0"/>
              <w:jc w:val="left"/>
              <w:rPr>
                <w:rFonts w:eastAsia="Calibri" w:cs="Arial"/>
                <w:b/>
                <w:sz w:val="20"/>
                <w:szCs w:val="20"/>
              </w:rPr>
            </w:pPr>
            <w:r w:rsidRPr="00B53729">
              <w:rPr>
                <w:rFonts w:eastAsia="Calibri" w:cs="Arial"/>
                <w:b/>
                <w:sz w:val="20"/>
                <w:szCs w:val="20"/>
              </w:rPr>
              <w:t xml:space="preserve">Odběr výrobků a služeb nebo zadaných zakázek nahrazující počet zaměstnaných OZP </w:t>
            </w:r>
          </w:p>
          <w:p w14:paraId="3F37B251" w14:textId="77777777" w:rsidR="00AC2C4F" w:rsidRPr="00133E40" w:rsidRDefault="00AC2C4F" w:rsidP="005F2E4B">
            <w:pPr>
              <w:tabs>
                <w:tab w:val="left" w:pos="720"/>
              </w:tabs>
              <w:rPr>
                <w:rFonts w:cs="Arial"/>
                <w:b/>
                <w:bCs/>
                <w:sz w:val="19"/>
                <w:szCs w:val="19"/>
              </w:rPr>
            </w:pPr>
            <w:r w:rsidRPr="00B53729">
              <w:rPr>
                <w:rFonts w:eastAsia="Calibri" w:cs="Arial"/>
                <w:b/>
                <w:sz w:val="20"/>
                <w:szCs w:val="20"/>
              </w:rPr>
              <w:t>(počet osob*)</w:t>
            </w:r>
          </w:p>
        </w:tc>
        <w:tc>
          <w:tcPr>
            <w:tcW w:w="1984" w:type="dxa"/>
            <w:tcBorders>
              <w:top w:val="single" w:sz="12" w:space="0" w:color="auto"/>
              <w:bottom w:val="single" w:sz="12" w:space="0" w:color="auto"/>
            </w:tcBorders>
            <w:shd w:val="clear" w:color="auto" w:fill="auto"/>
            <w:hideMark/>
          </w:tcPr>
          <w:p w14:paraId="56C09787" w14:textId="77777777" w:rsidR="00AC2C4F" w:rsidRPr="00B53729" w:rsidRDefault="00AC2C4F" w:rsidP="005F2E4B">
            <w:pPr>
              <w:spacing w:after="0"/>
              <w:jc w:val="left"/>
              <w:rPr>
                <w:rFonts w:eastAsia="Calibri" w:cs="Arial"/>
                <w:b/>
                <w:sz w:val="20"/>
                <w:szCs w:val="20"/>
              </w:rPr>
            </w:pPr>
            <w:r w:rsidRPr="00B53729">
              <w:rPr>
                <w:rFonts w:eastAsia="Calibri" w:cs="Arial"/>
                <w:b/>
                <w:sz w:val="20"/>
                <w:szCs w:val="20"/>
              </w:rPr>
              <w:t xml:space="preserve">Odvod do státního rozpočtu nahrazující počet zaměstnaných OZP </w:t>
            </w:r>
          </w:p>
          <w:p w14:paraId="35820889" w14:textId="77777777" w:rsidR="00AC2C4F" w:rsidRPr="00B53729" w:rsidRDefault="00AC2C4F" w:rsidP="005F2E4B">
            <w:pPr>
              <w:tabs>
                <w:tab w:val="left" w:pos="720"/>
              </w:tabs>
              <w:rPr>
                <w:rFonts w:cs="Arial"/>
                <w:b/>
                <w:bCs/>
                <w:sz w:val="19"/>
                <w:szCs w:val="19"/>
              </w:rPr>
            </w:pPr>
            <w:r w:rsidRPr="00B53729">
              <w:rPr>
                <w:rFonts w:eastAsia="Calibri" w:cs="Arial"/>
                <w:b/>
                <w:sz w:val="20"/>
                <w:szCs w:val="20"/>
              </w:rPr>
              <w:t>(počet osob*)</w:t>
            </w:r>
          </w:p>
        </w:tc>
        <w:tc>
          <w:tcPr>
            <w:tcW w:w="1843" w:type="dxa"/>
            <w:tcBorders>
              <w:top w:val="single" w:sz="12" w:space="0" w:color="auto"/>
              <w:bottom w:val="single" w:sz="12" w:space="0" w:color="auto"/>
            </w:tcBorders>
            <w:shd w:val="clear" w:color="auto" w:fill="auto"/>
            <w:hideMark/>
          </w:tcPr>
          <w:p w14:paraId="588E3839" w14:textId="77777777" w:rsidR="00AC2C4F" w:rsidRPr="00B53729" w:rsidRDefault="00AC2C4F" w:rsidP="005F2E4B">
            <w:pPr>
              <w:spacing w:after="0"/>
              <w:jc w:val="left"/>
              <w:rPr>
                <w:rFonts w:eastAsia="Calibri" w:cs="Arial"/>
                <w:b/>
                <w:sz w:val="20"/>
                <w:szCs w:val="20"/>
              </w:rPr>
            </w:pPr>
            <w:r w:rsidRPr="00B53729">
              <w:rPr>
                <w:rFonts w:eastAsia="Calibri" w:cs="Arial"/>
                <w:b/>
                <w:sz w:val="20"/>
                <w:szCs w:val="20"/>
              </w:rPr>
              <w:t xml:space="preserve">Celková výše odvodu do státního rozpočtu </w:t>
            </w:r>
          </w:p>
          <w:p w14:paraId="630FD558" w14:textId="77777777" w:rsidR="00AC2C4F" w:rsidRPr="00B53729" w:rsidRDefault="00AC2C4F" w:rsidP="005F2E4B">
            <w:pPr>
              <w:tabs>
                <w:tab w:val="left" w:pos="720"/>
              </w:tabs>
              <w:rPr>
                <w:rFonts w:cs="Arial"/>
                <w:b/>
                <w:bCs/>
                <w:sz w:val="19"/>
                <w:szCs w:val="19"/>
              </w:rPr>
            </w:pPr>
            <w:r w:rsidRPr="00B53729">
              <w:rPr>
                <w:rFonts w:eastAsia="Calibri" w:cs="Arial"/>
                <w:b/>
                <w:sz w:val="20"/>
                <w:szCs w:val="20"/>
              </w:rPr>
              <w:t>v Kč</w:t>
            </w:r>
          </w:p>
        </w:tc>
      </w:tr>
      <w:tr w:rsidR="00AC2C4F" w:rsidRPr="00AE7337" w14:paraId="70F5E665" w14:textId="77777777" w:rsidTr="005F2E4B">
        <w:trPr>
          <w:trHeight w:val="315"/>
        </w:trPr>
        <w:tc>
          <w:tcPr>
            <w:tcW w:w="1134" w:type="dxa"/>
            <w:tcBorders>
              <w:top w:val="single" w:sz="12" w:space="0" w:color="auto"/>
            </w:tcBorders>
            <w:shd w:val="clear" w:color="auto" w:fill="auto"/>
            <w:hideMark/>
          </w:tcPr>
          <w:p w14:paraId="38E1DC9B" w14:textId="77777777" w:rsidR="00AC2C4F" w:rsidRPr="003445C7" w:rsidRDefault="00AC2C4F" w:rsidP="005F2E4B">
            <w:pPr>
              <w:tabs>
                <w:tab w:val="left" w:pos="720"/>
              </w:tabs>
              <w:rPr>
                <w:rFonts w:cs="Arial"/>
                <w:b/>
                <w:bCs/>
                <w:sz w:val="20"/>
                <w:szCs w:val="20"/>
                <w:highlight w:val="yellow"/>
              </w:rPr>
            </w:pPr>
            <w:r w:rsidRPr="00330F66">
              <w:rPr>
                <w:rFonts w:cs="Arial"/>
                <w:b/>
                <w:bCs/>
                <w:sz w:val="20"/>
                <w:szCs w:val="20"/>
              </w:rPr>
              <w:t>MD</w:t>
            </w:r>
          </w:p>
        </w:tc>
        <w:tc>
          <w:tcPr>
            <w:tcW w:w="1843" w:type="dxa"/>
            <w:tcBorders>
              <w:top w:val="single" w:sz="12" w:space="0" w:color="auto"/>
            </w:tcBorders>
            <w:shd w:val="clear" w:color="auto" w:fill="auto"/>
          </w:tcPr>
          <w:p w14:paraId="4BD8FD73"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422,26</w:t>
            </w:r>
          </w:p>
        </w:tc>
        <w:tc>
          <w:tcPr>
            <w:tcW w:w="1985" w:type="dxa"/>
            <w:tcBorders>
              <w:top w:val="single" w:sz="12" w:space="0" w:color="auto"/>
            </w:tcBorders>
            <w:shd w:val="clear" w:color="auto" w:fill="auto"/>
          </w:tcPr>
          <w:p w14:paraId="5E800821"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5,00</w:t>
            </w:r>
          </w:p>
        </w:tc>
        <w:tc>
          <w:tcPr>
            <w:tcW w:w="1984" w:type="dxa"/>
            <w:tcBorders>
              <w:top w:val="single" w:sz="12" w:space="0" w:color="auto"/>
            </w:tcBorders>
            <w:shd w:val="clear" w:color="auto" w:fill="auto"/>
          </w:tcPr>
          <w:p w14:paraId="70C4D4A5"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4,00</w:t>
            </w:r>
          </w:p>
        </w:tc>
        <w:tc>
          <w:tcPr>
            <w:tcW w:w="1985" w:type="dxa"/>
            <w:tcBorders>
              <w:top w:val="single" w:sz="12" w:space="0" w:color="auto"/>
            </w:tcBorders>
            <w:shd w:val="clear" w:color="auto" w:fill="auto"/>
          </w:tcPr>
          <w:p w14:paraId="4A1EA50B"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1,00</w:t>
            </w:r>
          </w:p>
        </w:tc>
        <w:tc>
          <w:tcPr>
            <w:tcW w:w="1984" w:type="dxa"/>
            <w:tcBorders>
              <w:top w:val="single" w:sz="12" w:space="0" w:color="auto"/>
            </w:tcBorders>
            <w:shd w:val="clear" w:color="auto" w:fill="auto"/>
          </w:tcPr>
          <w:p w14:paraId="14AE6E71"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13,28</w:t>
            </w:r>
          </w:p>
        </w:tc>
        <w:tc>
          <w:tcPr>
            <w:tcW w:w="1843" w:type="dxa"/>
            <w:tcBorders>
              <w:top w:val="single" w:sz="12" w:space="0" w:color="auto"/>
            </w:tcBorders>
            <w:shd w:val="clear" w:color="auto" w:fill="auto"/>
          </w:tcPr>
          <w:p w14:paraId="02CF978E"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1 408 577</w:t>
            </w:r>
          </w:p>
        </w:tc>
      </w:tr>
      <w:tr w:rsidR="00AC2C4F" w:rsidRPr="00AE7337" w14:paraId="222872BA" w14:textId="77777777" w:rsidTr="005F2E4B">
        <w:trPr>
          <w:trHeight w:val="315"/>
        </w:trPr>
        <w:tc>
          <w:tcPr>
            <w:tcW w:w="1134" w:type="dxa"/>
            <w:shd w:val="clear" w:color="auto" w:fill="auto"/>
            <w:hideMark/>
          </w:tcPr>
          <w:p w14:paraId="2494994C" w14:textId="77777777" w:rsidR="00AC2C4F" w:rsidRPr="003445C7" w:rsidRDefault="00AC2C4F" w:rsidP="005F2E4B">
            <w:pPr>
              <w:tabs>
                <w:tab w:val="left" w:pos="720"/>
              </w:tabs>
              <w:rPr>
                <w:rFonts w:cs="Arial"/>
                <w:bCs/>
                <w:sz w:val="20"/>
                <w:szCs w:val="20"/>
                <w:highlight w:val="yellow"/>
              </w:rPr>
            </w:pPr>
            <w:r w:rsidRPr="00514251">
              <w:rPr>
                <w:rFonts w:cs="Arial"/>
                <w:bCs/>
                <w:sz w:val="20"/>
                <w:szCs w:val="20"/>
              </w:rPr>
              <w:t>ŘVC</w:t>
            </w:r>
          </w:p>
        </w:tc>
        <w:tc>
          <w:tcPr>
            <w:tcW w:w="1843" w:type="dxa"/>
            <w:shd w:val="clear" w:color="auto" w:fill="auto"/>
          </w:tcPr>
          <w:p w14:paraId="73C9B2AD" w14:textId="77777777" w:rsidR="00AC2C4F" w:rsidRPr="003445C7" w:rsidRDefault="00AC2C4F" w:rsidP="005F2E4B">
            <w:pPr>
              <w:spacing w:line="256" w:lineRule="auto"/>
              <w:jc w:val="right"/>
              <w:rPr>
                <w:rFonts w:cs="Arial"/>
                <w:sz w:val="20"/>
                <w:szCs w:val="20"/>
                <w:highlight w:val="yellow"/>
              </w:rPr>
            </w:pPr>
            <w:r>
              <w:rPr>
                <w:rFonts w:eastAsia="Calibri" w:cs="Arial"/>
                <w:sz w:val="20"/>
                <w:szCs w:val="20"/>
              </w:rPr>
              <w:t>35,26</w:t>
            </w:r>
          </w:p>
        </w:tc>
        <w:tc>
          <w:tcPr>
            <w:tcW w:w="1985" w:type="dxa"/>
            <w:shd w:val="clear" w:color="auto" w:fill="auto"/>
          </w:tcPr>
          <w:p w14:paraId="1BD88E49" w14:textId="77777777" w:rsidR="00AC2C4F" w:rsidRPr="003445C7" w:rsidRDefault="00AC2C4F" w:rsidP="005F2E4B">
            <w:pPr>
              <w:spacing w:line="256" w:lineRule="auto"/>
              <w:jc w:val="right"/>
              <w:rPr>
                <w:rFonts w:cs="Arial"/>
                <w:sz w:val="20"/>
                <w:szCs w:val="20"/>
                <w:highlight w:val="yellow"/>
              </w:rPr>
            </w:pPr>
            <w:r>
              <w:rPr>
                <w:rFonts w:eastAsia="Calibri" w:cs="Arial"/>
                <w:sz w:val="20"/>
                <w:szCs w:val="20"/>
              </w:rPr>
              <w:t>1,41</w:t>
            </w:r>
          </w:p>
        </w:tc>
        <w:tc>
          <w:tcPr>
            <w:tcW w:w="1984" w:type="dxa"/>
            <w:shd w:val="clear" w:color="auto" w:fill="auto"/>
          </w:tcPr>
          <w:p w14:paraId="5DD74EAD" w14:textId="77777777" w:rsidR="00AC2C4F" w:rsidRPr="003445C7" w:rsidRDefault="00AC2C4F" w:rsidP="005F2E4B">
            <w:pPr>
              <w:spacing w:line="256" w:lineRule="auto"/>
              <w:jc w:val="right"/>
              <w:rPr>
                <w:rFonts w:cs="Arial"/>
                <w:sz w:val="20"/>
                <w:szCs w:val="20"/>
                <w:highlight w:val="yellow"/>
              </w:rPr>
            </w:pPr>
            <w:r>
              <w:rPr>
                <w:rFonts w:eastAsia="Calibri" w:cs="Arial"/>
                <w:sz w:val="20"/>
                <w:szCs w:val="20"/>
              </w:rPr>
              <w:t>1,03</w:t>
            </w:r>
          </w:p>
        </w:tc>
        <w:tc>
          <w:tcPr>
            <w:tcW w:w="1985" w:type="dxa"/>
            <w:shd w:val="clear" w:color="auto" w:fill="auto"/>
          </w:tcPr>
          <w:p w14:paraId="27F2199E" w14:textId="77777777" w:rsidR="00AC2C4F" w:rsidRPr="003445C7" w:rsidRDefault="00AC2C4F" w:rsidP="005F2E4B">
            <w:pPr>
              <w:spacing w:line="256" w:lineRule="auto"/>
              <w:jc w:val="right"/>
              <w:rPr>
                <w:rFonts w:cs="Arial"/>
                <w:sz w:val="20"/>
                <w:szCs w:val="20"/>
                <w:highlight w:val="yellow"/>
              </w:rPr>
            </w:pPr>
            <w:r w:rsidRPr="001C0FEE">
              <w:rPr>
                <w:rFonts w:eastAsia="Calibri" w:cs="Arial"/>
                <w:sz w:val="20"/>
                <w:szCs w:val="20"/>
              </w:rPr>
              <w:t>0,00</w:t>
            </w:r>
          </w:p>
        </w:tc>
        <w:tc>
          <w:tcPr>
            <w:tcW w:w="1984" w:type="dxa"/>
            <w:shd w:val="clear" w:color="auto" w:fill="auto"/>
          </w:tcPr>
          <w:p w14:paraId="0DCD82EA" w14:textId="77777777" w:rsidR="00AC2C4F" w:rsidRPr="003445C7" w:rsidRDefault="00AC2C4F" w:rsidP="005F2E4B">
            <w:pPr>
              <w:spacing w:line="256" w:lineRule="auto"/>
              <w:jc w:val="right"/>
              <w:rPr>
                <w:rFonts w:cs="Arial"/>
                <w:sz w:val="20"/>
                <w:szCs w:val="20"/>
                <w:highlight w:val="yellow"/>
              </w:rPr>
            </w:pPr>
            <w:r>
              <w:rPr>
                <w:rFonts w:eastAsia="Calibri" w:cs="Arial"/>
                <w:sz w:val="20"/>
                <w:szCs w:val="20"/>
              </w:rPr>
              <w:t>0,38</w:t>
            </w:r>
          </w:p>
        </w:tc>
        <w:tc>
          <w:tcPr>
            <w:tcW w:w="1843" w:type="dxa"/>
            <w:shd w:val="clear" w:color="auto" w:fill="auto"/>
          </w:tcPr>
          <w:p w14:paraId="20240D8C" w14:textId="77777777" w:rsidR="00AC2C4F" w:rsidRPr="003445C7" w:rsidRDefault="00AC2C4F" w:rsidP="005F2E4B">
            <w:pPr>
              <w:spacing w:line="256" w:lineRule="auto"/>
              <w:jc w:val="right"/>
              <w:rPr>
                <w:rFonts w:cs="Arial"/>
                <w:sz w:val="20"/>
                <w:szCs w:val="20"/>
                <w:highlight w:val="yellow"/>
              </w:rPr>
            </w:pPr>
            <w:r>
              <w:rPr>
                <w:rFonts w:eastAsia="Calibri" w:cs="Arial"/>
                <w:sz w:val="20"/>
                <w:szCs w:val="20"/>
              </w:rPr>
              <w:t>40 306</w:t>
            </w:r>
          </w:p>
        </w:tc>
      </w:tr>
      <w:tr w:rsidR="00AC2C4F" w:rsidRPr="00AE7337" w14:paraId="4EB2C2C8" w14:textId="77777777" w:rsidTr="005F2E4B">
        <w:trPr>
          <w:trHeight w:val="300"/>
        </w:trPr>
        <w:tc>
          <w:tcPr>
            <w:tcW w:w="1134" w:type="dxa"/>
            <w:shd w:val="clear" w:color="auto" w:fill="auto"/>
            <w:hideMark/>
          </w:tcPr>
          <w:p w14:paraId="04C60C43" w14:textId="77777777" w:rsidR="00AC2C4F" w:rsidRPr="003445C7" w:rsidRDefault="00AC2C4F" w:rsidP="005F2E4B">
            <w:pPr>
              <w:tabs>
                <w:tab w:val="left" w:pos="720"/>
              </w:tabs>
              <w:rPr>
                <w:rFonts w:cs="Arial"/>
                <w:bCs/>
                <w:sz w:val="20"/>
                <w:szCs w:val="20"/>
                <w:highlight w:val="yellow"/>
              </w:rPr>
            </w:pPr>
            <w:r w:rsidRPr="00CB6FA6">
              <w:rPr>
                <w:rFonts w:cs="Arial"/>
                <w:bCs/>
                <w:sz w:val="20"/>
                <w:szCs w:val="20"/>
              </w:rPr>
              <w:t xml:space="preserve">ŘLP </w:t>
            </w:r>
          </w:p>
        </w:tc>
        <w:tc>
          <w:tcPr>
            <w:tcW w:w="1843" w:type="dxa"/>
            <w:shd w:val="clear" w:color="auto" w:fill="auto"/>
          </w:tcPr>
          <w:p w14:paraId="3CD10CC7" w14:textId="77777777" w:rsidR="00AC2C4F" w:rsidRPr="003445C7" w:rsidRDefault="00AC2C4F" w:rsidP="005F2E4B">
            <w:pPr>
              <w:jc w:val="right"/>
              <w:rPr>
                <w:rFonts w:eastAsia="Calibri" w:cs="Arial"/>
                <w:sz w:val="20"/>
                <w:szCs w:val="20"/>
                <w:highlight w:val="yellow"/>
              </w:rPr>
            </w:pPr>
            <w:r>
              <w:rPr>
                <w:rFonts w:eastAsia="Calibri" w:cs="Arial"/>
                <w:sz w:val="20"/>
                <w:szCs w:val="20"/>
              </w:rPr>
              <w:t xml:space="preserve">1 </w:t>
            </w:r>
            <w:r w:rsidRPr="001C0FEE">
              <w:rPr>
                <w:rFonts w:eastAsia="Calibri" w:cs="Arial"/>
                <w:sz w:val="20"/>
                <w:szCs w:val="20"/>
              </w:rPr>
              <w:t>000,19</w:t>
            </w:r>
          </w:p>
        </w:tc>
        <w:tc>
          <w:tcPr>
            <w:tcW w:w="1985" w:type="dxa"/>
            <w:shd w:val="clear" w:color="auto" w:fill="auto"/>
          </w:tcPr>
          <w:p w14:paraId="3AE40F1A" w14:textId="77777777" w:rsidR="00AC2C4F" w:rsidRPr="003445C7" w:rsidRDefault="00AC2C4F" w:rsidP="005F2E4B">
            <w:pPr>
              <w:jc w:val="right"/>
              <w:rPr>
                <w:rFonts w:eastAsia="Calibri" w:cs="Arial"/>
                <w:sz w:val="20"/>
                <w:szCs w:val="20"/>
                <w:highlight w:val="yellow"/>
              </w:rPr>
            </w:pPr>
            <w:r w:rsidRPr="001C0FEE">
              <w:rPr>
                <w:rFonts w:eastAsia="Calibri" w:cs="Arial"/>
                <w:sz w:val="20"/>
                <w:szCs w:val="20"/>
              </w:rPr>
              <w:t>40,00</w:t>
            </w:r>
          </w:p>
        </w:tc>
        <w:tc>
          <w:tcPr>
            <w:tcW w:w="1984" w:type="dxa"/>
            <w:shd w:val="clear" w:color="auto" w:fill="auto"/>
          </w:tcPr>
          <w:p w14:paraId="5A2425FF" w14:textId="77777777" w:rsidR="00AC2C4F" w:rsidRPr="003445C7" w:rsidRDefault="00AC2C4F" w:rsidP="005F2E4B">
            <w:pPr>
              <w:jc w:val="right"/>
              <w:rPr>
                <w:rFonts w:eastAsia="Calibri" w:cs="Arial"/>
                <w:sz w:val="20"/>
                <w:szCs w:val="20"/>
                <w:highlight w:val="yellow"/>
              </w:rPr>
            </w:pPr>
            <w:r w:rsidRPr="001C0FEE">
              <w:rPr>
                <w:rFonts w:eastAsia="Calibri" w:cs="Arial"/>
                <w:sz w:val="20"/>
                <w:szCs w:val="20"/>
              </w:rPr>
              <w:t>8,39</w:t>
            </w:r>
          </w:p>
        </w:tc>
        <w:tc>
          <w:tcPr>
            <w:tcW w:w="1985" w:type="dxa"/>
            <w:shd w:val="clear" w:color="auto" w:fill="auto"/>
          </w:tcPr>
          <w:p w14:paraId="37D28167" w14:textId="77777777" w:rsidR="00AC2C4F" w:rsidRPr="003445C7" w:rsidRDefault="00AC2C4F" w:rsidP="005F2E4B">
            <w:pPr>
              <w:jc w:val="right"/>
              <w:rPr>
                <w:rFonts w:eastAsia="Calibri" w:cs="Arial"/>
                <w:sz w:val="20"/>
                <w:szCs w:val="20"/>
                <w:highlight w:val="yellow"/>
              </w:rPr>
            </w:pPr>
            <w:r w:rsidRPr="001C0FEE">
              <w:rPr>
                <w:rFonts w:eastAsia="Calibri" w:cs="Arial"/>
                <w:sz w:val="20"/>
                <w:szCs w:val="20"/>
              </w:rPr>
              <w:t>0,00</w:t>
            </w:r>
          </w:p>
        </w:tc>
        <w:tc>
          <w:tcPr>
            <w:tcW w:w="1984" w:type="dxa"/>
            <w:shd w:val="clear" w:color="auto" w:fill="auto"/>
          </w:tcPr>
          <w:p w14:paraId="21BB1720" w14:textId="77777777" w:rsidR="00AC2C4F" w:rsidRPr="003445C7" w:rsidRDefault="00AC2C4F" w:rsidP="005F2E4B">
            <w:pPr>
              <w:jc w:val="right"/>
              <w:rPr>
                <w:rFonts w:eastAsia="Calibri" w:cs="Arial"/>
                <w:sz w:val="20"/>
                <w:szCs w:val="20"/>
                <w:highlight w:val="yellow"/>
              </w:rPr>
            </w:pPr>
            <w:r w:rsidRPr="001C0FEE">
              <w:rPr>
                <w:rFonts w:eastAsia="Calibri" w:cs="Arial"/>
                <w:sz w:val="20"/>
                <w:szCs w:val="20"/>
              </w:rPr>
              <w:t>31,61</w:t>
            </w:r>
          </w:p>
        </w:tc>
        <w:tc>
          <w:tcPr>
            <w:tcW w:w="1843" w:type="dxa"/>
            <w:shd w:val="clear" w:color="auto" w:fill="auto"/>
          </w:tcPr>
          <w:p w14:paraId="2172DDC6" w14:textId="77777777" w:rsidR="00AC2C4F" w:rsidRPr="003445C7" w:rsidRDefault="00AC2C4F" w:rsidP="005F2E4B">
            <w:pPr>
              <w:jc w:val="right"/>
              <w:rPr>
                <w:rFonts w:eastAsia="Calibri" w:cs="Arial"/>
                <w:sz w:val="20"/>
                <w:szCs w:val="20"/>
                <w:highlight w:val="yellow"/>
              </w:rPr>
            </w:pPr>
            <w:r w:rsidRPr="001C0FEE">
              <w:rPr>
                <w:rFonts w:eastAsia="Calibri" w:cs="Arial"/>
                <w:sz w:val="20"/>
                <w:szCs w:val="20"/>
              </w:rPr>
              <w:t>3</w:t>
            </w:r>
            <w:r>
              <w:rPr>
                <w:rFonts w:eastAsia="Calibri" w:cs="Arial"/>
                <w:sz w:val="20"/>
                <w:szCs w:val="20"/>
              </w:rPr>
              <w:t xml:space="preserve"> </w:t>
            </w:r>
            <w:r w:rsidRPr="001C0FEE">
              <w:rPr>
                <w:rFonts w:eastAsia="Calibri" w:cs="Arial"/>
                <w:sz w:val="20"/>
                <w:szCs w:val="20"/>
              </w:rPr>
              <w:t>352 794</w:t>
            </w:r>
          </w:p>
        </w:tc>
      </w:tr>
      <w:tr w:rsidR="00AC2C4F" w:rsidRPr="00AE7337" w14:paraId="4E6266AA" w14:textId="77777777" w:rsidTr="005F2E4B">
        <w:trPr>
          <w:trHeight w:val="300"/>
        </w:trPr>
        <w:tc>
          <w:tcPr>
            <w:tcW w:w="1134" w:type="dxa"/>
            <w:shd w:val="clear" w:color="auto" w:fill="auto"/>
            <w:hideMark/>
          </w:tcPr>
          <w:p w14:paraId="3AE741EE" w14:textId="77777777" w:rsidR="00AC2C4F" w:rsidRPr="003445C7" w:rsidRDefault="00AC2C4F" w:rsidP="005F2E4B">
            <w:pPr>
              <w:tabs>
                <w:tab w:val="left" w:pos="720"/>
              </w:tabs>
              <w:rPr>
                <w:rFonts w:cs="Arial"/>
                <w:bCs/>
                <w:sz w:val="20"/>
                <w:szCs w:val="20"/>
                <w:highlight w:val="yellow"/>
              </w:rPr>
            </w:pPr>
            <w:r w:rsidRPr="000E20DC">
              <w:rPr>
                <w:rFonts w:cs="Arial"/>
                <w:bCs/>
                <w:sz w:val="20"/>
                <w:szCs w:val="20"/>
              </w:rPr>
              <w:t>SPS</w:t>
            </w:r>
          </w:p>
        </w:tc>
        <w:tc>
          <w:tcPr>
            <w:tcW w:w="1843" w:type="dxa"/>
            <w:shd w:val="clear" w:color="auto" w:fill="auto"/>
          </w:tcPr>
          <w:p w14:paraId="54D9280B"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81,71</w:t>
            </w:r>
          </w:p>
        </w:tc>
        <w:tc>
          <w:tcPr>
            <w:tcW w:w="1985" w:type="dxa"/>
            <w:shd w:val="clear" w:color="auto" w:fill="auto"/>
          </w:tcPr>
          <w:p w14:paraId="29E20D02"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3,26</w:t>
            </w:r>
          </w:p>
        </w:tc>
        <w:tc>
          <w:tcPr>
            <w:tcW w:w="1984" w:type="dxa"/>
            <w:shd w:val="clear" w:color="auto" w:fill="auto"/>
          </w:tcPr>
          <w:p w14:paraId="6019C57D"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0,14</w:t>
            </w:r>
          </w:p>
        </w:tc>
        <w:tc>
          <w:tcPr>
            <w:tcW w:w="1985" w:type="dxa"/>
            <w:shd w:val="clear" w:color="auto" w:fill="auto"/>
          </w:tcPr>
          <w:p w14:paraId="57BA3C5A"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1,11</w:t>
            </w:r>
          </w:p>
        </w:tc>
        <w:tc>
          <w:tcPr>
            <w:tcW w:w="1984" w:type="dxa"/>
            <w:shd w:val="clear" w:color="auto" w:fill="auto"/>
          </w:tcPr>
          <w:p w14:paraId="1EAA30C6" w14:textId="77777777" w:rsidR="00AC2C4F" w:rsidRPr="003445C7" w:rsidRDefault="00AC2C4F" w:rsidP="005F2E4B">
            <w:pPr>
              <w:jc w:val="right"/>
              <w:rPr>
                <w:rFonts w:eastAsia="Calibri" w:cs="Arial"/>
                <w:sz w:val="20"/>
                <w:szCs w:val="20"/>
                <w:highlight w:val="yellow"/>
              </w:rPr>
            </w:pPr>
            <w:r>
              <w:rPr>
                <w:rFonts w:eastAsia="Calibri" w:cs="Arial"/>
                <w:sz w:val="20"/>
                <w:szCs w:val="20"/>
              </w:rPr>
              <w:t>2,01</w:t>
            </w:r>
          </w:p>
        </w:tc>
        <w:tc>
          <w:tcPr>
            <w:tcW w:w="1843" w:type="dxa"/>
            <w:shd w:val="clear" w:color="auto" w:fill="auto"/>
          </w:tcPr>
          <w:p w14:paraId="021DDAE0"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213 196</w:t>
            </w:r>
          </w:p>
        </w:tc>
      </w:tr>
      <w:tr w:rsidR="00AC2C4F" w:rsidRPr="00AE7337" w14:paraId="182AD5FC" w14:textId="77777777" w:rsidTr="005F2E4B">
        <w:trPr>
          <w:trHeight w:val="300"/>
        </w:trPr>
        <w:tc>
          <w:tcPr>
            <w:tcW w:w="1134" w:type="dxa"/>
            <w:shd w:val="clear" w:color="auto" w:fill="auto"/>
            <w:hideMark/>
          </w:tcPr>
          <w:p w14:paraId="300976CE" w14:textId="77777777" w:rsidR="00AC2C4F" w:rsidRPr="003445C7" w:rsidRDefault="00AC2C4F" w:rsidP="005F2E4B">
            <w:pPr>
              <w:tabs>
                <w:tab w:val="left" w:pos="720"/>
              </w:tabs>
              <w:rPr>
                <w:rFonts w:cs="Arial"/>
                <w:bCs/>
                <w:sz w:val="20"/>
                <w:szCs w:val="20"/>
                <w:highlight w:val="yellow"/>
              </w:rPr>
            </w:pPr>
            <w:r w:rsidRPr="005D632D">
              <w:rPr>
                <w:rFonts w:cs="Arial"/>
                <w:bCs/>
                <w:sz w:val="20"/>
                <w:szCs w:val="20"/>
              </w:rPr>
              <w:t>DÚ</w:t>
            </w:r>
          </w:p>
        </w:tc>
        <w:tc>
          <w:tcPr>
            <w:tcW w:w="1843" w:type="dxa"/>
            <w:shd w:val="clear" w:color="auto" w:fill="auto"/>
          </w:tcPr>
          <w:p w14:paraId="761F8EA8"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104,36</w:t>
            </w:r>
          </w:p>
        </w:tc>
        <w:tc>
          <w:tcPr>
            <w:tcW w:w="1985" w:type="dxa"/>
            <w:shd w:val="clear" w:color="auto" w:fill="auto"/>
          </w:tcPr>
          <w:p w14:paraId="33B0AA5C" w14:textId="77777777" w:rsidR="00AC2C4F" w:rsidRPr="00896704" w:rsidRDefault="00AC2C4F" w:rsidP="005F2E4B">
            <w:pPr>
              <w:jc w:val="right"/>
              <w:rPr>
                <w:rFonts w:eastAsia="Calibri" w:cs="Arial"/>
                <w:sz w:val="20"/>
                <w:szCs w:val="20"/>
              </w:rPr>
            </w:pPr>
            <w:r>
              <w:rPr>
                <w:rFonts w:eastAsia="Calibri" w:cs="Arial"/>
                <w:sz w:val="20"/>
                <w:szCs w:val="20"/>
              </w:rPr>
              <w:t>4,17</w:t>
            </w:r>
          </w:p>
        </w:tc>
        <w:tc>
          <w:tcPr>
            <w:tcW w:w="1984" w:type="dxa"/>
            <w:shd w:val="clear" w:color="auto" w:fill="auto"/>
          </w:tcPr>
          <w:p w14:paraId="1B84517B" w14:textId="77777777" w:rsidR="00AC2C4F" w:rsidRPr="003445C7" w:rsidRDefault="00AC2C4F" w:rsidP="005F2E4B">
            <w:pPr>
              <w:spacing w:line="256" w:lineRule="auto"/>
              <w:jc w:val="right"/>
              <w:rPr>
                <w:rFonts w:eastAsia="Calibri" w:cs="Arial"/>
                <w:sz w:val="20"/>
                <w:szCs w:val="20"/>
                <w:highlight w:val="yellow"/>
              </w:rPr>
            </w:pPr>
            <w:r w:rsidRPr="001C0FEE">
              <w:rPr>
                <w:rFonts w:eastAsia="Calibri" w:cs="Arial"/>
                <w:sz w:val="20"/>
                <w:szCs w:val="20"/>
              </w:rPr>
              <w:t>0,00</w:t>
            </w:r>
          </w:p>
        </w:tc>
        <w:tc>
          <w:tcPr>
            <w:tcW w:w="1985" w:type="dxa"/>
            <w:shd w:val="clear" w:color="auto" w:fill="auto"/>
          </w:tcPr>
          <w:p w14:paraId="3E36AF27"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0,78</w:t>
            </w:r>
          </w:p>
        </w:tc>
        <w:tc>
          <w:tcPr>
            <w:tcW w:w="1984" w:type="dxa"/>
            <w:shd w:val="clear" w:color="auto" w:fill="auto"/>
          </w:tcPr>
          <w:p w14:paraId="52EA5258" w14:textId="77777777" w:rsidR="00AC2C4F" w:rsidRPr="00896704" w:rsidRDefault="00AC2C4F" w:rsidP="005F2E4B">
            <w:pPr>
              <w:jc w:val="right"/>
              <w:rPr>
                <w:rFonts w:eastAsia="Calibri" w:cs="Arial"/>
                <w:sz w:val="20"/>
                <w:szCs w:val="20"/>
              </w:rPr>
            </w:pPr>
            <w:r>
              <w:rPr>
                <w:rFonts w:eastAsia="Calibri" w:cs="Arial"/>
                <w:sz w:val="20"/>
                <w:szCs w:val="20"/>
              </w:rPr>
              <w:t>3,39</w:t>
            </w:r>
          </w:p>
        </w:tc>
        <w:tc>
          <w:tcPr>
            <w:tcW w:w="1843" w:type="dxa"/>
            <w:shd w:val="clear" w:color="auto" w:fill="auto"/>
          </w:tcPr>
          <w:p w14:paraId="0265D862"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359 569</w:t>
            </w:r>
          </w:p>
        </w:tc>
      </w:tr>
      <w:tr w:rsidR="00AC2C4F" w:rsidRPr="00AE7337" w14:paraId="7CEED022" w14:textId="77777777" w:rsidTr="005F2E4B">
        <w:trPr>
          <w:trHeight w:val="300"/>
        </w:trPr>
        <w:tc>
          <w:tcPr>
            <w:tcW w:w="1134" w:type="dxa"/>
            <w:shd w:val="clear" w:color="auto" w:fill="auto"/>
            <w:hideMark/>
          </w:tcPr>
          <w:p w14:paraId="3E5FE8BC" w14:textId="77777777" w:rsidR="00AC2C4F" w:rsidRPr="003445C7" w:rsidRDefault="00AC2C4F" w:rsidP="005F2E4B">
            <w:pPr>
              <w:tabs>
                <w:tab w:val="left" w:pos="720"/>
              </w:tabs>
              <w:rPr>
                <w:rFonts w:cs="Arial"/>
                <w:bCs/>
                <w:sz w:val="20"/>
                <w:szCs w:val="20"/>
                <w:highlight w:val="yellow"/>
              </w:rPr>
            </w:pPr>
            <w:r w:rsidRPr="0049694B">
              <w:rPr>
                <w:rFonts w:cs="Arial"/>
                <w:bCs/>
                <w:sz w:val="20"/>
                <w:szCs w:val="20"/>
              </w:rPr>
              <w:t>ÚCL</w:t>
            </w:r>
          </w:p>
        </w:tc>
        <w:tc>
          <w:tcPr>
            <w:tcW w:w="1843" w:type="dxa"/>
            <w:shd w:val="clear" w:color="auto" w:fill="auto"/>
          </w:tcPr>
          <w:p w14:paraId="00704A05"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145,98</w:t>
            </w:r>
          </w:p>
        </w:tc>
        <w:tc>
          <w:tcPr>
            <w:tcW w:w="1985" w:type="dxa"/>
            <w:shd w:val="clear" w:color="auto" w:fill="auto"/>
          </w:tcPr>
          <w:p w14:paraId="6ED44D7F" w14:textId="77777777" w:rsidR="00AC2C4F" w:rsidRPr="003445C7" w:rsidRDefault="00AC2C4F" w:rsidP="005F2E4B">
            <w:pPr>
              <w:jc w:val="right"/>
              <w:rPr>
                <w:rFonts w:eastAsia="Calibri" w:cs="Arial"/>
                <w:sz w:val="20"/>
                <w:szCs w:val="20"/>
                <w:highlight w:val="yellow"/>
              </w:rPr>
            </w:pPr>
            <w:r>
              <w:rPr>
                <w:rFonts w:eastAsia="Calibri" w:cs="Arial"/>
                <w:sz w:val="20"/>
                <w:szCs w:val="20"/>
              </w:rPr>
              <w:t>5,83</w:t>
            </w:r>
          </w:p>
        </w:tc>
        <w:tc>
          <w:tcPr>
            <w:tcW w:w="1984" w:type="dxa"/>
            <w:shd w:val="clear" w:color="auto" w:fill="auto"/>
          </w:tcPr>
          <w:p w14:paraId="61ADFD5E"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2,61</w:t>
            </w:r>
          </w:p>
        </w:tc>
        <w:tc>
          <w:tcPr>
            <w:tcW w:w="1985" w:type="dxa"/>
            <w:shd w:val="clear" w:color="auto" w:fill="auto"/>
          </w:tcPr>
          <w:p w14:paraId="6ADDEAAB" w14:textId="77777777" w:rsidR="00AC2C4F" w:rsidRPr="003445C7" w:rsidRDefault="00AC2C4F" w:rsidP="005F2E4B">
            <w:pPr>
              <w:jc w:val="right"/>
              <w:rPr>
                <w:rFonts w:eastAsia="Calibri" w:cs="Arial"/>
                <w:sz w:val="20"/>
                <w:szCs w:val="20"/>
                <w:highlight w:val="yellow"/>
              </w:rPr>
            </w:pPr>
            <w:r>
              <w:rPr>
                <w:rFonts w:eastAsia="Calibri" w:cs="Arial"/>
                <w:sz w:val="20"/>
                <w:szCs w:val="20"/>
              </w:rPr>
              <w:t>0,55</w:t>
            </w:r>
          </w:p>
        </w:tc>
        <w:tc>
          <w:tcPr>
            <w:tcW w:w="1984" w:type="dxa"/>
            <w:shd w:val="clear" w:color="auto" w:fill="auto"/>
          </w:tcPr>
          <w:p w14:paraId="5E80950F"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2,67</w:t>
            </w:r>
          </w:p>
        </w:tc>
        <w:tc>
          <w:tcPr>
            <w:tcW w:w="1843" w:type="dxa"/>
            <w:shd w:val="clear" w:color="auto" w:fill="auto"/>
          </w:tcPr>
          <w:p w14:paraId="05E352DE"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283 201</w:t>
            </w:r>
          </w:p>
        </w:tc>
      </w:tr>
      <w:tr w:rsidR="00AC2C4F" w:rsidRPr="007C0D2B" w14:paraId="6074B9CD" w14:textId="77777777" w:rsidTr="005F2E4B">
        <w:trPr>
          <w:trHeight w:val="300"/>
        </w:trPr>
        <w:tc>
          <w:tcPr>
            <w:tcW w:w="1134" w:type="dxa"/>
            <w:shd w:val="clear" w:color="auto" w:fill="auto"/>
            <w:hideMark/>
          </w:tcPr>
          <w:p w14:paraId="70B39F1C" w14:textId="77777777" w:rsidR="00AC2C4F" w:rsidRPr="003445C7" w:rsidRDefault="00AC2C4F" w:rsidP="005F2E4B">
            <w:pPr>
              <w:tabs>
                <w:tab w:val="left" w:pos="720"/>
              </w:tabs>
              <w:rPr>
                <w:rFonts w:cs="Arial"/>
                <w:bCs/>
                <w:sz w:val="20"/>
                <w:szCs w:val="20"/>
                <w:highlight w:val="yellow"/>
              </w:rPr>
            </w:pPr>
            <w:r w:rsidRPr="00993DD4">
              <w:rPr>
                <w:rFonts w:cs="Arial"/>
                <w:bCs/>
                <w:sz w:val="20"/>
                <w:szCs w:val="20"/>
              </w:rPr>
              <w:t>SFDI</w:t>
            </w:r>
          </w:p>
        </w:tc>
        <w:tc>
          <w:tcPr>
            <w:tcW w:w="1843" w:type="dxa"/>
            <w:shd w:val="clear" w:color="auto" w:fill="auto"/>
          </w:tcPr>
          <w:p w14:paraId="35EBF1A1"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122,61</w:t>
            </w:r>
          </w:p>
        </w:tc>
        <w:tc>
          <w:tcPr>
            <w:tcW w:w="1985" w:type="dxa"/>
            <w:shd w:val="clear" w:color="auto" w:fill="auto"/>
          </w:tcPr>
          <w:p w14:paraId="37A17C17"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4,90</w:t>
            </w:r>
          </w:p>
        </w:tc>
        <w:tc>
          <w:tcPr>
            <w:tcW w:w="1984" w:type="dxa"/>
            <w:shd w:val="clear" w:color="auto" w:fill="auto"/>
          </w:tcPr>
          <w:p w14:paraId="49224696"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2,07</w:t>
            </w:r>
          </w:p>
        </w:tc>
        <w:tc>
          <w:tcPr>
            <w:tcW w:w="1985" w:type="dxa"/>
            <w:shd w:val="clear" w:color="auto" w:fill="auto"/>
          </w:tcPr>
          <w:p w14:paraId="42FAC63A"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4,31</w:t>
            </w:r>
          </w:p>
        </w:tc>
        <w:tc>
          <w:tcPr>
            <w:tcW w:w="1984" w:type="dxa"/>
            <w:shd w:val="clear" w:color="auto" w:fill="auto"/>
          </w:tcPr>
          <w:p w14:paraId="299381D4" w14:textId="77777777" w:rsidR="00AC2C4F" w:rsidRPr="003445C7" w:rsidRDefault="00AC2C4F" w:rsidP="005F2E4B">
            <w:pPr>
              <w:spacing w:line="256" w:lineRule="auto"/>
              <w:jc w:val="right"/>
              <w:rPr>
                <w:rFonts w:eastAsia="Calibri" w:cs="Arial"/>
                <w:sz w:val="20"/>
                <w:szCs w:val="20"/>
                <w:highlight w:val="yellow"/>
              </w:rPr>
            </w:pPr>
            <w:r w:rsidRPr="001C0FEE">
              <w:rPr>
                <w:rFonts w:eastAsia="Calibri" w:cs="Arial"/>
                <w:sz w:val="20"/>
                <w:szCs w:val="20"/>
              </w:rPr>
              <w:t>0,00</w:t>
            </w:r>
          </w:p>
        </w:tc>
        <w:tc>
          <w:tcPr>
            <w:tcW w:w="1843" w:type="dxa"/>
            <w:shd w:val="clear" w:color="auto" w:fill="auto"/>
          </w:tcPr>
          <w:p w14:paraId="1AE864EE" w14:textId="77777777" w:rsidR="00AC2C4F" w:rsidRPr="007C0D2B" w:rsidRDefault="00AC2C4F" w:rsidP="005F2E4B">
            <w:pPr>
              <w:spacing w:line="256" w:lineRule="auto"/>
              <w:jc w:val="right"/>
              <w:rPr>
                <w:rFonts w:eastAsia="Calibri" w:cs="Arial"/>
                <w:sz w:val="20"/>
                <w:szCs w:val="20"/>
              </w:rPr>
            </w:pPr>
            <w:r w:rsidRPr="007C0D2B">
              <w:rPr>
                <w:rFonts w:eastAsia="Calibri" w:cs="Arial"/>
                <w:sz w:val="20"/>
                <w:szCs w:val="20"/>
              </w:rPr>
              <w:t>0</w:t>
            </w:r>
          </w:p>
        </w:tc>
      </w:tr>
      <w:tr w:rsidR="00AC2C4F" w:rsidRPr="00AE7337" w14:paraId="08E7F2F3" w14:textId="77777777" w:rsidTr="005F2E4B">
        <w:trPr>
          <w:trHeight w:val="300"/>
        </w:trPr>
        <w:tc>
          <w:tcPr>
            <w:tcW w:w="1134" w:type="dxa"/>
            <w:shd w:val="clear" w:color="auto" w:fill="auto"/>
            <w:hideMark/>
          </w:tcPr>
          <w:p w14:paraId="7908E847" w14:textId="77777777" w:rsidR="00AC2C4F" w:rsidRPr="003445C7" w:rsidRDefault="00AC2C4F" w:rsidP="005F2E4B">
            <w:pPr>
              <w:tabs>
                <w:tab w:val="left" w:pos="720"/>
              </w:tabs>
              <w:rPr>
                <w:rFonts w:cs="Arial"/>
                <w:bCs/>
                <w:sz w:val="20"/>
                <w:szCs w:val="20"/>
                <w:highlight w:val="yellow"/>
              </w:rPr>
            </w:pPr>
            <w:r w:rsidRPr="00161036">
              <w:rPr>
                <w:rFonts w:cs="Arial"/>
                <w:bCs/>
                <w:sz w:val="20"/>
                <w:szCs w:val="20"/>
              </w:rPr>
              <w:t>CSPSD</w:t>
            </w:r>
          </w:p>
        </w:tc>
        <w:tc>
          <w:tcPr>
            <w:tcW w:w="1843" w:type="dxa"/>
            <w:shd w:val="clear" w:color="auto" w:fill="auto"/>
          </w:tcPr>
          <w:p w14:paraId="65C3E0D4"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95,85</w:t>
            </w:r>
          </w:p>
        </w:tc>
        <w:tc>
          <w:tcPr>
            <w:tcW w:w="1985" w:type="dxa"/>
            <w:shd w:val="clear" w:color="auto" w:fill="auto"/>
          </w:tcPr>
          <w:p w14:paraId="26951ABB"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3,83</w:t>
            </w:r>
          </w:p>
        </w:tc>
        <w:tc>
          <w:tcPr>
            <w:tcW w:w="1984" w:type="dxa"/>
            <w:shd w:val="clear" w:color="auto" w:fill="auto"/>
          </w:tcPr>
          <w:p w14:paraId="412F391F"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0,87</w:t>
            </w:r>
          </w:p>
        </w:tc>
        <w:tc>
          <w:tcPr>
            <w:tcW w:w="1985" w:type="dxa"/>
            <w:shd w:val="clear" w:color="auto" w:fill="auto"/>
          </w:tcPr>
          <w:p w14:paraId="4BAF3526"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0,18</w:t>
            </w:r>
          </w:p>
        </w:tc>
        <w:tc>
          <w:tcPr>
            <w:tcW w:w="1984" w:type="dxa"/>
            <w:shd w:val="clear" w:color="auto" w:fill="auto"/>
          </w:tcPr>
          <w:p w14:paraId="1B96D94F"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2,78</w:t>
            </w:r>
          </w:p>
        </w:tc>
        <w:tc>
          <w:tcPr>
            <w:tcW w:w="1843" w:type="dxa"/>
            <w:shd w:val="clear" w:color="auto" w:fill="auto"/>
          </w:tcPr>
          <w:p w14:paraId="051B71C3" w14:textId="77777777" w:rsidR="00AC2C4F" w:rsidRPr="003445C7" w:rsidRDefault="00AC2C4F" w:rsidP="005F2E4B">
            <w:pPr>
              <w:spacing w:line="256" w:lineRule="auto"/>
              <w:jc w:val="right"/>
              <w:rPr>
                <w:rFonts w:eastAsia="Calibri" w:cs="Arial"/>
                <w:sz w:val="20"/>
                <w:szCs w:val="20"/>
                <w:highlight w:val="yellow"/>
              </w:rPr>
            </w:pPr>
            <w:r w:rsidRPr="001C0FEE">
              <w:rPr>
                <w:rFonts w:eastAsia="Calibri" w:cs="Arial"/>
                <w:sz w:val="20"/>
                <w:szCs w:val="20"/>
              </w:rPr>
              <w:t>294</w:t>
            </w:r>
            <w:r>
              <w:rPr>
                <w:rFonts w:eastAsia="Calibri" w:cs="Arial"/>
                <w:sz w:val="20"/>
                <w:szCs w:val="20"/>
              </w:rPr>
              <w:t xml:space="preserve"> </w:t>
            </w:r>
            <w:r w:rsidRPr="001C0FEE">
              <w:rPr>
                <w:rFonts w:eastAsia="Calibri" w:cs="Arial"/>
                <w:sz w:val="20"/>
                <w:szCs w:val="20"/>
              </w:rPr>
              <w:t>868</w:t>
            </w:r>
          </w:p>
        </w:tc>
      </w:tr>
      <w:tr w:rsidR="00AC2C4F" w:rsidRPr="00AE7337" w14:paraId="1C7D85B8" w14:textId="77777777" w:rsidTr="005F2E4B">
        <w:trPr>
          <w:trHeight w:val="300"/>
        </w:trPr>
        <w:tc>
          <w:tcPr>
            <w:tcW w:w="1134" w:type="dxa"/>
            <w:shd w:val="clear" w:color="auto" w:fill="auto"/>
            <w:hideMark/>
          </w:tcPr>
          <w:p w14:paraId="45601517" w14:textId="77777777" w:rsidR="00AC2C4F" w:rsidRPr="003445C7" w:rsidRDefault="00AC2C4F" w:rsidP="005F2E4B">
            <w:pPr>
              <w:tabs>
                <w:tab w:val="left" w:pos="720"/>
              </w:tabs>
              <w:rPr>
                <w:rFonts w:cs="Arial"/>
                <w:bCs/>
                <w:sz w:val="20"/>
                <w:szCs w:val="20"/>
                <w:highlight w:val="yellow"/>
              </w:rPr>
            </w:pPr>
            <w:r w:rsidRPr="003A051C">
              <w:rPr>
                <w:rFonts w:cs="Arial"/>
                <w:bCs/>
                <w:sz w:val="20"/>
                <w:szCs w:val="20"/>
              </w:rPr>
              <w:t>ŘSD</w:t>
            </w:r>
          </w:p>
        </w:tc>
        <w:tc>
          <w:tcPr>
            <w:tcW w:w="1843" w:type="dxa"/>
            <w:shd w:val="clear" w:color="auto" w:fill="auto"/>
          </w:tcPr>
          <w:p w14:paraId="1215F1C5" w14:textId="77777777" w:rsidR="00AC2C4F" w:rsidRPr="003445C7" w:rsidRDefault="00AC2C4F" w:rsidP="005F2E4B">
            <w:pPr>
              <w:jc w:val="right"/>
              <w:rPr>
                <w:rFonts w:eastAsia="Calibri" w:cs="Arial"/>
                <w:sz w:val="20"/>
                <w:szCs w:val="20"/>
                <w:highlight w:val="yellow"/>
              </w:rPr>
            </w:pPr>
            <w:r>
              <w:rPr>
                <w:rFonts w:eastAsia="Calibri" w:cs="Arial"/>
                <w:sz w:val="20"/>
                <w:szCs w:val="20"/>
              </w:rPr>
              <w:t>2 260,80</w:t>
            </w:r>
          </w:p>
        </w:tc>
        <w:tc>
          <w:tcPr>
            <w:tcW w:w="1985" w:type="dxa"/>
            <w:shd w:val="clear" w:color="auto" w:fill="auto"/>
            <w:vAlign w:val="center"/>
          </w:tcPr>
          <w:p w14:paraId="6EE8C0F2"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90,41</w:t>
            </w:r>
          </w:p>
        </w:tc>
        <w:tc>
          <w:tcPr>
            <w:tcW w:w="1984" w:type="dxa"/>
            <w:shd w:val="clear" w:color="auto" w:fill="auto"/>
            <w:vAlign w:val="center"/>
          </w:tcPr>
          <w:p w14:paraId="723EEE76"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48,83</w:t>
            </w:r>
          </w:p>
        </w:tc>
        <w:tc>
          <w:tcPr>
            <w:tcW w:w="1985" w:type="dxa"/>
            <w:shd w:val="clear" w:color="auto" w:fill="auto"/>
            <w:vAlign w:val="center"/>
          </w:tcPr>
          <w:p w14:paraId="734F0A18"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6,16</w:t>
            </w:r>
          </w:p>
        </w:tc>
        <w:tc>
          <w:tcPr>
            <w:tcW w:w="1984" w:type="dxa"/>
            <w:shd w:val="clear" w:color="auto" w:fill="auto"/>
            <w:vAlign w:val="center"/>
          </w:tcPr>
          <w:p w14:paraId="3A4323D8"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35,42</w:t>
            </w:r>
          </w:p>
        </w:tc>
        <w:tc>
          <w:tcPr>
            <w:tcW w:w="1843" w:type="dxa"/>
            <w:shd w:val="clear" w:color="auto" w:fill="auto"/>
            <w:vAlign w:val="center"/>
          </w:tcPr>
          <w:p w14:paraId="3CC2E950"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3 756 911</w:t>
            </w:r>
          </w:p>
        </w:tc>
      </w:tr>
      <w:tr w:rsidR="00AC2C4F" w:rsidRPr="00AE7337" w14:paraId="3D593038" w14:textId="77777777" w:rsidTr="005F2E4B">
        <w:trPr>
          <w:trHeight w:val="315"/>
        </w:trPr>
        <w:tc>
          <w:tcPr>
            <w:tcW w:w="1134" w:type="dxa"/>
            <w:tcBorders>
              <w:bottom w:val="single" w:sz="12" w:space="0" w:color="auto"/>
            </w:tcBorders>
            <w:shd w:val="clear" w:color="auto" w:fill="auto"/>
            <w:hideMark/>
          </w:tcPr>
          <w:p w14:paraId="167FADA7" w14:textId="77777777" w:rsidR="00AC2C4F" w:rsidRPr="003445C7" w:rsidRDefault="00AC2C4F" w:rsidP="005F2E4B">
            <w:pPr>
              <w:tabs>
                <w:tab w:val="left" w:pos="720"/>
              </w:tabs>
              <w:rPr>
                <w:rFonts w:cs="Arial"/>
                <w:bCs/>
                <w:sz w:val="20"/>
                <w:szCs w:val="20"/>
                <w:highlight w:val="yellow"/>
              </w:rPr>
            </w:pPr>
            <w:r w:rsidRPr="00845179">
              <w:rPr>
                <w:rFonts w:cs="Arial"/>
                <w:bCs/>
                <w:sz w:val="20"/>
                <w:szCs w:val="20"/>
              </w:rPr>
              <w:t>SŽ</w:t>
            </w:r>
          </w:p>
        </w:tc>
        <w:tc>
          <w:tcPr>
            <w:tcW w:w="1843" w:type="dxa"/>
            <w:tcBorders>
              <w:bottom w:val="single" w:sz="12" w:space="0" w:color="auto"/>
            </w:tcBorders>
            <w:shd w:val="clear" w:color="auto" w:fill="auto"/>
          </w:tcPr>
          <w:p w14:paraId="3B358FEC"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17 972,16</w:t>
            </w:r>
          </w:p>
        </w:tc>
        <w:tc>
          <w:tcPr>
            <w:tcW w:w="1985" w:type="dxa"/>
            <w:tcBorders>
              <w:bottom w:val="single" w:sz="12" w:space="0" w:color="auto"/>
            </w:tcBorders>
            <w:shd w:val="clear" w:color="auto" w:fill="auto"/>
          </w:tcPr>
          <w:p w14:paraId="10DF29AD"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718,88</w:t>
            </w:r>
          </w:p>
        </w:tc>
        <w:tc>
          <w:tcPr>
            <w:tcW w:w="1984" w:type="dxa"/>
            <w:tcBorders>
              <w:bottom w:val="single" w:sz="12" w:space="0" w:color="auto"/>
            </w:tcBorders>
            <w:shd w:val="clear" w:color="auto" w:fill="auto"/>
          </w:tcPr>
          <w:p w14:paraId="5C4E9CA0"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251,10</w:t>
            </w:r>
          </w:p>
        </w:tc>
        <w:tc>
          <w:tcPr>
            <w:tcW w:w="1985" w:type="dxa"/>
            <w:tcBorders>
              <w:bottom w:val="single" w:sz="12" w:space="0" w:color="auto"/>
            </w:tcBorders>
            <w:shd w:val="clear" w:color="auto" w:fill="auto"/>
          </w:tcPr>
          <w:p w14:paraId="4EDB8A9A"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125,02</w:t>
            </w:r>
          </w:p>
        </w:tc>
        <w:tc>
          <w:tcPr>
            <w:tcW w:w="1984" w:type="dxa"/>
            <w:tcBorders>
              <w:bottom w:val="single" w:sz="12" w:space="0" w:color="auto"/>
            </w:tcBorders>
            <w:shd w:val="clear" w:color="auto" w:fill="auto"/>
          </w:tcPr>
          <w:p w14:paraId="57612609"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342,76</w:t>
            </w:r>
          </w:p>
        </w:tc>
        <w:tc>
          <w:tcPr>
            <w:tcW w:w="1843" w:type="dxa"/>
            <w:tcBorders>
              <w:bottom w:val="single" w:sz="12" w:space="0" w:color="auto"/>
            </w:tcBorders>
            <w:shd w:val="clear" w:color="auto" w:fill="auto"/>
          </w:tcPr>
          <w:p w14:paraId="44FD1D48"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36 355 697</w:t>
            </w:r>
          </w:p>
        </w:tc>
      </w:tr>
      <w:tr w:rsidR="00AC2C4F" w:rsidRPr="00053DB8" w14:paraId="5E58D21A" w14:textId="77777777" w:rsidTr="005F2E4B">
        <w:trPr>
          <w:trHeight w:val="315"/>
        </w:trPr>
        <w:tc>
          <w:tcPr>
            <w:tcW w:w="1134" w:type="dxa"/>
            <w:tcBorders>
              <w:top w:val="single" w:sz="12" w:space="0" w:color="auto"/>
              <w:bottom w:val="single" w:sz="4" w:space="0" w:color="auto"/>
            </w:tcBorders>
            <w:shd w:val="clear" w:color="auto" w:fill="auto"/>
            <w:hideMark/>
          </w:tcPr>
          <w:p w14:paraId="219B9EC0" w14:textId="77777777" w:rsidR="00AC2C4F" w:rsidRPr="003445C7" w:rsidRDefault="00AC2C4F" w:rsidP="005F2E4B">
            <w:pPr>
              <w:tabs>
                <w:tab w:val="left" w:pos="720"/>
              </w:tabs>
              <w:rPr>
                <w:rFonts w:cs="Arial"/>
                <w:b/>
                <w:bCs/>
                <w:sz w:val="20"/>
                <w:szCs w:val="20"/>
                <w:highlight w:val="yellow"/>
              </w:rPr>
            </w:pPr>
            <w:r w:rsidRPr="00C94AE1">
              <w:rPr>
                <w:rFonts w:cs="Arial"/>
                <w:b/>
                <w:bCs/>
                <w:sz w:val="20"/>
                <w:szCs w:val="20"/>
              </w:rPr>
              <w:lastRenderedPageBreak/>
              <w:t>MF</w:t>
            </w:r>
          </w:p>
        </w:tc>
        <w:tc>
          <w:tcPr>
            <w:tcW w:w="1843" w:type="dxa"/>
            <w:tcBorders>
              <w:top w:val="single" w:sz="12" w:space="0" w:color="auto"/>
              <w:bottom w:val="single" w:sz="4" w:space="0" w:color="auto"/>
            </w:tcBorders>
            <w:shd w:val="clear" w:color="auto" w:fill="auto"/>
            <w:noWrap/>
            <w:vAlign w:val="center"/>
          </w:tcPr>
          <w:p w14:paraId="6A25ED63" w14:textId="77777777" w:rsidR="00AC2C4F" w:rsidRPr="007456A2" w:rsidRDefault="00AC2C4F" w:rsidP="005F2E4B">
            <w:pPr>
              <w:spacing w:line="256" w:lineRule="auto"/>
              <w:jc w:val="right"/>
              <w:rPr>
                <w:rFonts w:cs="Arial"/>
                <w:sz w:val="20"/>
                <w:szCs w:val="20"/>
                <w:highlight w:val="yellow"/>
              </w:rPr>
            </w:pPr>
            <w:r w:rsidRPr="007456A2">
              <w:rPr>
                <w:rFonts w:cs="Arial"/>
                <w:sz w:val="20"/>
                <w:szCs w:val="20"/>
              </w:rPr>
              <w:t>1 273,77</w:t>
            </w:r>
          </w:p>
        </w:tc>
        <w:tc>
          <w:tcPr>
            <w:tcW w:w="1985" w:type="dxa"/>
            <w:tcBorders>
              <w:top w:val="single" w:sz="12" w:space="0" w:color="auto"/>
              <w:bottom w:val="single" w:sz="4" w:space="0" w:color="auto"/>
            </w:tcBorders>
            <w:shd w:val="clear" w:color="auto" w:fill="auto"/>
            <w:noWrap/>
            <w:vAlign w:val="center"/>
          </w:tcPr>
          <w:p w14:paraId="4C10CD4D" w14:textId="77777777" w:rsidR="00AC2C4F" w:rsidRPr="007456A2" w:rsidRDefault="00AC2C4F" w:rsidP="005F2E4B">
            <w:pPr>
              <w:spacing w:line="256" w:lineRule="auto"/>
              <w:jc w:val="right"/>
              <w:rPr>
                <w:rFonts w:cs="Arial"/>
                <w:sz w:val="20"/>
                <w:szCs w:val="20"/>
                <w:highlight w:val="yellow"/>
              </w:rPr>
            </w:pPr>
            <w:r w:rsidRPr="007456A2">
              <w:rPr>
                <w:rFonts w:cs="Arial"/>
                <w:sz w:val="20"/>
                <w:szCs w:val="20"/>
              </w:rPr>
              <w:t>50,95</w:t>
            </w:r>
          </w:p>
        </w:tc>
        <w:tc>
          <w:tcPr>
            <w:tcW w:w="1984" w:type="dxa"/>
            <w:tcBorders>
              <w:top w:val="single" w:sz="12" w:space="0" w:color="auto"/>
              <w:bottom w:val="single" w:sz="4" w:space="0" w:color="auto"/>
            </w:tcBorders>
            <w:shd w:val="clear" w:color="auto" w:fill="auto"/>
            <w:vAlign w:val="center"/>
          </w:tcPr>
          <w:p w14:paraId="3BA0D0C0" w14:textId="77777777" w:rsidR="00AC2C4F" w:rsidRPr="007456A2" w:rsidRDefault="00AC2C4F" w:rsidP="005F2E4B">
            <w:pPr>
              <w:spacing w:line="256" w:lineRule="auto"/>
              <w:jc w:val="right"/>
              <w:rPr>
                <w:rFonts w:cs="Arial"/>
                <w:sz w:val="20"/>
                <w:szCs w:val="20"/>
                <w:highlight w:val="yellow"/>
              </w:rPr>
            </w:pPr>
            <w:r w:rsidRPr="007456A2">
              <w:rPr>
                <w:rFonts w:cs="Arial"/>
                <w:sz w:val="20"/>
                <w:szCs w:val="20"/>
              </w:rPr>
              <w:t>23,05</w:t>
            </w:r>
          </w:p>
        </w:tc>
        <w:tc>
          <w:tcPr>
            <w:tcW w:w="1985" w:type="dxa"/>
            <w:tcBorders>
              <w:top w:val="single" w:sz="12" w:space="0" w:color="auto"/>
              <w:bottom w:val="single" w:sz="4" w:space="0" w:color="auto"/>
            </w:tcBorders>
            <w:shd w:val="clear" w:color="auto" w:fill="auto"/>
            <w:vAlign w:val="center"/>
          </w:tcPr>
          <w:p w14:paraId="23751E0F" w14:textId="77777777" w:rsidR="00AC2C4F" w:rsidRPr="007456A2" w:rsidRDefault="00AC2C4F" w:rsidP="005F2E4B">
            <w:pPr>
              <w:spacing w:line="256" w:lineRule="auto"/>
              <w:jc w:val="right"/>
              <w:rPr>
                <w:rFonts w:cs="Arial"/>
                <w:sz w:val="20"/>
                <w:szCs w:val="20"/>
                <w:highlight w:val="yellow"/>
              </w:rPr>
            </w:pPr>
            <w:r w:rsidRPr="007456A2">
              <w:rPr>
                <w:rFonts w:cs="Arial"/>
                <w:sz w:val="20"/>
                <w:szCs w:val="20"/>
              </w:rPr>
              <w:t>3,48</w:t>
            </w:r>
          </w:p>
        </w:tc>
        <w:tc>
          <w:tcPr>
            <w:tcW w:w="1984" w:type="dxa"/>
            <w:tcBorders>
              <w:top w:val="single" w:sz="12" w:space="0" w:color="auto"/>
              <w:bottom w:val="single" w:sz="4" w:space="0" w:color="auto"/>
            </w:tcBorders>
            <w:shd w:val="clear" w:color="auto" w:fill="auto"/>
            <w:noWrap/>
            <w:vAlign w:val="center"/>
          </w:tcPr>
          <w:p w14:paraId="5F0EE3CA" w14:textId="77777777" w:rsidR="00AC2C4F" w:rsidRPr="007456A2" w:rsidRDefault="00AC2C4F" w:rsidP="005F2E4B">
            <w:pPr>
              <w:spacing w:line="256" w:lineRule="auto"/>
              <w:jc w:val="right"/>
              <w:rPr>
                <w:rFonts w:cs="Arial"/>
                <w:sz w:val="20"/>
                <w:szCs w:val="20"/>
                <w:highlight w:val="yellow"/>
              </w:rPr>
            </w:pPr>
            <w:r w:rsidRPr="007456A2">
              <w:rPr>
                <w:rFonts w:cs="Arial"/>
                <w:sz w:val="20"/>
                <w:szCs w:val="20"/>
              </w:rPr>
              <w:t>24,42</w:t>
            </w:r>
          </w:p>
        </w:tc>
        <w:tc>
          <w:tcPr>
            <w:tcW w:w="1843" w:type="dxa"/>
            <w:tcBorders>
              <w:top w:val="single" w:sz="12" w:space="0" w:color="auto"/>
              <w:bottom w:val="single" w:sz="4" w:space="0" w:color="auto"/>
            </w:tcBorders>
            <w:shd w:val="clear" w:color="auto" w:fill="auto"/>
            <w:noWrap/>
            <w:vAlign w:val="center"/>
          </w:tcPr>
          <w:p w14:paraId="59459B04" w14:textId="77777777" w:rsidR="00AC2C4F" w:rsidRPr="007456A2" w:rsidRDefault="00AC2C4F" w:rsidP="005F2E4B">
            <w:pPr>
              <w:spacing w:line="256" w:lineRule="auto"/>
              <w:jc w:val="right"/>
              <w:rPr>
                <w:rFonts w:cs="Arial"/>
                <w:sz w:val="20"/>
                <w:szCs w:val="20"/>
                <w:highlight w:val="yellow"/>
              </w:rPr>
            </w:pPr>
            <w:r w:rsidRPr="007456A2">
              <w:rPr>
                <w:rFonts w:cs="Arial"/>
                <w:sz w:val="20"/>
                <w:szCs w:val="20"/>
              </w:rPr>
              <w:t>2 590 169</w:t>
            </w:r>
          </w:p>
        </w:tc>
      </w:tr>
      <w:tr w:rsidR="00AC2C4F" w:rsidRPr="00053DB8" w14:paraId="5D70A4EF" w14:textId="77777777" w:rsidTr="005F2E4B">
        <w:trPr>
          <w:trHeight w:val="315"/>
        </w:trPr>
        <w:tc>
          <w:tcPr>
            <w:tcW w:w="1134" w:type="dxa"/>
            <w:tcBorders>
              <w:top w:val="single" w:sz="4" w:space="0" w:color="auto"/>
            </w:tcBorders>
            <w:shd w:val="clear" w:color="auto" w:fill="auto"/>
            <w:hideMark/>
          </w:tcPr>
          <w:p w14:paraId="10810DA2" w14:textId="77777777" w:rsidR="00AC2C4F" w:rsidRPr="003445C7" w:rsidRDefault="00AC2C4F" w:rsidP="005F2E4B">
            <w:pPr>
              <w:tabs>
                <w:tab w:val="left" w:pos="720"/>
              </w:tabs>
              <w:rPr>
                <w:rFonts w:cs="Arial"/>
                <w:bCs/>
                <w:sz w:val="20"/>
                <w:szCs w:val="20"/>
                <w:highlight w:val="yellow"/>
              </w:rPr>
            </w:pPr>
            <w:r w:rsidRPr="007B3F3C">
              <w:rPr>
                <w:rFonts w:cs="Arial"/>
                <w:bCs/>
                <w:sz w:val="20"/>
                <w:szCs w:val="20"/>
              </w:rPr>
              <w:t>GŘC</w:t>
            </w:r>
          </w:p>
        </w:tc>
        <w:tc>
          <w:tcPr>
            <w:tcW w:w="1843" w:type="dxa"/>
            <w:tcBorders>
              <w:top w:val="single" w:sz="4" w:space="0" w:color="auto"/>
            </w:tcBorders>
            <w:shd w:val="clear" w:color="auto" w:fill="auto"/>
            <w:noWrap/>
            <w:vAlign w:val="center"/>
          </w:tcPr>
          <w:p w14:paraId="41F4BFB1" w14:textId="77777777" w:rsidR="00AC2C4F" w:rsidRPr="007B3F3C" w:rsidRDefault="00AC2C4F" w:rsidP="005F2E4B">
            <w:pPr>
              <w:spacing w:line="256" w:lineRule="auto"/>
              <w:jc w:val="right"/>
              <w:rPr>
                <w:rFonts w:cs="Arial"/>
                <w:sz w:val="20"/>
                <w:szCs w:val="20"/>
                <w:highlight w:val="yellow"/>
              </w:rPr>
            </w:pPr>
            <w:r w:rsidRPr="007B3F3C">
              <w:rPr>
                <w:rFonts w:cs="Arial"/>
                <w:sz w:val="20"/>
                <w:szCs w:val="20"/>
              </w:rPr>
              <w:t>1 410,36</w:t>
            </w:r>
          </w:p>
        </w:tc>
        <w:tc>
          <w:tcPr>
            <w:tcW w:w="1985" w:type="dxa"/>
            <w:tcBorders>
              <w:top w:val="single" w:sz="4" w:space="0" w:color="auto"/>
            </w:tcBorders>
            <w:shd w:val="clear" w:color="auto" w:fill="auto"/>
            <w:noWrap/>
            <w:vAlign w:val="center"/>
          </w:tcPr>
          <w:p w14:paraId="656AB9D9" w14:textId="77777777" w:rsidR="00AC2C4F" w:rsidRPr="007B3F3C" w:rsidRDefault="00AC2C4F" w:rsidP="005F2E4B">
            <w:pPr>
              <w:spacing w:line="256" w:lineRule="auto"/>
              <w:jc w:val="right"/>
              <w:rPr>
                <w:rFonts w:cs="Arial"/>
                <w:sz w:val="20"/>
                <w:szCs w:val="20"/>
                <w:highlight w:val="yellow"/>
              </w:rPr>
            </w:pPr>
            <w:r w:rsidRPr="007B3F3C">
              <w:rPr>
                <w:rFonts w:cs="Arial"/>
                <w:sz w:val="20"/>
                <w:szCs w:val="20"/>
              </w:rPr>
              <w:t>56,41</w:t>
            </w:r>
          </w:p>
        </w:tc>
        <w:tc>
          <w:tcPr>
            <w:tcW w:w="1984" w:type="dxa"/>
            <w:tcBorders>
              <w:top w:val="single" w:sz="4" w:space="0" w:color="auto"/>
            </w:tcBorders>
            <w:shd w:val="clear" w:color="auto" w:fill="auto"/>
            <w:vAlign w:val="center"/>
          </w:tcPr>
          <w:p w14:paraId="4A689DC9" w14:textId="77777777" w:rsidR="00AC2C4F" w:rsidRPr="007B3F3C" w:rsidRDefault="00AC2C4F" w:rsidP="005F2E4B">
            <w:pPr>
              <w:spacing w:line="256" w:lineRule="auto"/>
              <w:jc w:val="right"/>
              <w:rPr>
                <w:rFonts w:cs="Arial"/>
                <w:sz w:val="20"/>
                <w:szCs w:val="20"/>
                <w:highlight w:val="yellow"/>
              </w:rPr>
            </w:pPr>
            <w:r w:rsidRPr="007B3F3C">
              <w:rPr>
                <w:rFonts w:cs="Arial"/>
                <w:sz w:val="20"/>
                <w:szCs w:val="20"/>
              </w:rPr>
              <w:t>43,91</w:t>
            </w:r>
          </w:p>
        </w:tc>
        <w:tc>
          <w:tcPr>
            <w:tcW w:w="1985" w:type="dxa"/>
            <w:tcBorders>
              <w:top w:val="single" w:sz="4" w:space="0" w:color="auto"/>
            </w:tcBorders>
            <w:shd w:val="clear" w:color="auto" w:fill="auto"/>
            <w:vAlign w:val="center"/>
          </w:tcPr>
          <w:p w14:paraId="2A7A0DB3" w14:textId="77777777" w:rsidR="00AC2C4F" w:rsidRPr="007B3F3C" w:rsidRDefault="00AC2C4F" w:rsidP="005F2E4B">
            <w:pPr>
              <w:spacing w:line="256" w:lineRule="auto"/>
              <w:jc w:val="right"/>
              <w:rPr>
                <w:rFonts w:cs="Arial"/>
                <w:sz w:val="20"/>
                <w:szCs w:val="20"/>
                <w:highlight w:val="yellow"/>
              </w:rPr>
            </w:pPr>
            <w:r w:rsidRPr="007B3F3C">
              <w:rPr>
                <w:rFonts w:cs="Arial"/>
                <w:sz w:val="20"/>
                <w:szCs w:val="20"/>
              </w:rPr>
              <w:t>11,69</w:t>
            </w:r>
          </w:p>
        </w:tc>
        <w:tc>
          <w:tcPr>
            <w:tcW w:w="1984" w:type="dxa"/>
            <w:tcBorders>
              <w:top w:val="single" w:sz="4" w:space="0" w:color="auto"/>
            </w:tcBorders>
            <w:shd w:val="clear" w:color="auto" w:fill="auto"/>
            <w:noWrap/>
            <w:vAlign w:val="center"/>
          </w:tcPr>
          <w:p w14:paraId="276C5229" w14:textId="77777777" w:rsidR="00AC2C4F" w:rsidRPr="007B3F3C" w:rsidRDefault="00AC2C4F" w:rsidP="005F2E4B">
            <w:pPr>
              <w:spacing w:line="256" w:lineRule="auto"/>
              <w:jc w:val="right"/>
              <w:rPr>
                <w:rFonts w:cs="Arial"/>
                <w:sz w:val="20"/>
                <w:szCs w:val="20"/>
                <w:highlight w:val="yellow"/>
              </w:rPr>
            </w:pPr>
            <w:r w:rsidRPr="007B3F3C">
              <w:rPr>
                <w:rFonts w:cs="Arial"/>
                <w:sz w:val="20"/>
                <w:szCs w:val="20"/>
              </w:rPr>
              <w:t>0,81</w:t>
            </w:r>
          </w:p>
        </w:tc>
        <w:tc>
          <w:tcPr>
            <w:tcW w:w="1843" w:type="dxa"/>
            <w:tcBorders>
              <w:top w:val="single" w:sz="4" w:space="0" w:color="auto"/>
            </w:tcBorders>
            <w:shd w:val="clear" w:color="auto" w:fill="auto"/>
            <w:noWrap/>
            <w:vAlign w:val="center"/>
          </w:tcPr>
          <w:p w14:paraId="0198C956" w14:textId="77777777" w:rsidR="00AC2C4F" w:rsidRPr="007B3F3C" w:rsidRDefault="00AC2C4F" w:rsidP="005F2E4B">
            <w:pPr>
              <w:spacing w:line="256" w:lineRule="auto"/>
              <w:jc w:val="right"/>
              <w:rPr>
                <w:rFonts w:cs="Arial"/>
                <w:sz w:val="20"/>
                <w:szCs w:val="20"/>
                <w:highlight w:val="yellow"/>
              </w:rPr>
            </w:pPr>
            <w:r w:rsidRPr="007B3F3C">
              <w:rPr>
                <w:rFonts w:cs="Arial"/>
                <w:sz w:val="20"/>
                <w:szCs w:val="20"/>
              </w:rPr>
              <w:t>85 915</w:t>
            </w:r>
          </w:p>
        </w:tc>
      </w:tr>
      <w:tr w:rsidR="00AC2C4F" w:rsidRPr="00053DB8" w14:paraId="644133E8" w14:textId="77777777" w:rsidTr="005F2E4B">
        <w:trPr>
          <w:trHeight w:val="300"/>
        </w:trPr>
        <w:tc>
          <w:tcPr>
            <w:tcW w:w="1134" w:type="dxa"/>
            <w:shd w:val="clear" w:color="auto" w:fill="auto"/>
            <w:hideMark/>
          </w:tcPr>
          <w:p w14:paraId="4574439C" w14:textId="77777777" w:rsidR="00AC2C4F" w:rsidRPr="003445C7" w:rsidRDefault="00AC2C4F" w:rsidP="005F2E4B">
            <w:pPr>
              <w:tabs>
                <w:tab w:val="left" w:pos="720"/>
              </w:tabs>
              <w:rPr>
                <w:rFonts w:cs="Arial"/>
                <w:bCs/>
                <w:sz w:val="20"/>
                <w:szCs w:val="20"/>
                <w:highlight w:val="yellow"/>
              </w:rPr>
            </w:pPr>
            <w:r w:rsidRPr="000B1893">
              <w:rPr>
                <w:rFonts w:cs="Arial"/>
                <w:bCs/>
                <w:sz w:val="20"/>
                <w:szCs w:val="20"/>
              </w:rPr>
              <w:t>GFŘ</w:t>
            </w:r>
          </w:p>
        </w:tc>
        <w:tc>
          <w:tcPr>
            <w:tcW w:w="1843" w:type="dxa"/>
            <w:shd w:val="clear" w:color="auto" w:fill="auto"/>
            <w:noWrap/>
            <w:vAlign w:val="center"/>
          </w:tcPr>
          <w:p w14:paraId="1852945C" w14:textId="77777777" w:rsidR="00AC2C4F" w:rsidRPr="00577F41" w:rsidRDefault="00AC2C4F" w:rsidP="005F2E4B">
            <w:pPr>
              <w:spacing w:line="256" w:lineRule="auto"/>
              <w:jc w:val="right"/>
              <w:rPr>
                <w:rFonts w:cs="Arial"/>
                <w:sz w:val="20"/>
                <w:szCs w:val="20"/>
                <w:highlight w:val="yellow"/>
              </w:rPr>
            </w:pPr>
            <w:r w:rsidRPr="00577F41">
              <w:rPr>
                <w:rFonts w:cs="Arial"/>
                <w:sz w:val="20"/>
                <w:szCs w:val="20"/>
              </w:rPr>
              <w:t>13 888,67</w:t>
            </w:r>
          </w:p>
        </w:tc>
        <w:tc>
          <w:tcPr>
            <w:tcW w:w="1985" w:type="dxa"/>
            <w:shd w:val="clear" w:color="auto" w:fill="auto"/>
            <w:noWrap/>
            <w:vAlign w:val="center"/>
          </w:tcPr>
          <w:p w14:paraId="33125B59" w14:textId="77777777" w:rsidR="00AC2C4F" w:rsidRPr="00577F41" w:rsidRDefault="00AC2C4F" w:rsidP="005F2E4B">
            <w:pPr>
              <w:spacing w:line="256" w:lineRule="auto"/>
              <w:jc w:val="right"/>
              <w:rPr>
                <w:rFonts w:cs="Arial"/>
                <w:sz w:val="20"/>
                <w:szCs w:val="20"/>
                <w:highlight w:val="yellow"/>
              </w:rPr>
            </w:pPr>
            <w:r w:rsidRPr="00577F41">
              <w:rPr>
                <w:rFonts w:cs="Arial"/>
                <w:sz w:val="20"/>
                <w:szCs w:val="20"/>
              </w:rPr>
              <w:t>555,54</w:t>
            </w:r>
          </w:p>
        </w:tc>
        <w:tc>
          <w:tcPr>
            <w:tcW w:w="1984" w:type="dxa"/>
            <w:shd w:val="clear" w:color="auto" w:fill="auto"/>
            <w:vAlign w:val="center"/>
          </w:tcPr>
          <w:p w14:paraId="62473B93" w14:textId="77777777" w:rsidR="00AC2C4F" w:rsidRPr="00577F41" w:rsidRDefault="00AC2C4F" w:rsidP="005F2E4B">
            <w:pPr>
              <w:spacing w:line="256" w:lineRule="auto"/>
              <w:jc w:val="right"/>
              <w:rPr>
                <w:rFonts w:cs="Arial"/>
                <w:sz w:val="20"/>
                <w:szCs w:val="20"/>
                <w:highlight w:val="yellow"/>
              </w:rPr>
            </w:pPr>
            <w:r w:rsidRPr="00577F41">
              <w:rPr>
                <w:rFonts w:cs="Arial"/>
                <w:sz w:val="20"/>
                <w:szCs w:val="20"/>
              </w:rPr>
              <w:t>386,04</w:t>
            </w:r>
          </w:p>
        </w:tc>
        <w:tc>
          <w:tcPr>
            <w:tcW w:w="1985" w:type="dxa"/>
            <w:shd w:val="clear" w:color="auto" w:fill="auto"/>
            <w:vAlign w:val="center"/>
          </w:tcPr>
          <w:p w14:paraId="61C552DD" w14:textId="77777777" w:rsidR="00AC2C4F" w:rsidRPr="00577F41" w:rsidRDefault="00AC2C4F" w:rsidP="005F2E4B">
            <w:pPr>
              <w:spacing w:line="256" w:lineRule="auto"/>
              <w:jc w:val="right"/>
              <w:rPr>
                <w:rFonts w:cs="Arial"/>
                <w:sz w:val="20"/>
                <w:szCs w:val="20"/>
                <w:highlight w:val="yellow"/>
              </w:rPr>
            </w:pPr>
            <w:r w:rsidRPr="00577F41">
              <w:rPr>
                <w:rFonts w:cs="Arial"/>
                <w:sz w:val="20"/>
                <w:szCs w:val="20"/>
              </w:rPr>
              <w:t>113,71</w:t>
            </w:r>
          </w:p>
        </w:tc>
        <w:tc>
          <w:tcPr>
            <w:tcW w:w="1984" w:type="dxa"/>
            <w:shd w:val="clear" w:color="auto" w:fill="auto"/>
            <w:noWrap/>
            <w:vAlign w:val="center"/>
          </w:tcPr>
          <w:p w14:paraId="6A08C7AB" w14:textId="77777777" w:rsidR="00AC2C4F" w:rsidRPr="00577F41" w:rsidRDefault="00AC2C4F" w:rsidP="005F2E4B">
            <w:pPr>
              <w:spacing w:line="256" w:lineRule="auto"/>
              <w:jc w:val="right"/>
              <w:rPr>
                <w:rFonts w:cs="Arial"/>
                <w:sz w:val="20"/>
                <w:szCs w:val="20"/>
                <w:highlight w:val="yellow"/>
              </w:rPr>
            </w:pPr>
            <w:r w:rsidRPr="00577F41">
              <w:rPr>
                <w:rFonts w:cs="Arial"/>
                <w:sz w:val="20"/>
                <w:szCs w:val="20"/>
              </w:rPr>
              <w:t>55,79</w:t>
            </w:r>
          </w:p>
        </w:tc>
        <w:tc>
          <w:tcPr>
            <w:tcW w:w="1843" w:type="dxa"/>
            <w:shd w:val="clear" w:color="auto" w:fill="auto"/>
            <w:noWrap/>
            <w:vAlign w:val="center"/>
          </w:tcPr>
          <w:p w14:paraId="6DE0CDB9" w14:textId="77777777" w:rsidR="00AC2C4F" w:rsidRPr="00577F41" w:rsidRDefault="00AC2C4F" w:rsidP="005F2E4B">
            <w:pPr>
              <w:jc w:val="right"/>
              <w:rPr>
                <w:rFonts w:cs="Arial"/>
                <w:sz w:val="20"/>
                <w:szCs w:val="20"/>
                <w:highlight w:val="yellow"/>
              </w:rPr>
            </w:pPr>
            <w:r w:rsidRPr="00577F41">
              <w:rPr>
                <w:rFonts w:cs="Arial"/>
                <w:sz w:val="20"/>
                <w:szCs w:val="20"/>
              </w:rPr>
              <w:t>5 917 506</w:t>
            </w:r>
          </w:p>
        </w:tc>
      </w:tr>
      <w:tr w:rsidR="00AC2C4F" w:rsidRPr="00053DB8" w14:paraId="740788B5" w14:textId="77777777" w:rsidTr="005F2E4B">
        <w:trPr>
          <w:trHeight w:val="300"/>
        </w:trPr>
        <w:tc>
          <w:tcPr>
            <w:tcW w:w="1134" w:type="dxa"/>
            <w:shd w:val="clear" w:color="auto" w:fill="auto"/>
            <w:hideMark/>
          </w:tcPr>
          <w:p w14:paraId="3471354E" w14:textId="77777777" w:rsidR="00AC2C4F" w:rsidRPr="003445C7" w:rsidRDefault="00AC2C4F" w:rsidP="005F2E4B">
            <w:pPr>
              <w:tabs>
                <w:tab w:val="left" w:pos="720"/>
              </w:tabs>
              <w:rPr>
                <w:rFonts w:cs="Arial"/>
                <w:bCs/>
                <w:sz w:val="20"/>
                <w:szCs w:val="20"/>
                <w:highlight w:val="yellow"/>
              </w:rPr>
            </w:pPr>
            <w:r w:rsidRPr="00D10620">
              <w:rPr>
                <w:rFonts w:cs="Arial"/>
                <w:bCs/>
                <w:sz w:val="20"/>
                <w:szCs w:val="20"/>
              </w:rPr>
              <w:t>ÚZSVM</w:t>
            </w:r>
          </w:p>
        </w:tc>
        <w:tc>
          <w:tcPr>
            <w:tcW w:w="1843" w:type="dxa"/>
            <w:shd w:val="clear" w:color="auto" w:fill="auto"/>
            <w:noWrap/>
            <w:vAlign w:val="center"/>
          </w:tcPr>
          <w:p w14:paraId="7616CBFF" w14:textId="77777777" w:rsidR="00AC2C4F" w:rsidRPr="0029660F" w:rsidRDefault="00AC2C4F" w:rsidP="005F2E4B">
            <w:pPr>
              <w:spacing w:line="256" w:lineRule="auto"/>
              <w:jc w:val="right"/>
              <w:rPr>
                <w:rFonts w:cs="Arial"/>
                <w:sz w:val="20"/>
                <w:szCs w:val="20"/>
                <w:highlight w:val="yellow"/>
              </w:rPr>
            </w:pPr>
            <w:r w:rsidRPr="0029660F">
              <w:rPr>
                <w:rFonts w:cs="Arial"/>
                <w:sz w:val="20"/>
                <w:szCs w:val="20"/>
              </w:rPr>
              <w:t>1 552,37</w:t>
            </w:r>
          </w:p>
        </w:tc>
        <w:tc>
          <w:tcPr>
            <w:tcW w:w="1985" w:type="dxa"/>
            <w:shd w:val="clear" w:color="auto" w:fill="auto"/>
            <w:noWrap/>
            <w:vAlign w:val="center"/>
          </w:tcPr>
          <w:p w14:paraId="639CED98" w14:textId="77777777" w:rsidR="00AC2C4F" w:rsidRPr="0029660F" w:rsidRDefault="00AC2C4F" w:rsidP="005F2E4B">
            <w:pPr>
              <w:spacing w:line="256" w:lineRule="auto"/>
              <w:jc w:val="right"/>
              <w:rPr>
                <w:rFonts w:cs="Arial"/>
                <w:sz w:val="20"/>
                <w:szCs w:val="20"/>
                <w:highlight w:val="yellow"/>
              </w:rPr>
            </w:pPr>
            <w:r w:rsidRPr="0029660F">
              <w:rPr>
                <w:rFonts w:cs="Arial"/>
                <w:sz w:val="20"/>
                <w:szCs w:val="20"/>
              </w:rPr>
              <w:t>62,09</w:t>
            </w:r>
          </w:p>
        </w:tc>
        <w:tc>
          <w:tcPr>
            <w:tcW w:w="1984" w:type="dxa"/>
            <w:shd w:val="clear" w:color="auto" w:fill="auto"/>
            <w:vAlign w:val="center"/>
          </w:tcPr>
          <w:p w14:paraId="1653D915" w14:textId="77777777" w:rsidR="00AC2C4F" w:rsidRPr="0029660F" w:rsidRDefault="00AC2C4F" w:rsidP="005F2E4B">
            <w:pPr>
              <w:spacing w:line="256" w:lineRule="auto"/>
              <w:jc w:val="right"/>
              <w:rPr>
                <w:rFonts w:cs="Arial"/>
                <w:sz w:val="20"/>
                <w:szCs w:val="20"/>
                <w:highlight w:val="yellow"/>
              </w:rPr>
            </w:pPr>
            <w:r w:rsidRPr="0029660F">
              <w:rPr>
                <w:rFonts w:cs="Arial"/>
                <w:sz w:val="20"/>
                <w:szCs w:val="20"/>
              </w:rPr>
              <w:t>57,84</w:t>
            </w:r>
          </w:p>
        </w:tc>
        <w:tc>
          <w:tcPr>
            <w:tcW w:w="1985" w:type="dxa"/>
            <w:shd w:val="clear" w:color="auto" w:fill="auto"/>
            <w:vAlign w:val="center"/>
          </w:tcPr>
          <w:p w14:paraId="29BBAD95" w14:textId="77777777" w:rsidR="00AC2C4F" w:rsidRPr="0029660F" w:rsidRDefault="00AC2C4F" w:rsidP="005F2E4B">
            <w:pPr>
              <w:spacing w:line="256" w:lineRule="auto"/>
              <w:jc w:val="right"/>
              <w:rPr>
                <w:rFonts w:cs="Arial"/>
                <w:sz w:val="20"/>
                <w:szCs w:val="20"/>
                <w:highlight w:val="yellow"/>
              </w:rPr>
            </w:pPr>
            <w:r w:rsidRPr="0029660F">
              <w:rPr>
                <w:rFonts w:cs="Arial"/>
                <w:sz w:val="20"/>
                <w:szCs w:val="20"/>
              </w:rPr>
              <w:t>28,65</w:t>
            </w:r>
          </w:p>
        </w:tc>
        <w:tc>
          <w:tcPr>
            <w:tcW w:w="1984" w:type="dxa"/>
            <w:shd w:val="clear" w:color="auto" w:fill="auto"/>
            <w:noWrap/>
            <w:vAlign w:val="center"/>
          </w:tcPr>
          <w:p w14:paraId="1FFEF463" w14:textId="77777777" w:rsidR="00AC2C4F" w:rsidRPr="003445C7" w:rsidRDefault="00AC2C4F" w:rsidP="005F2E4B">
            <w:pPr>
              <w:spacing w:line="256" w:lineRule="auto"/>
              <w:jc w:val="right"/>
              <w:rPr>
                <w:rFonts w:cs="Arial"/>
                <w:sz w:val="20"/>
                <w:szCs w:val="20"/>
                <w:highlight w:val="yellow"/>
              </w:rPr>
            </w:pPr>
            <w:r w:rsidRPr="001C0FEE">
              <w:rPr>
                <w:rFonts w:eastAsia="Calibri" w:cs="Arial"/>
                <w:sz w:val="20"/>
                <w:szCs w:val="20"/>
              </w:rPr>
              <w:t>0,00</w:t>
            </w:r>
          </w:p>
        </w:tc>
        <w:tc>
          <w:tcPr>
            <w:tcW w:w="1843" w:type="dxa"/>
            <w:shd w:val="clear" w:color="auto" w:fill="auto"/>
            <w:noWrap/>
            <w:vAlign w:val="center"/>
          </w:tcPr>
          <w:p w14:paraId="12F249D7" w14:textId="77777777" w:rsidR="00AC2C4F" w:rsidRPr="003445C7" w:rsidRDefault="00AC2C4F" w:rsidP="005F2E4B">
            <w:pPr>
              <w:spacing w:line="256" w:lineRule="auto"/>
              <w:jc w:val="right"/>
              <w:rPr>
                <w:rFonts w:cs="Arial"/>
                <w:sz w:val="20"/>
                <w:szCs w:val="20"/>
                <w:highlight w:val="yellow"/>
              </w:rPr>
            </w:pPr>
            <w:r w:rsidRPr="00D10620">
              <w:rPr>
                <w:rFonts w:cs="Arial"/>
                <w:sz w:val="20"/>
                <w:szCs w:val="20"/>
              </w:rPr>
              <w:t>0</w:t>
            </w:r>
          </w:p>
        </w:tc>
      </w:tr>
      <w:tr w:rsidR="00AC2C4F" w:rsidRPr="00053DB8" w14:paraId="015C5509" w14:textId="77777777" w:rsidTr="005F2E4B">
        <w:trPr>
          <w:trHeight w:val="315"/>
        </w:trPr>
        <w:tc>
          <w:tcPr>
            <w:tcW w:w="1134" w:type="dxa"/>
            <w:tcBorders>
              <w:bottom w:val="single" w:sz="12" w:space="0" w:color="auto"/>
            </w:tcBorders>
            <w:shd w:val="clear" w:color="auto" w:fill="auto"/>
            <w:hideMark/>
          </w:tcPr>
          <w:p w14:paraId="60146C28" w14:textId="77777777" w:rsidR="00AC2C4F" w:rsidRPr="003445C7" w:rsidRDefault="00AC2C4F" w:rsidP="005F2E4B">
            <w:pPr>
              <w:tabs>
                <w:tab w:val="left" w:pos="720"/>
              </w:tabs>
              <w:rPr>
                <w:rFonts w:cs="Arial"/>
                <w:bCs/>
                <w:sz w:val="20"/>
                <w:szCs w:val="20"/>
                <w:highlight w:val="yellow"/>
              </w:rPr>
            </w:pPr>
            <w:r w:rsidRPr="00563425">
              <w:rPr>
                <w:rFonts w:cs="Arial"/>
                <w:bCs/>
                <w:sz w:val="20"/>
                <w:szCs w:val="20"/>
              </w:rPr>
              <w:t>STC</w:t>
            </w:r>
          </w:p>
        </w:tc>
        <w:tc>
          <w:tcPr>
            <w:tcW w:w="1843" w:type="dxa"/>
            <w:tcBorders>
              <w:bottom w:val="single" w:sz="12" w:space="0" w:color="auto"/>
            </w:tcBorders>
            <w:shd w:val="clear" w:color="auto" w:fill="auto"/>
            <w:noWrap/>
            <w:vAlign w:val="center"/>
          </w:tcPr>
          <w:p w14:paraId="0A8623A9" w14:textId="77777777" w:rsidR="00AC2C4F" w:rsidRPr="003E0349" w:rsidRDefault="00AC2C4F" w:rsidP="005F2E4B">
            <w:pPr>
              <w:spacing w:line="256" w:lineRule="auto"/>
              <w:jc w:val="right"/>
              <w:rPr>
                <w:rFonts w:cs="Arial"/>
                <w:sz w:val="20"/>
                <w:szCs w:val="20"/>
              </w:rPr>
            </w:pPr>
            <w:r w:rsidRPr="003E0349">
              <w:rPr>
                <w:rFonts w:cs="Arial"/>
                <w:sz w:val="20"/>
                <w:szCs w:val="20"/>
              </w:rPr>
              <w:t>358,40</w:t>
            </w:r>
          </w:p>
        </w:tc>
        <w:tc>
          <w:tcPr>
            <w:tcW w:w="1985" w:type="dxa"/>
            <w:tcBorders>
              <w:bottom w:val="single" w:sz="12" w:space="0" w:color="auto"/>
            </w:tcBorders>
            <w:shd w:val="clear" w:color="auto" w:fill="auto"/>
            <w:noWrap/>
            <w:vAlign w:val="center"/>
          </w:tcPr>
          <w:p w14:paraId="5712B7CD" w14:textId="77777777" w:rsidR="00AC2C4F" w:rsidRPr="003E0349" w:rsidRDefault="00AC2C4F" w:rsidP="005F2E4B">
            <w:pPr>
              <w:spacing w:line="256" w:lineRule="auto"/>
              <w:jc w:val="right"/>
              <w:rPr>
                <w:rFonts w:cs="Arial"/>
                <w:sz w:val="20"/>
                <w:szCs w:val="20"/>
              </w:rPr>
            </w:pPr>
            <w:r w:rsidRPr="003E0349">
              <w:rPr>
                <w:rFonts w:cs="Arial"/>
                <w:sz w:val="20"/>
                <w:szCs w:val="20"/>
              </w:rPr>
              <w:t>14,33</w:t>
            </w:r>
          </w:p>
        </w:tc>
        <w:tc>
          <w:tcPr>
            <w:tcW w:w="1984" w:type="dxa"/>
            <w:tcBorders>
              <w:bottom w:val="single" w:sz="12" w:space="0" w:color="auto"/>
            </w:tcBorders>
            <w:shd w:val="clear" w:color="auto" w:fill="auto"/>
            <w:vAlign w:val="center"/>
          </w:tcPr>
          <w:p w14:paraId="0422102A" w14:textId="77777777" w:rsidR="00AC2C4F" w:rsidRPr="003E0349" w:rsidRDefault="00AC2C4F" w:rsidP="005F2E4B">
            <w:pPr>
              <w:spacing w:line="256" w:lineRule="auto"/>
              <w:jc w:val="right"/>
              <w:rPr>
                <w:rFonts w:cs="Arial"/>
                <w:sz w:val="20"/>
                <w:szCs w:val="20"/>
              </w:rPr>
            </w:pPr>
            <w:r w:rsidRPr="003E0349">
              <w:rPr>
                <w:rFonts w:cs="Arial"/>
                <w:sz w:val="20"/>
                <w:szCs w:val="20"/>
              </w:rPr>
              <w:t>6,88</w:t>
            </w:r>
          </w:p>
        </w:tc>
        <w:tc>
          <w:tcPr>
            <w:tcW w:w="1985" w:type="dxa"/>
            <w:tcBorders>
              <w:bottom w:val="single" w:sz="12" w:space="0" w:color="auto"/>
            </w:tcBorders>
            <w:shd w:val="clear" w:color="auto" w:fill="auto"/>
            <w:vAlign w:val="center"/>
          </w:tcPr>
          <w:p w14:paraId="29D2C2D2" w14:textId="77777777" w:rsidR="00AC2C4F" w:rsidRPr="003E0349" w:rsidRDefault="00AC2C4F" w:rsidP="005F2E4B">
            <w:pPr>
              <w:spacing w:line="256" w:lineRule="auto"/>
              <w:jc w:val="right"/>
              <w:rPr>
                <w:rFonts w:cs="Arial"/>
                <w:sz w:val="20"/>
                <w:szCs w:val="20"/>
              </w:rPr>
            </w:pPr>
            <w:r w:rsidRPr="003E0349">
              <w:rPr>
                <w:rFonts w:cs="Arial"/>
                <w:sz w:val="20"/>
                <w:szCs w:val="20"/>
              </w:rPr>
              <w:t>7,74</w:t>
            </w:r>
          </w:p>
        </w:tc>
        <w:tc>
          <w:tcPr>
            <w:tcW w:w="1984" w:type="dxa"/>
            <w:tcBorders>
              <w:bottom w:val="single" w:sz="12" w:space="0" w:color="auto"/>
            </w:tcBorders>
            <w:shd w:val="clear" w:color="auto" w:fill="auto"/>
            <w:noWrap/>
            <w:vAlign w:val="center"/>
          </w:tcPr>
          <w:p w14:paraId="1588C889" w14:textId="77777777" w:rsidR="00AC2C4F" w:rsidRPr="003E0349" w:rsidRDefault="00AC2C4F" w:rsidP="005F2E4B">
            <w:pPr>
              <w:spacing w:line="256" w:lineRule="auto"/>
              <w:jc w:val="right"/>
              <w:rPr>
                <w:rFonts w:cs="Arial"/>
                <w:sz w:val="20"/>
                <w:szCs w:val="20"/>
              </w:rPr>
            </w:pPr>
            <w:r w:rsidRPr="003E0349">
              <w:rPr>
                <w:rFonts w:eastAsia="Calibri" w:cs="Arial"/>
                <w:sz w:val="20"/>
                <w:szCs w:val="20"/>
              </w:rPr>
              <w:t>0,00</w:t>
            </w:r>
          </w:p>
        </w:tc>
        <w:tc>
          <w:tcPr>
            <w:tcW w:w="1843" w:type="dxa"/>
            <w:tcBorders>
              <w:bottom w:val="single" w:sz="12" w:space="0" w:color="auto"/>
            </w:tcBorders>
            <w:shd w:val="clear" w:color="auto" w:fill="auto"/>
            <w:noWrap/>
            <w:vAlign w:val="center"/>
          </w:tcPr>
          <w:p w14:paraId="3B81E5DE" w14:textId="77777777" w:rsidR="00AC2C4F" w:rsidRPr="003E0349" w:rsidRDefault="00AC2C4F" w:rsidP="005F2E4B">
            <w:pPr>
              <w:spacing w:line="256" w:lineRule="auto"/>
              <w:jc w:val="right"/>
              <w:rPr>
                <w:rFonts w:cs="Arial"/>
                <w:sz w:val="20"/>
                <w:szCs w:val="20"/>
              </w:rPr>
            </w:pPr>
            <w:r w:rsidRPr="003E0349">
              <w:rPr>
                <w:rFonts w:cs="Arial"/>
                <w:sz w:val="20"/>
                <w:szCs w:val="20"/>
              </w:rPr>
              <w:t>0</w:t>
            </w:r>
          </w:p>
        </w:tc>
      </w:tr>
      <w:tr w:rsidR="00AC2C4F" w:rsidRPr="00935492" w14:paraId="4197A3C3" w14:textId="77777777" w:rsidTr="005F2E4B">
        <w:trPr>
          <w:trHeight w:val="315"/>
        </w:trPr>
        <w:tc>
          <w:tcPr>
            <w:tcW w:w="1134" w:type="dxa"/>
            <w:tcBorders>
              <w:top w:val="single" w:sz="12" w:space="0" w:color="auto"/>
              <w:bottom w:val="single" w:sz="4" w:space="0" w:color="auto"/>
            </w:tcBorders>
            <w:shd w:val="clear" w:color="auto" w:fill="auto"/>
            <w:hideMark/>
          </w:tcPr>
          <w:p w14:paraId="4E36F683" w14:textId="77777777" w:rsidR="00AC2C4F" w:rsidRPr="003445C7" w:rsidRDefault="00AC2C4F" w:rsidP="005F2E4B">
            <w:pPr>
              <w:rPr>
                <w:rFonts w:eastAsia="Calibri" w:cs="Arial"/>
                <w:b/>
                <w:sz w:val="20"/>
                <w:szCs w:val="20"/>
                <w:highlight w:val="yellow"/>
              </w:rPr>
            </w:pPr>
            <w:r w:rsidRPr="00E45871">
              <w:rPr>
                <w:rFonts w:eastAsia="Calibri" w:cs="Arial"/>
                <w:b/>
                <w:sz w:val="20"/>
                <w:szCs w:val="20"/>
              </w:rPr>
              <w:t>MK</w:t>
            </w:r>
          </w:p>
        </w:tc>
        <w:tc>
          <w:tcPr>
            <w:tcW w:w="1843" w:type="dxa"/>
            <w:tcBorders>
              <w:top w:val="single" w:sz="12" w:space="0" w:color="auto"/>
              <w:bottom w:val="single" w:sz="4" w:space="0" w:color="auto"/>
            </w:tcBorders>
            <w:shd w:val="clear" w:color="auto" w:fill="auto"/>
            <w:noWrap/>
          </w:tcPr>
          <w:p w14:paraId="2D9BDAEE"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266,73</w:t>
            </w:r>
          </w:p>
        </w:tc>
        <w:tc>
          <w:tcPr>
            <w:tcW w:w="1985" w:type="dxa"/>
            <w:tcBorders>
              <w:top w:val="single" w:sz="12" w:space="0" w:color="auto"/>
              <w:bottom w:val="single" w:sz="4" w:space="0" w:color="auto"/>
            </w:tcBorders>
            <w:shd w:val="clear" w:color="auto" w:fill="auto"/>
            <w:noWrap/>
          </w:tcPr>
          <w:p w14:paraId="4F2AAB82"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10,66</w:t>
            </w:r>
          </w:p>
        </w:tc>
        <w:tc>
          <w:tcPr>
            <w:tcW w:w="1984" w:type="dxa"/>
            <w:tcBorders>
              <w:top w:val="single" w:sz="12" w:space="0" w:color="auto"/>
              <w:bottom w:val="single" w:sz="4" w:space="0" w:color="auto"/>
            </w:tcBorders>
            <w:shd w:val="clear" w:color="auto" w:fill="auto"/>
          </w:tcPr>
          <w:p w14:paraId="33028C45"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3,68</w:t>
            </w:r>
          </w:p>
        </w:tc>
        <w:tc>
          <w:tcPr>
            <w:tcW w:w="1985" w:type="dxa"/>
            <w:tcBorders>
              <w:top w:val="single" w:sz="12" w:space="0" w:color="auto"/>
              <w:bottom w:val="single" w:sz="4" w:space="0" w:color="auto"/>
            </w:tcBorders>
            <w:shd w:val="clear" w:color="auto" w:fill="auto"/>
          </w:tcPr>
          <w:p w14:paraId="03CBF814" w14:textId="77777777" w:rsidR="00AC2C4F" w:rsidRPr="003445C7" w:rsidRDefault="00AC2C4F" w:rsidP="005F2E4B">
            <w:pPr>
              <w:spacing w:line="254" w:lineRule="auto"/>
              <w:jc w:val="right"/>
              <w:rPr>
                <w:rFonts w:eastAsia="Calibri" w:cs="Arial"/>
                <w:sz w:val="20"/>
                <w:szCs w:val="20"/>
                <w:highlight w:val="yellow"/>
              </w:rPr>
            </w:pPr>
            <w:r w:rsidRPr="00A42ABD">
              <w:rPr>
                <w:rFonts w:eastAsia="Calibri" w:cs="Arial"/>
                <w:sz w:val="20"/>
                <w:szCs w:val="20"/>
              </w:rPr>
              <w:t>0,00</w:t>
            </w:r>
          </w:p>
        </w:tc>
        <w:tc>
          <w:tcPr>
            <w:tcW w:w="1984" w:type="dxa"/>
            <w:tcBorders>
              <w:top w:val="single" w:sz="12" w:space="0" w:color="auto"/>
              <w:bottom w:val="single" w:sz="4" w:space="0" w:color="auto"/>
            </w:tcBorders>
            <w:shd w:val="clear" w:color="auto" w:fill="auto"/>
            <w:noWrap/>
          </w:tcPr>
          <w:p w14:paraId="42F8D5E8"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6,98</w:t>
            </w:r>
          </w:p>
        </w:tc>
        <w:tc>
          <w:tcPr>
            <w:tcW w:w="1843" w:type="dxa"/>
            <w:tcBorders>
              <w:top w:val="single" w:sz="12" w:space="0" w:color="auto"/>
              <w:bottom w:val="single" w:sz="4" w:space="0" w:color="auto"/>
            </w:tcBorders>
            <w:shd w:val="clear" w:color="auto" w:fill="auto"/>
            <w:noWrap/>
          </w:tcPr>
          <w:p w14:paraId="5F32F96D" w14:textId="77777777" w:rsidR="00AC2C4F" w:rsidRPr="003445C7" w:rsidRDefault="00AC2C4F" w:rsidP="005F2E4B">
            <w:pPr>
              <w:spacing w:line="254" w:lineRule="auto"/>
              <w:jc w:val="right"/>
              <w:rPr>
                <w:rFonts w:eastAsia="Calibri" w:cs="Arial"/>
                <w:sz w:val="20"/>
                <w:szCs w:val="20"/>
                <w:highlight w:val="yellow"/>
              </w:rPr>
            </w:pPr>
            <w:r>
              <w:rPr>
                <w:rFonts w:eastAsia="Calibri"/>
                <w:sz w:val="20"/>
                <w:szCs w:val="20"/>
              </w:rPr>
              <w:t xml:space="preserve">740 </w:t>
            </w:r>
            <w:r w:rsidRPr="001A45BE">
              <w:rPr>
                <w:rFonts w:eastAsia="Calibri"/>
                <w:sz w:val="20"/>
                <w:szCs w:val="20"/>
              </w:rPr>
              <w:t>352</w:t>
            </w:r>
          </w:p>
        </w:tc>
      </w:tr>
      <w:tr w:rsidR="00AC2C4F" w:rsidRPr="00053DB8" w14:paraId="00D39AAF" w14:textId="77777777" w:rsidTr="005F2E4B">
        <w:trPr>
          <w:trHeight w:val="300"/>
        </w:trPr>
        <w:tc>
          <w:tcPr>
            <w:tcW w:w="1134" w:type="dxa"/>
            <w:shd w:val="clear" w:color="auto" w:fill="auto"/>
          </w:tcPr>
          <w:p w14:paraId="71724F85" w14:textId="77777777" w:rsidR="00AC2C4F" w:rsidRPr="003445C7" w:rsidRDefault="00AC2C4F" w:rsidP="005F2E4B">
            <w:pPr>
              <w:rPr>
                <w:rFonts w:eastAsia="Calibri" w:cs="Arial"/>
                <w:sz w:val="20"/>
                <w:szCs w:val="20"/>
                <w:highlight w:val="yellow"/>
              </w:rPr>
            </w:pPr>
            <w:r w:rsidRPr="00451445">
              <w:rPr>
                <w:rFonts w:eastAsia="Calibri" w:cs="Arial"/>
                <w:sz w:val="20"/>
                <w:szCs w:val="20"/>
              </w:rPr>
              <w:t>ND</w:t>
            </w:r>
          </w:p>
        </w:tc>
        <w:tc>
          <w:tcPr>
            <w:tcW w:w="1843" w:type="dxa"/>
            <w:shd w:val="clear" w:color="auto" w:fill="auto"/>
            <w:noWrap/>
          </w:tcPr>
          <w:p w14:paraId="49619FCC"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1332,32</w:t>
            </w:r>
          </w:p>
        </w:tc>
        <w:tc>
          <w:tcPr>
            <w:tcW w:w="1985" w:type="dxa"/>
            <w:shd w:val="clear" w:color="auto" w:fill="auto"/>
            <w:noWrap/>
          </w:tcPr>
          <w:p w14:paraId="413C1FF7"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53,29</w:t>
            </w:r>
          </w:p>
        </w:tc>
        <w:tc>
          <w:tcPr>
            <w:tcW w:w="1984" w:type="dxa"/>
            <w:shd w:val="clear" w:color="auto" w:fill="auto"/>
          </w:tcPr>
          <w:p w14:paraId="3AA30BD1"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19,85</w:t>
            </w:r>
          </w:p>
        </w:tc>
        <w:tc>
          <w:tcPr>
            <w:tcW w:w="1985" w:type="dxa"/>
            <w:shd w:val="clear" w:color="auto" w:fill="auto"/>
          </w:tcPr>
          <w:p w14:paraId="1C091689"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8,77</w:t>
            </w:r>
          </w:p>
        </w:tc>
        <w:tc>
          <w:tcPr>
            <w:tcW w:w="1984" w:type="dxa"/>
            <w:shd w:val="clear" w:color="auto" w:fill="auto"/>
            <w:noWrap/>
          </w:tcPr>
          <w:p w14:paraId="23B255CC"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24,67</w:t>
            </w:r>
          </w:p>
        </w:tc>
        <w:tc>
          <w:tcPr>
            <w:tcW w:w="1843" w:type="dxa"/>
            <w:shd w:val="clear" w:color="auto" w:fill="auto"/>
            <w:noWrap/>
          </w:tcPr>
          <w:p w14:paraId="0B92264A" w14:textId="77777777" w:rsidR="00AC2C4F" w:rsidRPr="003445C7" w:rsidRDefault="00AC2C4F" w:rsidP="005F2E4B">
            <w:pPr>
              <w:spacing w:line="254" w:lineRule="auto"/>
              <w:jc w:val="right"/>
              <w:rPr>
                <w:rFonts w:eastAsia="Calibri" w:cs="Arial"/>
                <w:sz w:val="20"/>
                <w:szCs w:val="20"/>
                <w:highlight w:val="yellow"/>
              </w:rPr>
            </w:pPr>
            <w:r>
              <w:rPr>
                <w:rFonts w:eastAsia="Calibri"/>
                <w:sz w:val="20"/>
                <w:szCs w:val="20"/>
              </w:rPr>
              <w:t xml:space="preserve">2 </w:t>
            </w:r>
            <w:r w:rsidRPr="001A45BE">
              <w:rPr>
                <w:rFonts w:eastAsia="Calibri"/>
                <w:sz w:val="20"/>
                <w:szCs w:val="20"/>
              </w:rPr>
              <w:t>616 686</w:t>
            </w:r>
          </w:p>
        </w:tc>
      </w:tr>
      <w:tr w:rsidR="00AC2C4F" w:rsidRPr="00053DB8" w14:paraId="535156E7" w14:textId="77777777" w:rsidTr="005F2E4B">
        <w:trPr>
          <w:trHeight w:val="300"/>
        </w:trPr>
        <w:tc>
          <w:tcPr>
            <w:tcW w:w="1134" w:type="dxa"/>
            <w:shd w:val="clear" w:color="auto" w:fill="auto"/>
          </w:tcPr>
          <w:p w14:paraId="50E1EF15" w14:textId="77777777" w:rsidR="00AC2C4F" w:rsidRPr="003445C7" w:rsidRDefault="00AC2C4F" w:rsidP="005F2E4B">
            <w:pPr>
              <w:rPr>
                <w:rFonts w:eastAsia="Calibri" w:cs="Arial"/>
                <w:sz w:val="20"/>
                <w:szCs w:val="20"/>
                <w:highlight w:val="yellow"/>
              </w:rPr>
            </w:pPr>
            <w:r w:rsidRPr="004B15D6">
              <w:rPr>
                <w:rFonts w:eastAsia="Calibri" w:cs="Arial"/>
                <w:sz w:val="20"/>
                <w:szCs w:val="20"/>
              </w:rPr>
              <w:t>ČF</w:t>
            </w:r>
          </w:p>
        </w:tc>
        <w:tc>
          <w:tcPr>
            <w:tcW w:w="1843" w:type="dxa"/>
            <w:shd w:val="clear" w:color="auto" w:fill="auto"/>
            <w:noWrap/>
          </w:tcPr>
          <w:p w14:paraId="069DEBB9" w14:textId="77777777" w:rsidR="00AC2C4F" w:rsidRPr="003445C7" w:rsidRDefault="00AC2C4F" w:rsidP="005F2E4B">
            <w:pPr>
              <w:spacing w:line="254" w:lineRule="auto"/>
              <w:jc w:val="right"/>
              <w:rPr>
                <w:rFonts w:cs="Arial"/>
                <w:sz w:val="20"/>
                <w:szCs w:val="20"/>
                <w:highlight w:val="yellow"/>
              </w:rPr>
            </w:pPr>
            <w:r w:rsidRPr="001A45BE">
              <w:rPr>
                <w:rFonts w:eastAsia="Calibri"/>
                <w:sz w:val="20"/>
                <w:szCs w:val="20"/>
              </w:rPr>
              <w:t>182,92</w:t>
            </w:r>
          </w:p>
        </w:tc>
        <w:tc>
          <w:tcPr>
            <w:tcW w:w="1985" w:type="dxa"/>
            <w:shd w:val="clear" w:color="auto" w:fill="auto"/>
            <w:noWrap/>
          </w:tcPr>
          <w:p w14:paraId="7368D725" w14:textId="77777777" w:rsidR="00AC2C4F" w:rsidRPr="003445C7" w:rsidRDefault="00AC2C4F" w:rsidP="005F2E4B">
            <w:pPr>
              <w:spacing w:line="254" w:lineRule="auto"/>
              <w:jc w:val="right"/>
              <w:rPr>
                <w:rFonts w:cs="Arial"/>
                <w:sz w:val="20"/>
                <w:szCs w:val="20"/>
                <w:highlight w:val="yellow"/>
              </w:rPr>
            </w:pPr>
            <w:r w:rsidRPr="001A45BE">
              <w:rPr>
                <w:rFonts w:eastAsia="Calibri"/>
                <w:sz w:val="20"/>
                <w:szCs w:val="20"/>
              </w:rPr>
              <w:t>7,31</w:t>
            </w:r>
          </w:p>
        </w:tc>
        <w:tc>
          <w:tcPr>
            <w:tcW w:w="1984" w:type="dxa"/>
            <w:shd w:val="clear" w:color="auto" w:fill="auto"/>
          </w:tcPr>
          <w:p w14:paraId="18129676" w14:textId="77777777" w:rsidR="00AC2C4F" w:rsidRPr="003445C7" w:rsidRDefault="00AC2C4F" w:rsidP="005F2E4B">
            <w:pPr>
              <w:spacing w:line="254" w:lineRule="auto"/>
              <w:jc w:val="right"/>
              <w:rPr>
                <w:rFonts w:cs="Arial"/>
                <w:sz w:val="20"/>
                <w:szCs w:val="20"/>
                <w:highlight w:val="yellow"/>
              </w:rPr>
            </w:pPr>
            <w:r w:rsidRPr="001A45BE">
              <w:rPr>
                <w:rFonts w:eastAsia="Calibri"/>
                <w:sz w:val="20"/>
                <w:szCs w:val="20"/>
              </w:rPr>
              <w:t>2,46</w:t>
            </w:r>
          </w:p>
        </w:tc>
        <w:tc>
          <w:tcPr>
            <w:tcW w:w="1985" w:type="dxa"/>
            <w:shd w:val="clear" w:color="auto" w:fill="auto"/>
          </w:tcPr>
          <w:p w14:paraId="1C22F5A0" w14:textId="77777777" w:rsidR="00AC2C4F" w:rsidRPr="003445C7" w:rsidRDefault="00AC2C4F" w:rsidP="005F2E4B">
            <w:pPr>
              <w:spacing w:line="254" w:lineRule="auto"/>
              <w:jc w:val="right"/>
              <w:rPr>
                <w:rFonts w:cs="Arial"/>
                <w:sz w:val="20"/>
                <w:szCs w:val="20"/>
                <w:highlight w:val="yellow"/>
              </w:rPr>
            </w:pPr>
            <w:r w:rsidRPr="001A45BE">
              <w:rPr>
                <w:rFonts w:eastAsia="Calibri"/>
                <w:sz w:val="20"/>
                <w:szCs w:val="20"/>
              </w:rPr>
              <w:t>24,85</w:t>
            </w:r>
          </w:p>
        </w:tc>
        <w:tc>
          <w:tcPr>
            <w:tcW w:w="1984" w:type="dxa"/>
            <w:shd w:val="clear" w:color="auto" w:fill="auto"/>
            <w:noWrap/>
          </w:tcPr>
          <w:p w14:paraId="0435BCEB" w14:textId="77777777" w:rsidR="00AC2C4F" w:rsidRPr="003445C7" w:rsidRDefault="00AC2C4F" w:rsidP="005F2E4B">
            <w:pPr>
              <w:spacing w:line="254" w:lineRule="auto"/>
              <w:jc w:val="right"/>
              <w:rPr>
                <w:rFonts w:cs="Arial"/>
                <w:sz w:val="20"/>
                <w:szCs w:val="20"/>
                <w:highlight w:val="yellow"/>
              </w:rPr>
            </w:pPr>
            <w:r w:rsidRPr="003E0349">
              <w:rPr>
                <w:rFonts w:eastAsia="Calibri" w:cs="Arial"/>
                <w:sz w:val="20"/>
                <w:szCs w:val="20"/>
              </w:rPr>
              <w:t>0,00</w:t>
            </w:r>
          </w:p>
        </w:tc>
        <w:tc>
          <w:tcPr>
            <w:tcW w:w="1843" w:type="dxa"/>
            <w:shd w:val="clear" w:color="auto" w:fill="auto"/>
            <w:noWrap/>
          </w:tcPr>
          <w:p w14:paraId="1C9D22EB" w14:textId="77777777" w:rsidR="00AC2C4F" w:rsidRPr="003445C7" w:rsidRDefault="00AC2C4F" w:rsidP="005F2E4B">
            <w:pPr>
              <w:spacing w:line="254" w:lineRule="auto"/>
              <w:jc w:val="right"/>
              <w:rPr>
                <w:rFonts w:cs="Arial"/>
                <w:sz w:val="20"/>
                <w:szCs w:val="20"/>
                <w:highlight w:val="yellow"/>
              </w:rPr>
            </w:pPr>
            <w:r w:rsidRPr="00E25959">
              <w:rPr>
                <w:rFonts w:cs="Arial"/>
                <w:sz w:val="20"/>
                <w:szCs w:val="20"/>
              </w:rPr>
              <w:t>0</w:t>
            </w:r>
          </w:p>
        </w:tc>
      </w:tr>
      <w:tr w:rsidR="00AC2C4F" w:rsidRPr="00053DB8" w14:paraId="11CF0E70" w14:textId="77777777" w:rsidTr="005F2E4B">
        <w:trPr>
          <w:trHeight w:val="300"/>
        </w:trPr>
        <w:tc>
          <w:tcPr>
            <w:tcW w:w="1134" w:type="dxa"/>
            <w:shd w:val="clear" w:color="auto" w:fill="auto"/>
          </w:tcPr>
          <w:p w14:paraId="727FCB55" w14:textId="77777777" w:rsidR="00AC2C4F" w:rsidRPr="003445C7" w:rsidRDefault="00AC2C4F" w:rsidP="005F2E4B">
            <w:pPr>
              <w:rPr>
                <w:rFonts w:eastAsia="Calibri" w:cs="Arial"/>
                <w:sz w:val="20"/>
                <w:szCs w:val="20"/>
                <w:highlight w:val="yellow"/>
              </w:rPr>
            </w:pPr>
            <w:r w:rsidRPr="00177CF9">
              <w:rPr>
                <w:rFonts w:eastAsia="Calibri" w:cs="Arial"/>
                <w:sz w:val="20"/>
                <w:szCs w:val="20"/>
              </w:rPr>
              <w:t>PFS</w:t>
            </w:r>
          </w:p>
        </w:tc>
        <w:tc>
          <w:tcPr>
            <w:tcW w:w="1843" w:type="dxa"/>
            <w:shd w:val="clear" w:color="auto" w:fill="auto"/>
            <w:noWrap/>
          </w:tcPr>
          <w:p w14:paraId="2BA87FE7"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76,45</w:t>
            </w:r>
          </w:p>
        </w:tc>
        <w:tc>
          <w:tcPr>
            <w:tcW w:w="1985" w:type="dxa"/>
            <w:shd w:val="clear" w:color="auto" w:fill="auto"/>
            <w:noWrap/>
          </w:tcPr>
          <w:p w14:paraId="7A3F9CDA"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3,05</w:t>
            </w:r>
          </w:p>
        </w:tc>
        <w:tc>
          <w:tcPr>
            <w:tcW w:w="1984" w:type="dxa"/>
            <w:shd w:val="clear" w:color="auto" w:fill="auto"/>
          </w:tcPr>
          <w:p w14:paraId="75715286" w14:textId="77777777" w:rsidR="00AC2C4F" w:rsidRPr="003445C7" w:rsidRDefault="00AC2C4F" w:rsidP="005F2E4B">
            <w:pPr>
              <w:spacing w:line="254" w:lineRule="auto"/>
              <w:jc w:val="right"/>
              <w:rPr>
                <w:rFonts w:eastAsia="Calibri" w:cs="Arial"/>
                <w:sz w:val="20"/>
                <w:szCs w:val="20"/>
                <w:highlight w:val="yellow"/>
              </w:rPr>
            </w:pPr>
            <w:r w:rsidRPr="00A42ABD">
              <w:rPr>
                <w:rFonts w:eastAsia="Calibri" w:cs="Arial"/>
                <w:sz w:val="20"/>
                <w:szCs w:val="20"/>
              </w:rPr>
              <w:t>0,00</w:t>
            </w:r>
          </w:p>
        </w:tc>
        <w:tc>
          <w:tcPr>
            <w:tcW w:w="1985" w:type="dxa"/>
            <w:shd w:val="clear" w:color="auto" w:fill="auto"/>
          </w:tcPr>
          <w:p w14:paraId="1777DE49" w14:textId="77777777" w:rsidR="00AC2C4F" w:rsidRPr="003445C7" w:rsidRDefault="00AC2C4F" w:rsidP="005F2E4B">
            <w:pPr>
              <w:spacing w:line="254" w:lineRule="auto"/>
              <w:jc w:val="right"/>
              <w:rPr>
                <w:rFonts w:eastAsia="Calibri" w:cs="Arial"/>
                <w:sz w:val="20"/>
                <w:szCs w:val="20"/>
                <w:highlight w:val="yellow"/>
              </w:rPr>
            </w:pPr>
            <w:r w:rsidRPr="00A42ABD">
              <w:rPr>
                <w:rFonts w:eastAsia="Calibri" w:cs="Arial"/>
                <w:sz w:val="20"/>
                <w:szCs w:val="20"/>
              </w:rPr>
              <w:t>0,00</w:t>
            </w:r>
          </w:p>
        </w:tc>
        <w:tc>
          <w:tcPr>
            <w:tcW w:w="1984" w:type="dxa"/>
            <w:shd w:val="clear" w:color="auto" w:fill="auto"/>
            <w:noWrap/>
          </w:tcPr>
          <w:p w14:paraId="6C9756E1"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3,05</w:t>
            </w:r>
          </w:p>
        </w:tc>
        <w:tc>
          <w:tcPr>
            <w:tcW w:w="1843" w:type="dxa"/>
            <w:shd w:val="clear" w:color="auto" w:fill="auto"/>
            <w:noWrap/>
          </w:tcPr>
          <w:p w14:paraId="04ECF712" w14:textId="77777777" w:rsidR="00AC2C4F" w:rsidRPr="003445C7" w:rsidRDefault="00AC2C4F" w:rsidP="005F2E4B">
            <w:pPr>
              <w:spacing w:line="254" w:lineRule="auto"/>
              <w:jc w:val="right"/>
              <w:rPr>
                <w:rFonts w:eastAsia="Calibri" w:cs="Arial"/>
                <w:sz w:val="20"/>
                <w:szCs w:val="20"/>
                <w:highlight w:val="yellow"/>
              </w:rPr>
            </w:pPr>
            <w:r>
              <w:rPr>
                <w:rFonts w:eastAsia="Calibri"/>
                <w:sz w:val="20"/>
                <w:szCs w:val="20"/>
              </w:rPr>
              <w:t xml:space="preserve">323 </w:t>
            </w:r>
            <w:r w:rsidRPr="001A45BE">
              <w:rPr>
                <w:rFonts w:eastAsia="Calibri"/>
                <w:sz w:val="20"/>
                <w:szCs w:val="20"/>
              </w:rPr>
              <w:t>506</w:t>
            </w:r>
          </w:p>
        </w:tc>
      </w:tr>
      <w:tr w:rsidR="00AC2C4F" w:rsidRPr="00053DB8" w14:paraId="418F4A14" w14:textId="77777777" w:rsidTr="005F2E4B">
        <w:trPr>
          <w:trHeight w:val="300"/>
        </w:trPr>
        <w:tc>
          <w:tcPr>
            <w:tcW w:w="1134" w:type="dxa"/>
            <w:shd w:val="clear" w:color="auto" w:fill="auto"/>
          </w:tcPr>
          <w:p w14:paraId="4F698832" w14:textId="77777777" w:rsidR="00AC2C4F" w:rsidRPr="003445C7" w:rsidRDefault="00AC2C4F" w:rsidP="005F2E4B">
            <w:pPr>
              <w:rPr>
                <w:rFonts w:eastAsia="Calibri" w:cs="Arial"/>
                <w:sz w:val="20"/>
                <w:szCs w:val="20"/>
                <w:highlight w:val="yellow"/>
              </w:rPr>
            </w:pPr>
            <w:r w:rsidRPr="00705049">
              <w:rPr>
                <w:rFonts w:eastAsia="Calibri" w:cs="Arial"/>
                <w:sz w:val="20"/>
                <w:szCs w:val="20"/>
              </w:rPr>
              <w:t>IU-DÚ</w:t>
            </w:r>
          </w:p>
        </w:tc>
        <w:tc>
          <w:tcPr>
            <w:tcW w:w="1843" w:type="dxa"/>
            <w:shd w:val="clear" w:color="auto" w:fill="auto"/>
            <w:noWrap/>
          </w:tcPr>
          <w:p w14:paraId="1E9AD822" w14:textId="77777777" w:rsidR="00AC2C4F" w:rsidRPr="001A45BE" w:rsidRDefault="00AC2C4F" w:rsidP="005F2E4B">
            <w:pPr>
              <w:jc w:val="right"/>
              <w:rPr>
                <w:rFonts w:eastAsia="Calibri"/>
                <w:sz w:val="20"/>
                <w:szCs w:val="20"/>
              </w:rPr>
            </w:pPr>
            <w:r w:rsidRPr="001A45BE">
              <w:rPr>
                <w:rFonts w:eastAsia="Calibri"/>
                <w:sz w:val="20"/>
                <w:szCs w:val="20"/>
              </w:rPr>
              <w:t>51,195</w:t>
            </w:r>
          </w:p>
        </w:tc>
        <w:tc>
          <w:tcPr>
            <w:tcW w:w="1985" w:type="dxa"/>
            <w:shd w:val="clear" w:color="auto" w:fill="auto"/>
            <w:noWrap/>
          </w:tcPr>
          <w:p w14:paraId="35624E65"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2,05</w:t>
            </w:r>
          </w:p>
        </w:tc>
        <w:tc>
          <w:tcPr>
            <w:tcW w:w="1984" w:type="dxa"/>
            <w:shd w:val="clear" w:color="auto" w:fill="auto"/>
          </w:tcPr>
          <w:p w14:paraId="17663B75"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2,06</w:t>
            </w:r>
          </w:p>
        </w:tc>
        <w:tc>
          <w:tcPr>
            <w:tcW w:w="1985" w:type="dxa"/>
            <w:shd w:val="clear" w:color="auto" w:fill="auto"/>
          </w:tcPr>
          <w:p w14:paraId="4803A4E9" w14:textId="77777777" w:rsidR="00AC2C4F" w:rsidRPr="003445C7" w:rsidRDefault="00AC2C4F" w:rsidP="005F2E4B">
            <w:pPr>
              <w:spacing w:line="254" w:lineRule="auto"/>
              <w:jc w:val="right"/>
              <w:rPr>
                <w:rFonts w:eastAsia="Calibri" w:cs="Arial"/>
                <w:sz w:val="20"/>
                <w:szCs w:val="20"/>
                <w:highlight w:val="yellow"/>
              </w:rPr>
            </w:pPr>
            <w:r w:rsidRPr="003E0349">
              <w:rPr>
                <w:rFonts w:eastAsia="Calibri" w:cs="Arial"/>
                <w:sz w:val="20"/>
                <w:szCs w:val="20"/>
              </w:rPr>
              <w:t>0,00</w:t>
            </w:r>
          </w:p>
        </w:tc>
        <w:tc>
          <w:tcPr>
            <w:tcW w:w="1984" w:type="dxa"/>
            <w:shd w:val="clear" w:color="auto" w:fill="auto"/>
            <w:noWrap/>
          </w:tcPr>
          <w:p w14:paraId="4EDA5B55" w14:textId="77777777" w:rsidR="00AC2C4F" w:rsidRPr="003445C7" w:rsidRDefault="00AC2C4F" w:rsidP="005F2E4B">
            <w:pPr>
              <w:spacing w:line="254" w:lineRule="auto"/>
              <w:jc w:val="right"/>
              <w:rPr>
                <w:rFonts w:eastAsia="Calibri" w:cs="Arial"/>
                <w:sz w:val="20"/>
                <w:szCs w:val="20"/>
                <w:highlight w:val="yellow"/>
              </w:rPr>
            </w:pPr>
            <w:r w:rsidRPr="003E0349">
              <w:rPr>
                <w:rFonts w:eastAsia="Calibri" w:cs="Arial"/>
                <w:sz w:val="20"/>
                <w:szCs w:val="20"/>
              </w:rPr>
              <w:t>0,00</w:t>
            </w:r>
          </w:p>
        </w:tc>
        <w:tc>
          <w:tcPr>
            <w:tcW w:w="1843" w:type="dxa"/>
            <w:shd w:val="clear" w:color="auto" w:fill="auto"/>
            <w:noWrap/>
          </w:tcPr>
          <w:p w14:paraId="29EE99CE" w14:textId="77777777" w:rsidR="00AC2C4F" w:rsidRPr="003445C7" w:rsidRDefault="00AC2C4F" w:rsidP="005F2E4B">
            <w:pPr>
              <w:spacing w:line="254" w:lineRule="auto"/>
              <w:jc w:val="right"/>
              <w:rPr>
                <w:rFonts w:eastAsia="Calibri" w:cs="Arial"/>
                <w:sz w:val="20"/>
                <w:szCs w:val="20"/>
                <w:highlight w:val="yellow"/>
              </w:rPr>
            </w:pPr>
            <w:r w:rsidRPr="00530DF2">
              <w:rPr>
                <w:rFonts w:eastAsia="Calibri" w:cs="Arial"/>
                <w:sz w:val="20"/>
                <w:szCs w:val="20"/>
              </w:rPr>
              <w:t>0</w:t>
            </w:r>
          </w:p>
        </w:tc>
      </w:tr>
      <w:tr w:rsidR="00AC2C4F" w:rsidRPr="00053DB8" w14:paraId="75715FCC" w14:textId="77777777" w:rsidTr="005F2E4B">
        <w:trPr>
          <w:trHeight w:val="300"/>
        </w:trPr>
        <w:tc>
          <w:tcPr>
            <w:tcW w:w="1134" w:type="dxa"/>
            <w:shd w:val="clear" w:color="auto" w:fill="auto"/>
          </w:tcPr>
          <w:p w14:paraId="3119BDBA" w14:textId="77777777" w:rsidR="00AC2C4F" w:rsidRPr="003445C7" w:rsidRDefault="00AC2C4F" w:rsidP="005F2E4B">
            <w:pPr>
              <w:rPr>
                <w:rFonts w:eastAsia="Calibri" w:cs="Arial"/>
                <w:sz w:val="20"/>
                <w:szCs w:val="20"/>
                <w:highlight w:val="yellow"/>
              </w:rPr>
            </w:pPr>
            <w:r w:rsidRPr="00FF68E8">
              <w:rPr>
                <w:rFonts w:eastAsia="Calibri" w:cs="Arial"/>
                <w:sz w:val="20"/>
                <w:szCs w:val="20"/>
              </w:rPr>
              <w:t>NK ČR</w:t>
            </w:r>
          </w:p>
        </w:tc>
        <w:tc>
          <w:tcPr>
            <w:tcW w:w="1843" w:type="dxa"/>
            <w:shd w:val="clear" w:color="auto" w:fill="auto"/>
            <w:noWrap/>
          </w:tcPr>
          <w:p w14:paraId="439067F4"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451,95</w:t>
            </w:r>
          </w:p>
        </w:tc>
        <w:tc>
          <w:tcPr>
            <w:tcW w:w="1985" w:type="dxa"/>
            <w:shd w:val="clear" w:color="auto" w:fill="auto"/>
            <w:noWrap/>
          </w:tcPr>
          <w:p w14:paraId="15F0DE40"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18,07</w:t>
            </w:r>
          </w:p>
        </w:tc>
        <w:tc>
          <w:tcPr>
            <w:tcW w:w="1984" w:type="dxa"/>
            <w:shd w:val="clear" w:color="auto" w:fill="auto"/>
          </w:tcPr>
          <w:p w14:paraId="548AF239"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9,55</w:t>
            </w:r>
          </w:p>
        </w:tc>
        <w:tc>
          <w:tcPr>
            <w:tcW w:w="1985" w:type="dxa"/>
            <w:shd w:val="clear" w:color="auto" w:fill="auto"/>
          </w:tcPr>
          <w:p w14:paraId="717B5EA7"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5,14</w:t>
            </w:r>
          </w:p>
        </w:tc>
        <w:tc>
          <w:tcPr>
            <w:tcW w:w="1984" w:type="dxa"/>
            <w:shd w:val="clear" w:color="auto" w:fill="auto"/>
            <w:noWrap/>
          </w:tcPr>
          <w:p w14:paraId="24EB26BA"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3,38</w:t>
            </w:r>
          </w:p>
        </w:tc>
        <w:tc>
          <w:tcPr>
            <w:tcW w:w="1843" w:type="dxa"/>
            <w:shd w:val="clear" w:color="auto" w:fill="auto"/>
            <w:noWrap/>
          </w:tcPr>
          <w:p w14:paraId="6C39835C"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358 509</w:t>
            </w:r>
          </w:p>
        </w:tc>
      </w:tr>
      <w:tr w:rsidR="00AC2C4F" w:rsidRPr="00053DB8" w14:paraId="5A96696D" w14:textId="77777777" w:rsidTr="005F2E4B">
        <w:trPr>
          <w:trHeight w:val="300"/>
        </w:trPr>
        <w:tc>
          <w:tcPr>
            <w:tcW w:w="1134" w:type="dxa"/>
            <w:shd w:val="clear" w:color="auto" w:fill="auto"/>
            <w:hideMark/>
          </w:tcPr>
          <w:p w14:paraId="19750D39" w14:textId="77777777" w:rsidR="00AC2C4F" w:rsidRPr="003445C7" w:rsidRDefault="00AC2C4F" w:rsidP="005F2E4B">
            <w:pPr>
              <w:rPr>
                <w:rFonts w:eastAsia="Calibri" w:cs="Arial"/>
                <w:sz w:val="20"/>
                <w:szCs w:val="20"/>
                <w:highlight w:val="yellow"/>
              </w:rPr>
            </w:pPr>
            <w:r w:rsidRPr="00B409C9">
              <w:rPr>
                <w:rFonts w:eastAsia="Calibri" w:cs="Arial"/>
                <w:sz w:val="20"/>
                <w:szCs w:val="20"/>
              </w:rPr>
              <w:t>MZK</w:t>
            </w:r>
          </w:p>
        </w:tc>
        <w:tc>
          <w:tcPr>
            <w:tcW w:w="1843" w:type="dxa"/>
            <w:shd w:val="clear" w:color="auto" w:fill="auto"/>
            <w:noWrap/>
          </w:tcPr>
          <w:p w14:paraId="3A88FDC7"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199,40</w:t>
            </w:r>
          </w:p>
        </w:tc>
        <w:tc>
          <w:tcPr>
            <w:tcW w:w="1985" w:type="dxa"/>
            <w:shd w:val="clear" w:color="auto" w:fill="auto"/>
            <w:noWrap/>
          </w:tcPr>
          <w:p w14:paraId="347C8C5E"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7,97</w:t>
            </w:r>
          </w:p>
        </w:tc>
        <w:tc>
          <w:tcPr>
            <w:tcW w:w="1984" w:type="dxa"/>
            <w:shd w:val="clear" w:color="auto" w:fill="auto"/>
          </w:tcPr>
          <w:p w14:paraId="2921BA28" w14:textId="77777777" w:rsidR="00AC2C4F" w:rsidRPr="00B409C9" w:rsidRDefault="00AC2C4F" w:rsidP="005F2E4B">
            <w:pPr>
              <w:spacing w:line="254" w:lineRule="auto"/>
              <w:jc w:val="right"/>
              <w:rPr>
                <w:rFonts w:eastAsia="Calibri" w:cs="Arial"/>
                <w:sz w:val="20"/>
                <w:szCs w:val="20"/>
              </w:rPr>
            </w:pPr>
            <w:r w:rsidRPr="00B409C9">
              <w:rPr>
                <w:rFonts w:eastAsia="Calibri"/>
                <w:sz w:val="20"/>
                <w:szCs w:val="20"/>
              </w:rPr>
              <w:t>8,94</w:t>
            </w:r>
          </w:p>
        </w:tc>
        <w:tc>
          <w:tcPr>
            <w:tcW w:w="1985" w:type="dxa"/>
            <w:shd w:val="clear" w:color="auto" w:fill="auto"/>
          </w:tcPr>
          <w:p w14:paraId="0DEF595D" w14:textId="77777777" w:rsidR="00AC2C4F" w:rsidRPr="00B409C9" w:rsidRDefault="00AC2C4F" w:rsidP="005F2E4B">
            <w:pPr>
              <w:spacing w:line="254" w:lineRule="auto"/>
              <w:jc w:val="right"/>
              <w:rPr>
                <w:rFonts w:eastAsia="Calibri" w:cs="Arial"/>
                <w:sz w:val="20"/>
                <w:szCs w:val="20"/>
              </w:rPr>
            </w:pPr>
            <w:r w:rsidRPr="00B409C9">
              <w:rPr>
                <w:rFonts w:eastAsia="Calibri" w:cs="Arial"/>
                <w:sz w:val="20"/>
                <w:szCs w:val="20"/>
              </w:rPr>
              <w:t>0,00</w:t>
            </w:r>
          </w:p>
        </w:tc>
        <w:tc>
          <w:tcPr>
            <w:tcW w:w="1984" w:type="dxa"/>
            <w:shd w:val="clear" w:color="auto" w:fill="auto"/>
            <w:noWrap/>
          </w:tcPr>
          <w:p w14:paraId="32440D8B" w14:textId="77777777" w:rsidR="00AC2C4F" w:rsidRPr="00B409C9" w:rsidRDefault="00AC2C4F" w:rsidP="005F2E4B">
            <w:pPr>
              <w:spacing w:line="254" w:lineRule="auto"/>
              <w:jc w:val="right"/>
              <w:rPr>
                <w:rFonts w:eastAsia="Calibri" w:cs="Arial"/>
                <w:sz w:val="20"/>
                <w:szCs w:val="20"/>
              </w:rPr>
            </w:pPr>
            <w:r w:rsidRPr="00B409C9">
              <w:rPr>
                <w:rFonts w:eastAsia="Calibri" w:cs="Arial"/>
                <w:sz w:val="20"/>
                <w:szCs w:val="20"/>
              </w:rPr>
              <w:t>0,00</w:t>
            </w:r>
          </w:p>
        </w:tc>
        <w:tc>
          <w:tcPr>
            <w:tcW w:w="1843" w:type="dxa"/>
            <w:shd w:val="clear" w:color="auto" w:fill="auto"/>
            <w:noWrap/>
          </w:tcPr>
          <w:p w14:paraId="77C84F48" w14:textId="77777777" w:rsidR="00AC2C4F" w:rsidRPr="00B409C9" w:rsidRDefault="00AC2C4F" w:rsidP="005F2E4B">
            <w:pPr>
              <w:spacing w:line="254" w:lineRule="auto"/>
              <w:jc w:val="right"/>
              <w:rPr>
                <w:rFonts w:eastAsia="Calibri" w:cs="Arial"/>
                <w:sz w:val="20"/>
                <w:szCs w:val="20"/>
              </w:rPr>
            </w:pPr>
            <w:r w:rsidRPr="00B409C9">
              <w:rPr>
                <w:rFonts w:eastAsia="Calibri" w:cs="Arial"/>
                <w:sz w:val="20"/>
                <w:szCs w:val="20"/>
              </w:rPr>
              <w:t>0</w:t>
            </w:r>
          </w:p>
        </w:tc>
      </w:tr>
      <w:tr w:rsidR="00AC2C4F" w:rsidRPr="00053DB8" w14:paraId="13FA21FD" w14:textId="77777777" w:rsidTr="005F2E4B">
        <w:trPr>
          <w:trHeight w:val="300"/>
        </w:trPr>
        <w:tc>
          <w:tcPr>
            <w:tcW w:w="1134" w:type="dxa"/>
            <w:shd w:val="clear" w:color="auto" w:fill="auto"/>
            <w:hideMark/>
          </w:tcPr>
          <w:p w14:paraId="57576691" w14:textId="77777777" w:rsidR="00AC2C4F" w:rsidRPr="003445C7" w:rsidRDefault="00AC2C4F" w:rsidP="005F2E4B">
            <w:pPr>
              <w:rPr>
                <w:rFonts w:eastAsia="Calibri" w:cs="Arial"/>
                <w:sz w:val="20"/>
                <w:szCs w:val="20"/>
                <w:highlight w:val="yellow"/>
              </w:rPr>
            </w:pPr>
            <w:r w:rsidRPr="00B409C9">
              <w:rPr>
                <w:rFonts w:eastAsia="Calibri" w:cs="Arial"/>
                <w:sz w:val="20"/>
                <w:szCs w:val="20"/>
              </w:rPr>
              <w:t>KTN</w:t>
            </w:r>
          </w:p>
        </w:tc>
        <w:tc>
          <w:tcPr>
            <w:tcW w:w="1843" w:type="dxa"/>
            <w:shd w:val="clear" w:color="auto" w:fill="auto"/>
            <w:noWrap/>
          </w:tcPr>
          <w:p w14:paraId="4F06BF10"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42,07</w:t>
            </w:r>
          </w:p>
        </w:tc>
        <w:tc>
          <w:tcPr>
            <w:tcW w:w="1985" w:type="dxa"/>
            <w:shd w:val="clear" w:color="auto" w:fill="auto"/>
            <w:noWrap/>
          </w:tcPr>
          <w:p w14:paraId="50DCA25A"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1,68</w:t>
            </w:r>
          </w:p>
        </w:tc>
        <w:tc>
          <w:tcPr>
            <w:tcW w:w="1984" w:type="dxa"/>
            <w:shd w:val="clear" w:color="auto" w:fill="auto"/>
          </w:tcPr>
          <w:p w14:paraId="3B4D32DC" w14:textId="77777777" w:rsidR="00AC2C4F" w:rsidRPr="003445C7" w:rsidRDefault="00AC2C4F" w:rsidP="005F2E4B">
            <w:pPr>
              <w:spacing w:line="254" w:lineRule="auto"/>
              <w:jc w:val="right"/>
              <w:rPr>
                <w:rFonts w:eastAsia="Calibri" w:cs="Arial"/>
                <w:sz w:val="20"/>
                <w:szCs w:val="20"/>
                <w:highlight w:val="yellow"/>
              </w:rPr>
            </w:pPr>
            <w:r w:rsidRPr="001A45BE">
              <w:rPr>
                <w:rFonts w:eastAsia="Calibri"/>
                <w:sz w:val="20"/>
                <w:szCs w:val="20"/>
              </w:rPr>
              <w:t>12,18</w:t>
            </w:r>
          </w:p>
        </w:tc>
        <w:tc>
          <w:tcPr>
            <w:tcW w:w="1985" w:type="dxa"/>
            <w:shd w:val="clear" w:color="auto" w:fill="auto"/>
          </w:tcPr>
          <w:p w14:paraId="1BA4E56F" w14:textId="77777777" w:rsidR="00AC2C4F" w:rsidRPr="003445C7" w:rsidRDefault="00AC2C4F" w:rsidP="005F2E4B">
            <w:pPr>
              <w:spacing w:line="254" w:lineRule="auto"/>
              <w:jc w:val="right"/>
              <w:rPr>
                <w:rFonts w:eastAsia="Calibri" w:cs="Arial"/>
                <w:sz w:val="20"/>
                <w:szCs w:val="20"/>
                <w:highlight w:val="yellow"/>
              </w:rPr>
            </w:pPr>
            <w:r w:rsidRPr="00B409C9">
              <w:rPr>
                <w:rFonts w:eastAsia="Calibri" w:cs="Arial"/>
                <w:sz w:val="20"/>
                <w:szCs w:val="20"/>
              </w:rPr>
              <w:t>0,00</w:t>
            </w:r>
          </w:p>
        </w:tc>
        <w:tc>
          <w:tcPr>
            <w:tcW w:w="1984" w:type="dxa"/>
            <w:shd w:val="clear" w:color="auto" w:fill="auto"/>
            <w:noWrap/>
          </w:tcPr>
          <w:p w14:paraId="2002A00E" w14:textId="77777777" w:rsidR="00AC2C4F" w:rsidRPr="003445C7" w:rsidRDefault="00AC2C4F" w:rsidP="005F2E4B">
            <w:pPr>
              <w:spacing w:line="254" w:lineRule="auto"/>
              <w:jc w:val="right"/>
              <w:rPr>
                <w:rFonts w:eastAsia="Calibri" w:cs="Arial"/>
                <w:sz w:val="20"/>
                <w:szCs w:val="20"/>
                <w:highlight w:val="yellow"/>
              </w:rPr>
            </w:pPr>
            <w:r w:rsidRPr="00B409C9">
              <w:rPr>
                <w:rFonts w:eastAsia="Calibri" w:cs="Arial"/>
                <w:sz w:val="20"/>
                <w:szCs w:val="20"/>
              </w:rPr>
              <w:t>0,00</w:t>
            </w:r>
          </w:p>
        </w:tc>
        <w:tc>
          <w:tcPr>
            <w:tcW w:w="1843" w:type="dxa"/>
            <w:shd w:val="clear" w:color="auto" w:fill="auto"/>
            <w:noWrap/>
          </w:tcPr>
          <w:p w14:paraId="1FC2EC90" w14:textId="77777777" w:rsidR="00AC2C4F" w:rsidRPr="003445C7" w:rsidRDefault="00AC2C4F" w:rsidP="005F2E4B">
            <w:pPr>
              <w:spacing w:line="254" w:lineRule="auto"/>
              <w:jc w:val="right"/>
              <w:rPr>
                <w:rFonts w:eastAsia="Calibri" w:cs="Arial"/>
                <w:sz w:val="20"/>
                <w:szCs w:val="20"/>
                <w:highlight w:val="yellow"/>
              </w:rPr>
            </w:pPr>
            <w:r w:rsidRPr="00B409C9">
              <w:rPr>
                <w:rFonts w:eastAsia="Calibri" w:cs="Arial"/>
                <w:sz w:val="20"/>
                <w:szCs w:val="20"/>
              </w:rPr>
              <w:t>0</w:t>
            </w:r>
          </w:p>
        </w:tc>
      </w:tr>
      <w:tr w:rsidR="00AC2C4F" w:rsidRPr="00053DB8" w14:paraId="19922E5C" w14:textId="77777777" w:rsidTr="005F2E4B">
        <w:trPr>
          <w:trHeight w:val="300"/>
        </w:trPr>
        <w:tc>
          <w:tcPr>
            <w:tcW w:w="1134" w:type="dxa"/>
            <w:shd w:val="clear" w:color="auto" w:fill="auto"/>
            <w:hideMark/>
          </w:tcPr>
          <w:p w14:paraId="7DF699EF" w14:textId="77777777" w:rsidR="00AC2C4F" w:rsidRPr="00436CF9" w:rsidRDefault="00AC2C4F" w:rsidP="005F2E4B">
            <w:pPr>
              <w:rPr>
                <w:rFonts w:eastAsia="Calibri" w:cs="Arial"/>
                <w:sz w:val="20"/>
                <w:szCs w:val="20"/>
              </w:rPr>
            </w:pPr>
            <w:r w:rsidRPr="00436CF9">
              <w:rPr>
                <w:rFonts w:eastAsia="Calibri" w:cs="Arial"/>
                <w:sz w:val="20"/>
                <w:szCs w:val="20"/>
              </w:rPr>
              <w:t>NPÚ</w:t>
            </w:r>
          </w:p>
        </w:tc>
        <w:tc>
          <w:tcPr>
            <w:tcW w:w="1843" w:type="dxa"/>
            <w:shd w:val="clear" w:color="auto" w:fill="auto"/>
            <w:noWrap/>
          </w:tcPr>
          <w:p w14:paraId="787C5A69" w14:textId="77777777" w:rsidR="00AC2C4F" w:rsidRPr="00436CF9" w:rsidRDefault="00AC2C4F" w:rsidP="005F2E4B">
            <w:pPr>
              <w:spacing w:line="254" w:lineRule="auto"/>
              <w:jc w:val="right"/>
              <w:rPr>
                <w:rFonts w:cs="Arial"/>
                <w:sz w:val="20"/>
                <w:szCs w:val="20"/>
              </w:rPr>
            </w:pPr>
            <w:r w:rsidRPr="00436CF9">
              <w:rPr>
                <w:rFonts w:eastAsia="Calibri"/>
                <w:sz w:val="20"/>
                <w:szCs w:val="20"/>
              </w:rPr>
              <w:t>2 000,56</w:t>
            </w:r>
          </w:p>
        </w:tc>
        <w:tc>
          <w:tcPr>
            <w:tcW w:w="1985" w:type="dxa"/>
            <w:shd w:val="clear" w:color="auto" w:fill="auto"/>
            <w:noWrap/>
          </w:tcPr>
          <w:p w14:paraId="55A56042" w14:textId="77777777" w:rsidR="00AC2C4F" w:rsidRPr="00436CF9" w:rsidRDefault="00AC2C4F" w:rsidP="005F2E4B">
            <w:pPr>
              <w:spacing w:line="254" w:lineRule="auto"/>
              <w:jc w:val="right"/>
              <w:rPr>
                <w:rFonts w:cs="Arial"/>
                <w:sz w:val="20"/>
                <w:szCs w:val="20"/>
              </w:rPr>
            </w:pPr>
            <w:r w:rsidRPr="00436CF9">
              <w:rPr>
                <w:rFonts w:eastAsia="Calibri"/>
                <w:sz w:val="20"/>
                <w:szCs w:val="20"/>
              </w:rPr>
              <w:t>80,02</w:t>
            </w:r>
          </w:p>
        </w:tc>
        <w:tc>
          <w:tcPr>
            <w:tcW w:w="1984" w:type="dxa"/>
            <w:shd w:val="clear" w:color="auto" w:fill="auto"/>
          </w:tcPr>
          <w:p w14:paraId="446AB664" w14:textId="77777777" w:rsidR="00AC2C4F" w:rsidRPr="00436CF9" w:rsidRDefault="00AC2C4F" w:rsidP="005F2E4B">
            <w:pPr>
              <w:spacing w:line="254" w:lineRule="auto"/>
              <w:jc w:val="right"/>
              <w:rPr>
                <w:rFonts w:cs="Arial"/>
                <w:sz w:val="20"/>
                <w:szCs w:val="20"/>
              </w:rPr>
            </w:pPr>
            <w:r w:rsidRPr="00436CF9">
              <w:rPr>
                <w:rFonts w:eastAsia="Calibri"/>
                <w:sz w:val="20"/>
                <w:szCs w:val="20"/>
              </w:rPr>
              <w:t>78,04</w:t>
            </w:r>
          </w:p>
        </w:tc>
        <w:tc>
          <w:tcPr>
            <w:tcW w:w="1985" w:type="dxa"/>
            <w:shd w:val="clear" w:color="auto" w:fill="auto"/>
          </w:tcPr>
          <w:p w14:paraId="4CE4022E" w14:textId="77777777" w:rsidR="00AC2C4F" w:rsidRPr="00436CF9" w:rsidRDefault="00AC2C4F" w:rsidP="005F2E4B">
            <w:pPr>
              <w:spacing w:line="254" w:lineRule="auto"/>
              <w:jc w:val="right"/>
              <w:rPr>
                <w:rFonts w:cs="Arial"/>
                <w:sz w:val="20"/>
                <w:szCs w:val="20"/>
              </w:rPr>
            </w:pPr>
            <w:r w:rsidRPr="00436CF9">
              <w:rPr>
                <w:rFonts w:eastAsia="Calibri"/>
                <w:sz w:val="20"/>
                <w:szCs w:val="20"/>
              </w:rPr>
              <w:t>12,21</w:t>
            </w:r>
          </w:p>
        </w:tc>
        <w:tc>
          <w:tcPr>
            <w:tcW w:w="1984" w:type="dxa"/>
            <w:shd w:val="clear" w:color="auto" w:fill="auto"/>
            <w:noWrap/>
          </w:tcPr>
          <w:p w14:paraId="62346F1B" w14:textId="77777777" w:rsidR="00AC2C4F" w:rsidRPr="00436CF9" w:rsidRDefault="00AC2C4F" w:rsidP="005F2E4B">
            <w:pPr>
              <w:spacing w:line="254" w:lineRule="auto"/>
              <w:jc w:val="right"/>
              <w:rPr>
                <w:rFonts w:cs="Arial"/>
                <w:sz w:val="20"/>
                <w:szCs w:val="20"/>
              </w:rPr>
            </w:pPr>
            <w:r w:rsidRPr="00436CF9">
              <w:rPr>
                <w:rFonts w:cs="Arial"/>
                <w:sz w:val="20"/>
                <w:szCs w:val="20"/>
              </w:rPr>
              <w:t>0,00</w:t>
            </w:r>
          </w:p>
        </w:tc>
        <w:tc>
          <w:tcPr>
            <w:tcW w:w="1843" w:type="dxa"/>
            <w:shd w:val="clear" w:color="auto" w:fill="auto"/>
            <w:noWrap/>
          </w:tcPr>
          <w:p w14:paraId="10975B31" w14:textId="77777777" w:rsidR="00AC2C4F" w:rsidRPr="00436CF9" w:rsidRDefault="00AC2C4F" w:rsidP="005F2E4B">
            <w:pPr>
              <w:spacing w:line="254" w:lineRule="auto"/>
              <w:jc w:val="right"/>
              <w:rPr>
                <w:rFonts w:cs="Arial"/>
                <w:sz w:val="20"/>
                <w:szCs w:val="20"/>
              </w:rPr>
            </w:pPr>
            <w:r w:rsidRPr="00436CF9">
              <w:rPr>
                <w:rFonts w:cs="Arial"/>
                <w:sz w:val="20"/>
                <w:szCs w:val="20"/>
              </w:rPr>
              <w:t>0</w:t>
            </w:r>
          </w:p>
        </w:tc>
      </w:tr>
      <w:tr w:rsidR="00AC2C4F" w:rsidRPr="00053DB8" w14:paraId="09552C1B" w14:textId="77777777" w:rsidTr="005F2E4B">
        <w:trPr>
          <w:trHeight w:val="300"/>
        </w:trPr>
        <w:tc>
          <w:tcPr>
            <w:tcW w:w="1134" w:type="dxa"/>
            <w:shd w:val="clear" w:color="auto" w:fill="auto"/>
            <w:hideMark/>
          </w:tcPr>
          <w:p w14:paraId="180944CF" w14:textId="77777777" w:rsidR="00AC2C4F" w:rsidRPr="00436CF9" w:rsidRDefault="00AC2C4F" w:rsidP="005F2E4B">
            <w:pPr>
              <w:rPr>
                <w:rFonts w:eastAsia="Calibri" w:cs="Arial"/>
                <w:sz w:val="20"/>
                <w:szCs w:val="20"/>
              </w:rPr>
            </w:pPr>
            <w:r w:rsidRPr="00436CF9">
              <w:rPr>
                <w:rFonts w:eastAsia="Calibri" w:cs="Arial"/>
                <w:sz w:val="20"/>
                <w:szCs w:val="20"/>
              </w:rPr>
              <w:t>NM</w:t>
            </w:r>
          </w:p>
        </w:tc>
        <w:tc>
          <w:tcPr>
            <w:tcW w:w="1843" w:type="dxa"/>
            <w:shd w:val="clear" w:color="auto" w:fill="auto"/>
            <w:noWrap/>
          </w:tcPr>
          <w:p w14:paraId="36A17452" w14:textId="77777777" w:rsidR="00AC2C4F" w:rsidRPr="00436CF9" w:rsidRDefault="00AC2C4F" w:rsidP="005F2E4B">
            <w:pPr>
              <w:spacing w:line="254" w:lineRule="auto"/>
              <w:jc w:val="right"/>
              <w:rPr>
                <w:rFonts w:cs="Arial"/>
                <w:sz w:val="20"/>
                <w:szCs w:val="20"/>
              </w:rPr>
            </w:pPr>
            <w:r w:rsidRPr="00436CF9">
              <w:rPr>
                <w:rFonts w:eastAsia="Calibri"/>
                <w:sz w:val="20"/>
                <w:szCs w:val="20"/>
              </w:rPr>
              <w:t>445,67</w:t>
            </w:r>
          </w:p>
        </w:tc>
        <w:tc>
          <w:tcPr>
            <w:tcW w:w="1985" w:type="dxa"/>
            <w:shd w:val="clear" w:color="auto" w:fill="auto"/>
            <w:noWrap/>
          </w:tcPr>
          <w:p w14:paraId="6AF82D53" w14:textId="77777777" w:rsidR="00AC2C4F" w:rsidRPr="00436CF9" w:rsidRDefault="00AC2C4F" w:rsidP="005F2E4B">
            <w:pPr>
              <w:spacing w:line="254" w:lineRule="auto"/>
              <w:jc w:val="right"/>
              <w:rPr>
                <w:rFonts w:cs="Arial"/>
                <w:sz w:val="20"/>
                <w:szCs w:val="20"/>
              </w:rPr>
            </w:pPr>
            <w:r w:rsidRPr="00436CF9">
              <w:rPr>
                <w:rFonts w:eastAsia="Calibri"/>
                <w:sz w:val="20"/>
                <w:szCs w:val="20"/>
              </w:rPr>
              <w:t>17,82</w:t>
            </w:r>
          </w:p>
        </w:tc>
        <w:tc>
          <w:tcPr>
            <w:tcW w:w="1984" w:type="dxa"/>
            <w:shd w:val="clear" w:color="auto" w:fill="auto"/>
          </w:tcPr>
          <w:p w14:paraId="4DEFCA8E" w14:textId="77777777" w:rsidR="00AC2C4F" w:rsidRPr="00436CF9" w:rsidRDefault="00AC2C4F" w:rsidP="005F2E4B">
            <w:pPr>
              <w:spacing w:line="254" w:lineRule="auto"/>
              <w:jc w:val="right"/>
              <w:rPr>
                <w:rFonts w:cs="Arial"/>
                <w:sz w:val="20"/>
                <w:szCs w:val="20"/>
              </w:rPr>
            </w:pPr>
            <w:r w:rsidRPr="00436CF9">
              <w:rPr>
                <w:rFonts w:eastAsia="Calibri"/>
                <w:sz w:val="20"/>
                <w:szCs w:val="20"/>
              </w:rPr>
              <w:t>19,58</w:t>
            </w:r>
          </w:p>
        </w:tc>
        <w:tc>
          <w:tcPr>
            <w:tcW w:w="1985" w:type="dxa"/>
            <w:shd w:val="clear" w:color="auto" w:fill="auto"/>
          </w:tcPr>
          <w:p w14:paraId="033A77BD" w14:textId="77777777" w:rsidR="00AC2C4F" w:rsidRPr="00436CF9" w:rsidRDefault="00AC2C4F" w:rsidP="005F2E4B">
            <w:pPr>
              <w:spacing w:line="254" w:lineRule="auto"/>
              <w:jc w:val="right"/>
              <w:rPr>
                <w:rFonts w:cs="Arial"/>
                <w:sz w:val="20"/>
                <w:szCs w:val="20"/>
              </w:rPr>
            </w:pPr>
            <w:r w:rsidRPr="00436CF9">
              <w:rPr>
                <w:rFonts w:eastAsia="Calibri"/>
                <w:sz w:val="20"/>
                <w:szCs w:val="20"/>
              </w:rPr>
              <w:t>127,03</w:t>
            </w:r>
          </w:p>
        </w:tc>
        <w:tc>
          <w:tcPr>
            <w:tcW w:w="1984" w:type="dxa"/>
            <w:shd w:val="clear" w:color="auto" w:fill="auto"/>
            <w:noWrap/>
          </w:tcPr>
          <w:p w14:paraId="75105271" w14:textId="77777777" w:rsidR="00AC2C4F" w:rsidRPr="00436CF9" w:rsidRDefault="00AC2C4F" w:rsidP="005F2E4B">
            <w:pPr>
              <w:spacing w:line="254" w:lineRule="auto"/>
              <w:jc w:val="right"/>
              <w:rPr>
                <w:rFonts w:cs="Arial"/>
                <w:sz w:val="20"/>
                <w:szCs w:val="20"/>
              </w:rPr>
            </w:pPr>
            <w:r w:rsidRPr="00436CF9">
              <w:rPr>
                <w:rFonts w:cs="Arial"/>
                <w:sz w:val="20"/>
                <w:szCs w:val="20"/>
              </w:rPr>
              <w:t>0,00</w:t>
            </w:r>
          </w:p>
        </w:tc>
        <w:tc>
          <w:tcPr>
            <w:tcW w:w="1843" w:type="dxa"/>
            <w:shd w:val="clear" w:color="auto" w:fill="auto"/>
            <w:noWrap/>
          </w:tcPr>
          <w:p w14:paraId="0E37AF85" w14:textId="77777777" w:rsidR="00AC2C4F" w:rsidRPr="00436CF9" w:rsidRDefault="00AC2C4F" w:rsidP="005F2E4B">
            <w:pPr>
              <w:spacing w:line="254" w:lineRule="auto"/>
              <w:jc w:val="right"/>
              <w:rPr>
                <w:rFonts w:cs="Arial"/>
                <w:sz w:val="20"/>
                <w:szCs w:val="20"/>
              </w:rPr>
            </w:pPr>
            <w:r w:rsidRPr="00436CF9">
              <w:rPr>
                <w:rFonts w:cs="Arial"/>
                <w:sz w:val="20"/>
                <w:szCs w:val="20"/>
              </w:rPr>
              <w:t>0</w:t>
            </w:r>
          </w:p>
        </w:tc>
      </w:tr>
      <w:tr w:rsidR="00AC2C4F" w:rsidRPr="00053DB8" w14:paraId="16A71F8C" w14:textId="77777777" w:rsidTr="005F2E4B">
        <w:trPr>
          <w:trHeight w:val="300"/>
        </w:trPr>
        <w:tc>
          <w:tcPr>
            <w:tcW w:w="1134" w:type="dxa"/>
            <w:shd w:val="clear" w:color="auto" w:fill="auto"/>
            <w:hideMark/>
          </w:tcPr>
          <w:p w14:paraId="2389B06C" w14:textId="77777777" w:rsidR="00AC2C4F" w:rsidRPr="003445C7" w:rsidRDefault="00AC2C4F" w:rsidP="005F2E4B">
            <w:pPr>
              <w:rPr>
                <w:rFonts w:eastAsia="Calibri" w:cs="Arial"/>
                <w:sz w:val="20"/>
                <w:szCs w:val="20"/>
                <w:highlight w:val="yellow"/>
              </w:rPr>
            </w:pPr>
            <w:r w:rsidRPr="00BF3A80">
              <w:rPr>
                <w:rFonts w:eastAsia="Calibri" w:cs="Arial"/>
                <w:sz w:val="20"/>
                <w:szCs w:val="20"/>
              </w:rPr>
              <w:t>MZM</w:t>
            </w:r>
          </w:p>
        </w:tc>
        <w:tc>
          <w:tcPr>
            <w:tcW w:w="1843" w:type="dxa"/>
            <w:shd w:val="clear" w:color="auto" w:fill="auto"/>
            <w:noWrap/>
          </w:tcPr>
          <w:p w14:paraId="7441E3F1" w14:textId="77777777" w:rsidR="00AC2C4F" w:rsidRPr="003445C7" w:rsidRDefault="00AC2C4F" w:rsidP="005F2E4B">
            <w:pPr>
              <w:spacing w:line="254" w:lineRule="auto"/>
              <w:jc w:val="right"/>
              <w:rPr>
                <w:rFonts w:cs="Arial"/>
                <w:sz w:val="20"/>
                <w:szCs w:val="20"/>
                <w:highlight w:val="yellow"/>
              </w:rPr>
            </w:pPr>
            <w:r w:rsidRPr="001A45BE">
              <w:rPr>
                <w:rFonts w:eastAsia="Calibri"/>
                <w:sz w:val="20"/>
                <w:szCs w:val="20"/>
              </w:rPr>
              <w:t>185,34</w:t>
            </w:r>
          </w:p>
        </w:tc>
        <w:tc>
          <w:tcPr>
            <w:tcW w:w="1985" w:type="dxa"/>
            <w:shd w:val="clear" w:color="auto" w:fill="auto"/>
            <w:noWrap/>
          </w:tcPr>
          <w:p w14:paraId="1ED2840C" w14:textId="77777777" w:rsidR="00AC2C4F" w:rsidRPr="003445C7" w:rsidRDefault="00AC2C4F" w:rsidP="005F2E4B">
            <w:pPr>
              <w:spacing w:line="254" w:lineRule="auto"/>
              <w:jc w:val="right"/>
              <w:rPr>
                <w:rFonts w:cs="Arial"/>
                <w:sz w:val="20"/>
                <w:szCs w:val="20"/>
                <w:highlight w:val="yellow"/>
              </w:rPr>
            </w:pPr>
            <w:r w:rsidRPr="001A45BE">
              <w:rPr>
                <w:rFonts w:eastAsia="Calibri"/>
                <w:sz w:val="20"/>
                <w:szCs w:val="20"/>
              </w:rPr>
              <w:t>7,41</w:t>
            </w:r>
          </w:p>
        </w:tc>
        <w:tc>
          <w:tcPr>
            <w:tcW w:w="1984" w:type="dxa"/>
            <w:shd w:val="clear" w:color="auto" w:fill="auto"/>
          </w:tcPr>
          <w:p w14:paraId="0D207EA1" w14:textId="77777777" w:rsidR="00AC2C4F" w:rsidRPr="00BF3A80" w:rsidRDefault="00AC2C4F" w:rsidP="005F2E4B">
            <w:pPr>
              <w:spacing w:line="254" w:lineRule="auto"/>
              <w:jc w:val="right"/>
              <w:rPr>
                <w:rFonts w:cs="Arial"/>
                <w:sz w:val="20"/>
                <w:szCs w:val="20"/>
              </w:rPr>
            </w:pPr>
            <w:r w:rsidRPr="00BF3A80">
              <w:rPr>
                <w:rFonts w:eastAsia="Calibri"/>
                <w:sz w:val="20"/>
                <w:szCs w:val="20"/>
              </w:rPr>
              <w:t>25,75</w:t>
            </w:r>
          </w:p>
        </w:tc>
        <w:tc>
          <w:tcPr>
            <w:tcW w:w="1985" w:type="dxa"/>
            <w:shd w:val="clear" w:color="auto" w:fill="auto"/>
          </w:tcPr>
          <w:p w14:paraId="32A697CB" w14:textId="77777777" w:rsidR="00AC2C4F" w:rsidRPr="00BF3A80" w:rsidRDefault="00AC2C4F" w:rsidP="005F2E4B">
            <w:pPr>
              <w:spacing w:line="254" w:lineRule="auto"/>
              <w:jc w:val="right"/>
              <w:rPr>
                <w:rFonts w:cs="Arial"/>
                <w:sz w:val="20"/>
                <w:szCs w:val="20"/>
              </w:rPr>
            </w:pPr>
            <w:r w:rsidRPr="00BF3A80">
              <w:rPr>
                <w:rFonts w:cs="Arial"/>
                <w:sz w:val="20"/>
                <w:szCs w:val="20"/>
              </w:rPr>
              <w:t>0,00</w:t>
            </w:r>
          </w:p>
        </w:tc>
        <w:tc>
          <w:tcPr>
            <w:tcW w:w="1984" w:type="dxa"/>
            <w:shd w:val="clear" w:color="auto" w:fill="auto"/>
            <w:noWrap/>
          </w:tcPr>
          <w:p w14:paraId="3C1A0E27" w14:textId="77777777" w:rsidR="00AC2C4F" w:rsidRPr="00BF3A80" w:rsidRDefault="00AC2C4F" w:rsidP="005F2E4B">
            <w:pPr>
              <w:spacing w:line="254" w:lineRule="auto"/>
              <w:jc w:val="right"/>
              <w:rPr>
                <w:rFonts w:cs="Arial"/>
                <w:sz w:val="20"/>
                <w:szCs w:val="20"/>
              </w:rPr>
            </w:pPr>
            <w:r w:rsidRPr="00BF3A80">
              <w:rPr>
                <w:rFonts w:cs="Arial"/>
                <w:sz w:val="20"/>
                <w:szCs w:val="20"/>
              </w:rPr>
              <w:t>0,00</w:t>
            </w:r>
          </w:p>
        </w:tc>
        <w:tc>
          <w:tcPr>
            <w:tcW w:w="1843" w:type="dxa"/>
            <w:shd w:val="clear" w:color="auto" w:fill="auto"/>
            <w:noWrap/>
          </w:tcPr>
          <w:p w14:paraId="4E9DCBFA" w14:textId="77777777" w:rsidR="00AC2C4F" w:rsidRPr="00BF3A80" w:rsidRDefault="00AC2C4F" w:rsidP="005F2E4B">
            <w:pPr>
              <w:spacing w:line="254" w:lineRule="auto"/>
              <w:jc w:val="right"/>
              <w:rPr>
                <w:rFonts w:cs="Arial"/>
                <w:sz w:val="20"/>
                <w:szCs w:val="20"/>
              </w:rPr>
            </w:pPr>
            <w:r w:rsidRPr="00BF3A80">
              <w:rPr>
                <w:rFonts w:cs="Arial"/>
                <w:sz w:val="20"/>
                <w:szCs w:val="20"/>
              </w:rPr>
              <w:t>0</w:t>
            </w:r>
          </w:p>
        </w:tc>
      </w:tr>
      <w:tr w:rsidR="00AC2C4F" w:rsidRPr="002A242D" w14:paraId="148E56A2" w14:textId="77777777" w:rsidTr="005F2E4B">
        <w:trPr>
          <w:trHeight w:val="300"/>
        </w:trPr>
        <w:tc>
          <w:tcPr>
            <w:tcW w:w="1134" w:type="dxa"/>
            <w:shd w:val="clear" w:color="auto" w:fill="auto"/>
            <w:hideMark/>
          </w:tcPr>
          <w:p w14:paraId="2471FCA7" w14:textId="77777777" w:rsidR="00AC2C4F" w:rsidRPr="003445C7" w:rsidRDefault="00AC2C4F" w:rsidP="005F2E4B">
            <w:pPr>
              <w:rPr>
                <w:rFonts w:eastAsia="Calibri" w:cs="Arial"/>
                <w:sz w:val="20"/>
                <w:szCs w:val="20"/>
                <w:highlight w:val="yellow"/>
              </w:rPr>
            </w:pPr>
            <w:r w:rsidRPr="00DA24F7">
              <w:rPr>
                <w:rFonts w:eastAsia="Calibri" w:cs="Arial"/>
                <w:sz w:val="20"/>
                <w:szCs w:val="20"/>
              </w:rPr>
              <w:t>SZM</w:t>
            </w:r>
          </w:p>
        </w:tc>
        <w:tc>
          <w:tcPr>
            <w:tcW w:w="1843" w:type="dxa"/>
            <w:shd w:val="clear" w:color="auto" w:fill="auto"/>
            <w:noWrap/>
          </w:tcPr>
          <w:p w14:paraId="43F64E63" w14:textId="77777777" w:rsidR="00AC2C4F" w:rsidRPr="003445C7" w:rsidRDefault="00AC2C4F" w:rsidP="005F2E4B">
            <w:pPr>
              <w:spacing w:line="254" w:lineRule="auto"/>
              <w:jc w:val="right"/>
              <w:rPr>
                <w:rFonts w:cs="Arial"/>
                <w:sz w:val="20"/>
                <w:szCs w:val="20"/>
                <w:highlight w:val="yellow"/>
              </w:rPr>
            </w:pPr>
            <w:r w:rsidRPr="001A45BE">
              <w:rPr>
                <w:rFonts w:eastAsia="Calibri"/>
                <w:sz w:val="20"/>
                <w:szCs w:val="20"/>
              </w:rPr>
              <w:t>109,71</w:t>
            </w:r>
          </w:p>
        </w:tc>
        <w:tc>
          <w:tcPr>
            <w:tcW w:w="1985" w:type="dxa"/>
            <w:shd w:val="clear" w:color="auto" w:fill="auto"/>
            <w:noWrap/>
          </w:tcPr>
          <w:p w14:paraId="5B29FCE3" w14:textId="77777777" w:rsidR="00AC2C4F" w:rsidRPr="003445C7" w:rsidRDefault="00AC2C4F" w:rsidP="005F2E4B">
            <w:pPr>
              <w:spacing w:line="254" w:lineRule="auto"/>
              <w:jc w:val="right"/>
              <w:rPr>
                <w:rFonts w:cs="Arial"/>
                <w:sz w:val="20"/>
                <w:szCs w:val="20"/>
                <w:highlight w:val="yellow"/>
              </w:rPr>
            </w:pPr>
            <w:r w:rsidRPr="001A45BE">
              <w:rPr>
                <w:rFonts w:eastAsia="Calibri"/>
                <w:sz w:val="20"/>
                <w:szCs w:val="20"/>
              </w:rPr>
              <w:t>4,38</w:t>
            </w:r>
          </w:p>
        </w:tc>
        <w:tc>
          <w:tcPr>
            <w:tcW w:w="1984" w:type="dxa"/>
            <w:shd w:val="clear" w:color="auto" w:fill="auto"/>
          </w:tcPr>
          <w:p w14:paraId="74D770E5" w14:textId="77777777" w:rsidR="00AC2C4F" w:rsidRPr="003445C7" w:rsidRDefault="00AC2C4F" w:rsidP="005F2E4B">
            <w:pPr>
              <w:spacing w:line="254" w:lineRule="auto"/>
              <w:jc w:val="right"/>
              <w:rPr>
                <w:rFonts w:cs="Arial"/>
                <w:sz w:val="20"/>
                <w:szCs w:val="20"/>
                <w:highlight w:val="yellow"/>
              </w:rPr>
            </w:pPr>
            <w:r w:rsidRPr="001A45BE">
              <w:rPr>
                <w:rFonts w:eastAsia="Calibri"/>
                <w:sz w:val="20"/>
                <w:szCs w:val="20"/>
              </w:rPr>
              <w:t>2,31</w:t>
            </w:r>
          </w:p>
        </w:tc>
        <w:tc>
          <w:tcPr>
            <w:tcW w:w="1985" w:type="dxa"/>
            <w:shd w:val="clear" w:color="auto" w:fill="auto"/>
          </w:tcPr>
          <w:p w14:paraId="0812F8A1" w14:textId="77777777" w:rsidR="00AC2C4F" w:rsidRPr="003445C7" w:rsidRDefault="00AC2C4F" w:rsidP="005F2E4B">
            <w:pPr>
              <w:spacing w:line="254" w:lineRule="auto"/>
              <w:jc w:val="right"/>
              <w:rPr>
                <w:rFonts w:cs="Arial"/>
                <w:sz w:val="20"/>
                <w:szCs w:val="20"/>
                <w:highlight w:val="yellow"/>
              </w:rPr>
            </w:pPr>
            <w:r w:rsidRPr="001A45BE">
              <w:rPr>
                <w:rFonts w:eastAsia="Calibri"/>
                <w:sz w:val="20"/>
                <w:szCs w:val="20"/>
              </w:rPr>
              <w:t>1,24</w:t>
            </w:r>
          </w:p>
        </w:tc>
        <w:tc>
          <w:tcPr>
            <w:tcW w:w="1984" w:type="dxa"/>
            <w:shd w:val="clear" w:color="auto" w:fill="auto"/>
            <w:noWrap/>
          </w:tcPr>
          <w:p w14:paraId="5AD900A5" w14:textId="77777777" w:rsidR="00AC2C4F" w:rsidRPr="003445C7" w:rsidRDefault="00AC2C4F" w:rsidP="005F2E4B">
            <w:pPr>
              <w:spacing w:line="254" w:lineRule="auto"/>
              <w:jc w:val="right"/>
              <w:rPr>
                <w:rFonts w:cs="Arial"/>
                <w:sz w:val="20"/>
                <w:szCs w:val="20"/>
                <w:highlight w:val="yellow"/>
              </w:rPr>
            </w:pPr>
            <w:r w:rsidRPr="001A45BE">
              <w:rPr>
                <w:rFonts w:eastAsia="Calibri"/>
                <w:sz w:val="20"/>
                <w:szCs w:val="20"/>
              </w:rPr>
              <w:t>0,83</w:t>
            </w:r>
          </w:p>
        </w:tc>
        <w:tc>
          <w:tcPr>
            <w:tcW w:w="1843" w:type="dxa"/>
            <w:shd w:val="clear" w:color="auto" w:fill="auto"/>
            <w:noWrap/>
          </w:tcPr>
          <w:p w14:paraId="51FA90B5" w14:textId="77777777" w:rsidR="00AC2C4F" w:rsidRPr="003445C7" w:rsidRDefault="00AC2C4F" w:rsidP="005F2E4B">
            <w:pPr>
              <w:spacing w:line="254" w:lineRule="auto"/>
              <w:jc w:val="right"/>
              <w:rPr>
                <w:rFonts w:cs="Arial"/>
                <w:sz w:val="20"/>
                <w:szCs w:val="20"/>
                <w:highlight w:val="yellow"/>
              </w:rPr>
            </w:pPr>
            <w:r w:rsidRPr="001A45BE">
              <w:rPr>
                <w:rFonts w:eastAsia="Calibri"/>
                <w:sz w:val="20"/>
                <w:szCs w:val="20"/>
              </w:rPr>
              <w:t>88</w:t>
            </w:r>
            <w:r>
              <w:rPr>
                <w:rFonts w:eastAsia="Calibri"/>
                <w:sz w:val="20"/>
                <w:szCs w:val="20"/>
              </w:rPr>
              <w:t xml:space="preserve"> </w:t>
            </w:r>
            <w:r w:rsidRPr="001A45BE">
              <w:rPr>
                <w:rFonts w:eastAsia="Calibri"/>
                <w:sz w:val="20"/>
                <w:szCs w:val="20"/>
              </w:rPr>
              <w:t>037</w:t>
            </w:r>
          </w:p>
        </w:tc>
      </w:tr>
      <w:tr w:rsidR="00AC2C4F" w:rsidRPr="00FB1FC6" w14:paraId="79E7CE0A" w14:textId="77777777" w:rsidTr="005F2E4B">
        <w:trPr>
          <w:trHeight w:val="300"/>
        </w:trPr>
        <w:tc>
          <w:tcPr>
            <w:tcW w:w="1134" w:type="dxa"/>
            <w:shd w:val="clear" w:color="auto" w:fill="auto"/>
            <w:hideMark/>
          </w:tcPr>
          <w:p w14:paraId="339E4764" w14:textId="77777777" w:rsidR="00AC2C4F" w:rsidRPr="003445C7" w:rsidRDefault="00AC2C4F" w:rsidP="005F2E4B">
            <w:pPr>
              <w:rPr>
                <w:rFonts w:eastAsia="Calibri" w:cs="Arial"/>
                <w:sz w:val="20"/>
                <w:szCs w:val="20"/>
                <w:highlight w:val="yellow"/>
              </w:rPr>
            </w:pPr>
            <w:r w:rsidRPr="00F97160">
              <w:rPr>
                <w:rFonts w:eastAsia="Calibri" w:cs="Arial"/>
                <w:sz w:val="20"/>
                <w:szCs w:val="20"/>
              </w:rPr>
              <w:t>NGP</w:t>
            </w:r>
          </w:p>
        </w:tc>
        <w:tc>
          <w:tcPr>
            <w:tcW w:w="1843" w:type="dxa"/>
            <w:shd w:val="clear" w:color="auto" w:fill="auto"/>
            <w:noWrap/>
          </w:tcPr>
          <w:p w14:paraId="5A258631" w14:textId="77777777" w:rsidR="00AC2C4F" w:rsidRPr="00F97160" w:rsidRDefault="00AC2C4F" w:rsidP="005F2E4B">
            <w:pPr>
              <w:jc w:val="right"/>
              <w:rPr>
                <w:rFonts w:cs="Arial"/>
                <w:sz w:val="20"/>
                <w:szCs w:val="20"/>
              </w:rPr>
            </w:pPr>
            <w:r w:rsidRPr="00F97160">
              <w:rPr>
                <w:rFonts w:eastAsia="Calibri"/>
                <w:sz w:val="20"/>
                <w:szCs w:val="20"/>
              </w:rPr>
              <w:t>207,65</w:t>
            </w:r>
          </w:p>
        </w:tc>
        <w:tc>
          <w:tcPr>
            <w:tcW w:w="1985" w:type="dxa"/>
            <w:shd w:val="clear" w:color="auto" w:fill="auto"/>
            <w:noWrap/>
          </w:tcPr>
          <w:p w14:paraId="6C99EED9" w14:textId="77777777" w:rsidR="00AC2C4F" w:rsidRPr="00F97160" w:rsidRDefault="00AC2C4F" w:rsidP="005F2E4B">
            <w:pPr>
              <w:jc w:val="right"/>
              <w:rPr>
                <w:rFonts w:cs="Arial"/>
                <w:sz w:val="20"/>
                <w:szCs w:val="20"/>
              </w:rPr>
            </w:pPr>
            <w:r w:rsidRPr="00F97160">
              <w:rPr>
                <w:rFonts w:eastAsia="Calibri"/>
                <w:sz w:val="20"/>
                <w:szCs w:val="20"/>
              </w:rPr>
              <w:t>8,30</w:t>
            </w:r>
          </w:p>
        </w:tc>
        <w:tc>
          <w:tcPr>
            <w:tcW w:w="1984" w:type="dxa"/>
            <w:shd w:val="clear" w:color="auto" w:fill="auto"/>
          </w:tcPr>
          <w:p w14:paraId="686CEDFF" w14:textId="77777777" w:rsidR="00AC2C4F" w:rsidRPr="00F97160" w:rsidRDefault="00AC2C4F" w:rsidP="005F2E4B">
            <w:pPr>
              <w:jc w:val="right"/>
              <w:rPr>
                <w:rFonts w:cs="Arial"/>
                <w:sz w:val="20"/>
                <w:szCs w:val="20"/>
              </w:rPr>
            </w:pPr>
            <w:r w:rsidRPr="00F97160">
              <w:rPr>
                <w:rFonts w:eastAsia="Calibri"/>
                <w:sz w:val="20"/>
                <w:szCs w:val="20"/>
              </w:rPr>
              <w:t>9,91</w:t>
            </w:r>
          </w:p>
        </w:tc>
        <w:tc>
          <w:tcPr>
            <w:tcW w:w="1985" w:type="dxa"/>
            <w:shd w:val="clear" w:color="auto" w:fill="auto"/>
          </w:tcPr>
          <w:p w14:paraId="35F33085" w14:textId="77777777" w:rsidR="00AC2C4F" w:rsidRPr="00F97160" w:rsidRDefault="00AC2C4F" w:rsidP="005F2E4B">
            <w:pPr>
              <w:jc w:val="right"/>
              <w:rPr>
                <w:rFonts w:cs="Arial"/>
                <w:sz w:val="20"/>
                <w:szCs w:val="20"/>
              </w:rPr>
            </w:pPr>
            <w:r w:rsidRPr="00F97160">
              <w:rPr>
                <w:rFonts w:cs="Arial"/>
                <w:sz w:val="20"/>
                <w:szCs w:val="20"/>
              </w:rPr>
              <w:t>0,00</w:t>
            </w:r>
          </w:p>
        </w:tc>
        <w:tc>
          <w:tcPr>
            <w:tcW w:w="1984" w:type="dxa"/>
            <w:shd w:val="clear" w:color="auto" w:fill="auto"/>
            <w:noWrap/>
          </w:tcPr>
          <w:p w14:paraId="4D9932D6" w14:textId="77777777" w:rsidR="00AC2C4F" w:rsidRPr="00F97160" w:rsidRDefault="00AC2C4F" w:rsidP="005F2E4B">
            <w:pPr>
              <w:jc w:val="right"/>
              <w:rPr>
                <w:rFonts w:cs="Arial"/>
                <w:sz w:val="20"/>
                <w:szCs w:val="20"/>
              </w:rPr>
            </w:pPr>
            <w:r w:rsidRPr="00F97160">
              <w:rPr>
                <w:rFonts w:cs="Arial"/>
                <w:sz w:val="20"/>
                <w:szCs w:val="20"/>
              </w:rPr>
              <w:t>0,00</w:t>
            </w:r>
          </w:p>
        </w:tc>
        <w:tc>
          <w:tcPr>
            <w:tcW w:w="1843" w:type="dxa"/>
            <w:shd w:val="clear" w:color="auto" w:fill="auto"/>
            <w:noWrap/>
          </w:tcPr>
          <w:p w14:paraId="09401164" w14:textId="77777777" w:rsidR="00AC2C4F" w:rsidRPr="00F97160" w:rsidRDefault="00AC2C4F" w:rsidP="005F2E4B">
            <w:pPr>
              <w:jc w:val="right"/>
              <w:rPr>
                <w:rFonts w:cs="Arial"/>
                <w:sz w:val="20"/>
                <w:szCs w:val="20"/>
              </w:rPr>
            </w:pPr>
            <w:r w:rsidRPr="00F97160">
              <w:rPr>
                <w:rFonts w:cs="Arial"/>
                <w:sz w:val="20"/>
                <w:szCs w:val="20"/>
              </w:rPr>
              <w:t>0</w:t>
            </w:r>
          </w:p>
        </w:tc>
      </w:tr>
      <w:tr w:rsidR="00AC2C4F" w:rsidRPr="00053DB8" w14:paraId="2FACAC2A" w14:textId="77777777" w:rsidTr="005F2E4B">
        <w:trPr>
          <w:trHeight w:val="300"/>
        </w:trPr>
        <w:tc>
          <w:tcPr>
            <w:tcW w:w="1134" w:type="dxa"/>
            <w:shd w:val="clear" w:color="auto" w:fill="auto"/>
            <w:hideMark/>
          </w:tcPr>
          <w:p w14:paraId="4CD855FC" w14:textId="77777777" w:rsidR="00AC2C4F" w:rsidRPr="003445C7" w:rsidRDefault="00AC2C4F" w:rsidP="005F2E4B">
            <w:pPr>
              <w:rPr>
                <w:rFonts w:eastAsia="Calibri" w:cs="Arial"/>
                <w:sz w:val="20"/>
                <w:szCs w:val="20"/>
                <w:highlight w:val="yellow"/>
              </w:rPr>
            </w:pPr>
            <w:r w:rsidRPr="008A40AE">
              <w:rPr>
                <w:rFonts w:eastAsia="Calibri" w:cs="Arial"/>
                <w:sz w:val="20"/>
                <w:szCs w:val="20"/>
              </w:rPr>
              <w:t>MGB</w:t>
            </w:r>
          </w:p>
        </w:tc>
        <w:tc>
          <w:tcPr>
            <w:tcW w:w="1843" w:type="dxa"/>
            <w:shd w:val="clear" w:color="auto" w:fill="auto"/>
            <w:noWrap/>
          </w:tcPr>
          <w:p w14:paraId="2267843C" w14:textId="77777777" w:rsidR="00AC2C4F" w:rsidRPr="003445C7" w:rsidRDefault="00AC2C4F" w:rsidP="005F2E4B">
            <w:pPr>
              <w:spacing w:line="256" w:lineRule="auto"/>
              <w:jc w:val="right"/>
              <w:rPr>
                <w:rFonts w:cs="Arial"/>
                <w:sz w:val="20"/>
                <w:szCs w:val="20"/>
                <w:highlight w:val="yellow"/>
              </w:rPr>
            </w:pPr>
            <w:r w:rsidRPr="001A45BE">
              <w:rPr>
                <w:rFonts w:eastAsia="Calibri"/>
                <w:sz w:val="20"/>
                <w:szCs w:val="20"/>
              </w:rPr>
              <w:t>139,66</w:t>
            </w:r>
          </w:p>
        </w:tc>
        <w:tc>
          <w:tcPr>
            <w:tcW w:w="1985" w:type="dxa"/>
            <w:shd w:val="clear" w:color="auto" w:fill="auto"/>
            <w:noWrap/>
          </w:tcPr>
          <w:p w14:paraId="7848A38C" w14:textId="77777777" w:rsidR="00AC2C4F" w:rsidRPr="008A40AE" w:rsidRDefault="00AC2C4F" w:rsidP="005F2E4B">
            <w:pPr>
              <w:spacing w:line="256" w:lineRule="auto"/>
              <w:jc w:val="right"/>
              <w:rPr>
                <w:rFonts w:cs="Arial"/>
                <w:sz w:val="20"/>
                <w:szCs w:val="20"/>
              </w:rPr>
            </w:pPr>
            <w:r w:rsidRPr="008A40AE">
              <w:rPr>
                <w:rFonts w:eastAsia="Calibri"/>
                <w:sz w:val="20"/>
                <w:szCs w:val="20"/>
              </w:rPr>
              <w:t>5,58</w:t>
            </w:r>
          </w:p>
        </w:tc>
        <w:tc>
          <w:tcPr>
            <w:tcW w:w="1984" w:type="dxa"/>
            <w:shd w:val="clear" w:color="auto" w:fill="auto"/>
          </w:tcPr>
          <w:p w14:paraId="15B72314" w14:textId="77777777" w:rsidR="00AC2C4F" w:rsidRPr="008A40AE" w:rsidRDefault="00AC2C4F" w:rsidP="005F2E4B">
            <w:pPr>
              <w:spacing w:line="256" w:lineRule="auto"/>
              <w:jc w:val="right"/>
              <w:rPr>
                <w:rFonts w:cs="Arial"/>
                <w:sz w:val="20"/>
                <w:szCs w:val="20"/>
              </w:rPr>
            </w:pPr>
            <w:r w:rsidRPr="008A40AE">
              <w:rPr>
                <w:rFonts w:eastAsia="Calibri"/>
                <w:sz w:val="20"/>
                <w:szCs w:val="20"/>
              </w:rPr>
              <w:t>12,65</w:t>
            </w:r>
          </w:p>
        </w:tc>
        <w:tc>
          <w:tcPr>
            <w:tcW w:w="1985" w:type="dxa"/>
            <w:shd w:val="clear" w:color="auto" w:fill="auto"/>
          </w:tcPr>
          <w:p w14:paraId="2DC97B6D" w14:textId="77777777" w:rsidR="00AC2C4F" w:rsidRPr="008A40AE" w:rsidRDefault="00AC2C4F" w:rsidP="005F2E4B">
            <w:pPr>
              <w:spacing w:line="256" w:lineRule="auto"/>
              <w:jc w:val="right"/>
              <w:rPr>
                <w:rFonts w:cs="Arial"/>
                <w:sz w:val="20"/>
                <w:szCs w:val="20"/>
              </w:rPr>
            </w:pPr>
            <w:r w:rsidRPr="008A40AE">
              <w:rPr>
                <w:rFonts w:cs="Arial"/>
                <w:sz w:val="20"/>
                <w:szCs w:val="20"/>
              </w:rPr>
              <w:t>0,00</w:t>
            </w:r>
          </w:p>
        </w:tc>
        <w:tc>
          <w:tcPr>
            <w:tcW w:w="1984" w:type="dxa"/>
            <w:shd w:val="clear" w:color="auto" w:fill="auto"/>
            <w:noWrap/>
          </w:tcPr>
          <w:p w14:paraId="2590D12D" w14:textId="77777777" w:rsidR="00AC2C4F" w:rsidRPr="008A40AE" w:rsidRDefault="00AC2C4F" w:rsidP="005F2E4B">
            <w:pPr>
              <w:spacing w:line="256" w:lineRule="auto"/>
              <w:jc w:val="right"/>
              <w:rPr>
                <w:rFonts w:cs="Arial"/>
                <w:sz w:val="20"/>
                <w:szCs w:val="20"/>
              </w:rPr>
            </w:pPr>
            <w:r w:rsidRPr="008A40AE">
              <w:rPr>
                <w:rFonts w:cs="Arial"/>
                <w:sz w:val="20"/>
                <w:szCs w:val="20"/>
              </w:rPr>
              <w:t>0,00</w:t>
            </w:r>
          </w:p>
        </w:tc>
        <w:tc>
          <w:tcPr>
            <w:tcW w:w="1843" w:type="dxa"/>
            <w:shd w:val="clear" w:color="auto" w:fill="auto"/>
            <w:noWrap/>
          </w:tcPr>
          <w:p w14:paraId="3FB57740" w14:textId="77777777" w:rsidR="00AC2C4F" w:rsidRPr="008A40AE" w:rsidRDefault="00AC2C4F" w:rsidP="005F2E4B">
            <w:pPr>
              <w:spacing w:line="256" w:lineRule="auto"/>
              <w:jc w:val="right"/>
              <w:rPr>
                <w:rFonts w:cs="Arial"/>
                <w:sz w:val="20"/>
                <w:szCs w:val="20"/>
              </w:rPr>
            </w:pPr>
            <w:r w:rsidRPr="008A40AE">
              <w:rPr>
                <w:rFonts w:cs="Arial"/>
                <w:sz w:val="20"/>
                <w:szCs w:val="20"/>
              </w:rPr>
              <w:t>0</w:t>
            </w:r>
          </w:p>
        </w:tc>
      </w:tr>
      <w:tr w:rsidR="00AC2C4F" w:rsidRPr="00053DB8" w14:paraId="50324CB0" w14:textId="77777777" w:rsidTr="005F2E4B">
        <w:trPr>
          <w:trHeight w:val="300"/>
        </w:trPr>
        <w:tc>
          <w:tcPr>
            <w:tcW w:w="1134" w:type="dxa"/>
            <w:shd w:val="clear" w:color="auto" w:fill="auto"/>
            <w:hideMark/>
          </w:tcPr>
          <w:p w14:paraId="0E559FE7" w14:textId="77777777" w:rsidR="00AC2C4F" w:rsidRPr="003445C7" w:rsidRDefault="00AC2C4F" w:rsidP="005F2E4B">
            <w:pPr>
              <w:rPr>
                <w:rFonts w:eastAsia="Calibri" w:cs="Arial"/>
                <w:sz w:val="20"/>
                <w:szCs w:val="20"/>
                <w:highlight w:val="yellow"/>
              </w:rPr>
            </w:pPr>
            <w:r w:rsidRPr="004E57B7">
              <w:rPr>
                <w:rFonts w:eastAsia="Calibri" w:cs="Arial"/>
                <w:sz w:val="20"/>
                <w:szCs w:val="20"/>
              </w:rPr>
              <w:t>MUO</w:t>
            </w:r>
          </w:p>
        </w:tc>
        <w:tc>
          <w:tcPr>
            <w:tcW w:w="1843" w:type="dxa"/>
            <w:shd w:val="clear" w:color="auto" w:fill="auto"/>
            <w:noWrap/>
          </w:tcPr>
          <w:p w14:paraId="05E40FD4" w14:textId="77777777" w:rsidR="00AC2C4F" w:rsidRPr="003445C7" w:rsidRDefault="00AC2C4F" w:rsidP="005F2E4B">
            <w:pPr>
              <w:spacing w:line="254" w:lineRule="auto"/>
              <w:jc w:val="right"/>
              <w:rPr>
                <w:rFonts w:cs="Arial"/>
                <w:sz w:val="20"/>
                <w:szCs w:val="20"/>
                <w:highlight w:val="yellow"/>
              </w:rPr>
            </w:pPr>
            <w:r w:rsidRPr="001A45BE">
              <w:rPr>
                <w:rFonts w:eastAsia="Calibri"/>
                <w:sz w:val="20"/>
                <w:szCs w:val="20"/>
              </w:rPr>
              <w:t>102,97</w:t>
            </w:r>
          </w:p>
        </w:tc>
        <w:tc>
          <w:tcPr>
            <w:tcW w:w="1985" w:type="dxa"/>
            <w:shd w:val="clear" w:color="auto" w:fill="auto"/>
            <w:noWrap/>
          </w:tcPr>
          <w:p w14:paraId="193FE041" w14:textId="77777777" w:rsidR="00AC2C4F" w:rsidRPr="003445C7" w:rsidRDefault="00AC2C4F" w:rsidP="005F2E4B">
            <w:pPr>
              <w:spacing w:line="254" w:lineRule="auto"/>
              <w:jc w:val="right"/>
              <w:rPr>
                <w:rFonts w:cs="Arial"/>
                <w:sz w:val="20"/>
                <w:szCs w:val="20"/>
                <w:highlight w:val="yellow"/>
              </w:rPr>
            </w:pPr>
            <w:r w:rsidRPr="001A45BE">
              <w:rPr>
                <w:rFonts w:eastAsia="Calibri"/>
                <w:sz w:val="20"/>
                <w:szCs w:val="20"/>
              </w:rPr>
              <w:t>4,11</w:t>
            </w:r>
          </w:p>
        </w:tc>
        <w:tc>
          <w:tcPr>
            <w:tcW w:w="1984" w:type="dxa"/>
            <w:shd w:val="clear" w:color="auto" w:fill="auto"/>
          </w:tcPr>
          <w:p w14:paraId="428AE5D8" w14:textId="77777777" w:rsidR="00AC2C4F" w:rsidRPr="003445C7" w:rsidRDefault="00AC2C4F" w:rsidP="005F2E4B">
            <w:pPr>
              <w:spacing w:line="254" w:lineRule="auto"/>
              <w:jc w:val="right"/>
              <w:rPr>
                <w:rFonts w:cs="Arial"/>
                <w:sz w:val="20"/>
                <w:szCs w:val="20"/>
                <w:highlight w:val="yellow"/>
              </w:rPr>
            </w:pPr>
            <w:r w:rsidRPr="001A45BE">
              <w:rPr>
                <w:rFonts w:eastAsia="Calibri"/>
                <w:sz w:val="20"/>
                <w:szCs w:val="20"/>
              </w:rPr>
              <w:t>8,02</w:t>
            </w:r>
          </w:p>
        </w:tc>
        <w:tc>
          <w:tcPr>
            <w:tcW w:w="1985" w:type="dxa"/>
            <w:shd w:val="clear" w:color="auto" w:fill="auto"/>
          </w:tcPr>
          <w:p w14:paraId="65A06D34" w14:textId="77777777" w:rsidR="00AC2C4F" w:rsidRPr="003445C7" w:rsidRDefault="00AC2C4F" w:rsidP="005F2E4B">
            <w:pPr>
              <w:spacing w:line="254" w:lineRule="auto"/>
              <w:jc w:val="right"/>
              <w:rPr>
                <w:rFonts w:cs="Arial"/>
                <w:sz w:val="20"/>
                <w:szCs w:val="20"/>
                <w:highlight w:val="yellow"/>
              </w:rPr>
            </w:pPr>
            <w:r w:rsidRPr="008A40AE">
              <w:rPr>
                <w:rFonts w:cs="Arial"/>
                <w:sz w:val="20"/>
                <w:szCs w:val="20"/>
              </w:rPr>
              <w:t>0,00</w:t>
            </w:r>
          </w:p>
        </w:tc>
        <w:tc>
          <w:tcPr>
            <w:tcW w:w="1984" w:type="dxa"/>
            <w:shd w:val="clear" w:color="auto" w:fill="auto"/>
            <w:noWrap/>
          </w:tcPr>
          <w:p w14:paraId="568A46A5" w14:textId="77777777" w:rsidR="00AC2C4F" w:rsidRPr="003445C7" w:rsidRDefault="00AC2C4F" w:rsidP="005F2E4B">
            <w:pPr>
              <w:spacing w:line="254" w:lineRule="auto"/>
              <w:jc w:val="right"/>
              <w:rPr>
                <w:rFonts w:cs="Arial"/>
                <w:sz w:val="20"/>
                <w:szCs w:val="20"/>
                <w:highlight w:val="yellow"/>
              </w:rPr>
            </w:pPr>
            <w:r w:rsidRPr="008A40AE">
              <w:rPr>
                <w:rFonts w:cs="Arial"/>
                <w:sz w:val="20"/>
                <w:szCs w:val="20"/>
              </w:rPr>
              <w:t>0,00</w:t>
            </w:r>
          </w:p>
        </w:tc>
        <w:tc>
          <w:tcPr>
            <w:tcW w:w="1843" w:type="dxa"/>
            <w:shd w:val="clear" w:color="auto" w:fill="auto"/>
            <w:noWrap/>
          </w:tcPr>
          <w:p w14:paraId="11C51138" w14:textId="77777777" w:rsidR="00AC2C4F" w:rsidRPr="003445C7" w:rsidRDefault="00AC2C4F" w:rsidP="005F2E4B">
            <w:pPr>
              <w:spacing w:line="254" w:lineRule="auto"/>
              <w:jc w:val="right"/>
              <w:rPr>
                <w:rFonts w:cs="Arial"/>
                <w:sz w:val="20"/>
                <w:szCs w:val="20"/>
                <w:highlight w:val="yellow"/>
              </w:rPr>
            </w:pPr>
            <w:r w:rsidRPr="004E57B7">
              <w:rPr>
                <w:rFonts w:cs="Arial"/>
                <w:sz w:val="20"/>
                <w:szCs w:val="20"/>
              </w:rPr>
              <w:t>0</w:t>
            </w:r>
          </w:p>
        </w:tc>
      </w:tr>
      <w:tr w:rsidR="00AC2C4F" w:rsidRPr="00053DB8" w14:paraId="20D57D58" w14:textId="77777777" w:rsidTr="005F2E4B">
        <w:trPr>
          <w:trHeight w:val="300"/>
        </w:trPr>
        <w:tc>
          <w:tcPr>
            <w:tcW w:w="1134" w:type="dxa"/>
            <w:shd w:val="clear" w:color="auto" w:fill="auto"/>
            <w:hideMark/>
          </w:tcPr>
          <w:p w14:paraId="34B4D062" w14:textId="77777777" w:rsidR="00AC2C4F" w:rsidRPr="003445C7" w:rsidRDefault="00AC2C4F" w:rsidP="005F2E4B">
            <w:pPr>
              <w:rPr>
                <w:rFonts w:eastAsia="Calibri" w:cs="Arial"/>
                <w:sz w:val="20"/>
                <w:szCs w:val="20"/>
                <w:highlight w:val="yellow"/>
              </w:rPr>
            </w:pPr>
            <w:r w:rsidRPr="003B293A">
              <w:rPr>
                <w:rFonts w:eastAsia="Calibri" w:cs="Arial"/>
                <w:sz w:val="20"/>
                <w:szCs w:val="20"/>
              </w:rPr>
              <w:t>MSB</w:t>
            </w:r>
          </w:p>
        </w:tc>
        <w:tc>
          <w:tcPr>
            <w:tcW w:w="1843" w:type="dxa"/>
            <w:shd w:val="clear" w:color="auto" w:fill="auto"/>
            <w:noWrap/>
          </w:tcPr>
          <w:p w14:paraId="17AB0E47" w14:textId="77777777" w:rsidR="00AC2C4F" w:rsidRPr="003445C7" w:rsidRDefault="00AC2C4F" w:rsidP="005F2E4B">
            <w:pPr>
              <w:spacing w:line="254" w:lineRule="auto"/>
              <w:jc w:val="right"/>
              <w:rPr>
                <w:rFonts w:cs="Arial"/>
                <w:sz w:val="20"/>
                <w:szCs w:val="20"/>
                <w:highlight w:val="yellow"/>
              </w:rPr>
            </w:pPr>
            <w:r w:rsidRPr="001A45BE">
              <w:rPr>
                <w:rFonts w:eastAsia="Calibri"/>
                <w:sz w:val="20"/>
                <w:szCs w:val="20"/>
              </w:rPr>
              <w:t>26,60</w:t>
            </w:r>
          </w:p>
        </w:tc>
        <w:tc>
          <w:tcPr>
            <w:tcW w:w="1985" w:type="dxa"/>
            <w:shd w:val="clear" w:color="auto" w:fill="auto"/>
            <w:noWrap/>
          </w:tcPr>
          <w:p w14:paraId="184F88FF" w14:textId="77777777" w:rsidR="00AC2C4F" w:rsidRPr="003445C7" w:rsidRDefault="00AC2C4F" w:rsidP="005F2E4B">
            <w:pPr>
              <w:spacing w:line="254" w:lineRule="auto"/>
              <w:jc w:val="right"/>
              <w:rPr>
                <w:rFonts w:cs="Arial"/>
                <w:sz w:val="20"/>
                <w:szCs w:val="20"/>
                <w:highlight w:val="yellow"/>
              </w:rPr>
            </w:pPr>
            <w:r w:rsidRPr="001A45BE">
              <w:rPr>
                <w:rFonts w:eastAsia="Calibri"/>
                <w:sz w:val="20"/>
                <w:szCs w:val="20"/>
              </w:rPr>
              <w:t>1,06</w:t>
            </w:r>
          </w:p>
        </w:tc>
        <w:tc>
          <w:tcPr>
            <w:tcW w:w="1984" w:type="dxa"/>
            <w:shd w:val="clear" w:color="auto" w:fill="auto"/>
          </w:tcPr>
          <w:p w14:paraId="3E4751E3" w14:textId="77777777" w:rsidR="00AC2C4F" w:rsidRPr="003445C7" w:rsidRDefault="00AC2C4F" w:rsidP="005F2E4B">
            <w:pPr>
              <w:jc w:val="right"/>
              <w:rPr>
                <w:rFonts w:eastAsia="Calibri" w:cs="Arial"/>
                <w:sz w:val="20"/>
                <w:szCs w:val="20"/>
                <w:highlight w:val="yellow"/>
              </w:rPr>
            </w:pPr>
            <w:r w:rsidRPr="001A45BE">
              <w:rPr>
                <w:rFonts w:eastAsia="Calibri"/>
                <w:sz w:val="20"/>
                <w:szCs w:val="20"/>
              </w:rPr>
              <w:t>2</w:t>
            </w:r>
            <w:r>
              <w:rPr>
                <w:rFonts w:eastAsia="Calibri"/>
                <w:sz w:val="20"/>
                <w:szCs w:val="20"/>
              </w:rPr>
              <w:t>,00</w:t>
            </w:r>
          </w:p>
        </w:tc>
        <w:tc>
          <w:tcPr>
            <w:tcW w:w="1985" w:type="dxa"/>
            <w:shd w:val="clear" w:color="auto" w:fill="auto"/>
          </w:tcPr>
          <w:p w14:paraId="511D5498" w14:textId="77777777" w:rsidR="00AC2C4F" w:rsidRPr="003445C7" w:rsidRDefault="00AC2C4F" w:rsidP="005F2E4B">
            <w:pPr>
              <w:spacing w:line="254" w:lineRule="auto"/>
              <w:jc w:val="right"/>
              <w:rPr>
                <w:rFonts w:cs="Arial"/>
                <w:sz w:val="20"/>
                <w:szCs w:val="20"/>
                <w:highlight w:val="yellow"/>
              </w:rPr>
            </w:pPr>
            <w:r w:rsidRPr="008A40AE">
              <w:rPr>
                <w:rFonts w:cs="Arial"/>
                <w:sz w:val="20"/>
                <w:szCs w:val="20"/>
              </w:rPr>
              <w:t>0,00</w:t>
            </w:r>
          </w:p>
        </w:tc>
        <w:tc>
          <w:tcPr>
            <w:tcW w:w="1984" w:type="dxa"/>
            <w:shd w:val="clear" w:color="auto" w:fill="auto"/>
            <w:noWrap/>
          </w:tcPr>
          <w:p w14:paraId="6D4330F8" w14:textId="77777777" w:rsidR="00AC2C4F" w:rsidRPr="003445C7" w:rsidRDefault="00AC2C4F" w:rsidP="005F2E4B">
            <w:pPr>
              <w:spacing w:line="254" w:lineRule="auto"/>
              <w:jc w:val="right"/>
              <w:rPr>
                <w:rFonts w:cs="Arial"/>
                <w:sz w:val="20"/>
                <w:szCs w:val="20"/>
                <w:highlight w:val="yellow"/>
              </w:rPr>
            </w:pPr>
            <w:r w:rsidRPr="008A40AE">
              <w:rPr>
                <w:rFonts w:cs="Arial"/>
                <w:sz w:val="20"/>
                <w:szCs w:val="20"/>
              </w:rPr>
              <w:t>0,00</w:t>
            </w:r>
          </w:p>
        </w:tc>
        <w:tc>
          <w:tcPr>
            <w:tcW w:w="1843" w:type="dxa"/>
            <w:shd w:val="clear" w:color="auto" w:fill="auto"/>
            <w:noWrap/>
          </w:tcPr>
          <w:p w14:paraId="45BA8D8F" w14:textId="77777777" w:rsidR="00AC2C4F" w:rsidRPr="003445C7" w:rsidRDefault="00AC2C4F" w:rsidP="005F2E4B">
            <w:pPr>
              <w:spacing w:line="254" w:lineRule="auto"/>
              <w:jc w:val="right"/>
              <w:rPr>
                <w:rFonts w:cs="Arial"/>
                <w:sz w:val="20"/>
                <w:szCs w:val="20"/>
                <w:highlight w:val="yellow"/>
              </w:rPr>
            </w:pPr>
            <w:r w:rsidRPr="003B293A">
              <w:rPr>
                <w:rFonts w:cs="Arial"/>
                <w:sz w:val="20"/>
                <w:szCs w:val="20"/>
              </w:rPr>
              <w:t>0</w:t>
            </w:r>
          </w:p>
        </w:tc>
      </w:tr>
      <w:tr w:rsidR="00AC2C4F" w:rsidRPr="00053DB8" w14:paraId="21C59781" w14:textId="77777777" w:rsidTr="005F2E4B">
        <w:trPr>
          <w:trHeight w:val="300"/>
        </w:trPr>
        <w:tc>
          <w:tcPr>
            <w:tcW w:w="1134" w:type="dxa"/>
            <w:shd w:val="clear" w:color="auto" w:fill="auto"/>
            <w:hideMark/>
          </w:tcPr>
          <w:p w14:paraId="39365D01" w14:textId="77777777" w:rsidR="00AC2C4F" w:rsidRPr="006D3AEB" w:rsidRDefault="00AC2C4F" w:rsidP="005F2E4B">
            <w:pPr>
              <w:rPr>
                <w:rFonts w:eastAsia="Calibri" w:cs="Arial"/>
                <w:sz w:val="20"/>
                <w:szCs w:val="20"/>
              </w:rPr>
            </w:pPr>
            <w:r w:rsidRPr="006D3AEB">
              <w:rPr>
                <w:rFonts w:eastAsia="Calibri" w:cs="Arial"/>
                <w:sz w:val="20"/>
                <w:szCs w:val="20"/>
              </w:rPr>
              <w:t>TMB</w:t>
            </w:r>
          </w:p>
        </w:tc>
        <w:tc>
          <w:tcPr>
            <w:tcW w:w="1843" w:type="dxa"/>
            <w:shd w:val="clear" w:color="auto" w:fill="auto"/>
            <w:noWrap/>
          </w:tcPr>
          <w:p w14:paraId="759AC680" w14:textId="77777777" w:rsidR="00AC2C4F" w:rsidRPr="006D3AEB" w:rsidRDefault="00AC2C4F" w:rsidP="005F2E4B">
            <w:pPr>
              <w:spacing w:line="256" w:lineRule="auto"/>
              <w:jc w:val="right"/>
              <w:rPr>
                <w:rFonts w:cs="Arial"/>
                <w:sz w:val="20"/>
                <w:szCs w:val="20"/>
              </w:rPr>
            </w:pPr>
            <w:r w:rsidRPr="006D3AEB">
              <w:rPr>
                <w:rFonts w:eastAsia="Calibri"/>
                <w:sz w:val="20"/>
                <w:szCs w:val="20"/>
              </w:rPr>
              <w:t>95,77</w:t>
            </w:r>
          </w:p>
        </w:tc>
        <w:tc>
          <w:tcPr>
            <w:tcW w:w="1985" w:type="dxa"/>
            <w:shd w:val="clear" w:color="auto" w:fill="auto"/>
            <w:noWrap/>
          </w:tcPr>
          <w:p w14:paraId="4DBE2638" w14:textId="77777777" w:rsidR="00AC2C4F" w:rsidRPr="006D3AEB" w:rsidRDefault="00AC2C4F" w:rsidP="005F2E4B">
            <w:pPr>
              <w:spacing w:line="256" w:lineRule="auto"/>
              <w:jc w:val="right"/>
              <w:rPr>
                <w:rFonts w:cs="Arial"/>
                <w:sz w:val="20"/>
                <w:szCs w:val="20"/>
              </w:rPr>
            </w:pPr>
            <w:r w:rsidRPr="006D3AEB">
              <w:rPr>
                <w:rFonts w:eastAsia="Calibri"/>
                <w:sz w:val="20"/>
                <w:szCs w:val="20"/>
              </w:rPr>
              <w:t>3,83</w:t>
            </w:r>
          </w:p>
        </w:tc>
        <w:tc>
          <w:tcPr>
            <w:tcW w:w="1984" w:type="dxa"/>
            <w:shd w:val="clear" w:color="auto" w:fill="auto"/>
          </w:tcPr>
          <w:p w14:paraId="12CD06CB" w14:textId="77777777" w:rsidR="00AC2C4F" w:rsidRPr="006D3AEB" w:rsidRDefault="00AC2C4F" w:rsidP="005F2E4B">
            <w:pPr>
              <w:spacing w:line="256" w:lineRule="auto"/>
              <w:jc w:val="right"/>
              <w:rPr>
                <w:rFonts w:cs="Arial"/>
                <w:sz w:val="20"/>
                <w:szCs w:val="20"/>
              </w:rPr>
            </w:pPr>
            <w:r w:rsidRPr="006D3AEB">
              <w:rPr>
                <w:rFonts w:eastAsia="Calibri"/>
                <w:sz w:val="20"/>
                <w:szCs w:val="20"/>
              </w:rPr>
              <w:t>11,02</w:t>
            </w:r>
          </w:p>
        </w:tc>
        <w:tc>
          <w:tcPr>
            <w:tcW w:w="1985" w:type="dxa"/>
            <w:shd w:val="clear" w:color="auto" w:fill="auto"/>
          </w:tcPr>
          <w:p w14:paraId="5E8A420E" w14:textId="77777777" w:rsidR="00AC2C4F" w:rsidRPr="006D3AEB" w:rsidRDefault="00AC2C4F" w:rsidP="005F2E4B">
            <w:pPr>
              <w:spacing w:line="256" w:lineRule="auto"/>
              <w:jc w:val="right"/>
              <w:rPr>
                <w:rFonts w:cs="Arial"/>
                <w:sz w:val="20"/>
                <w:szCs w:val="20"/>
              </w:rPr>
            </w:pPr>
            <w:r w:rsidRPr="006D3AEB">
              <w:rPr>
                <w:rFonts w:eastAsia="Calibri"/>
                <w:sz w:val="20"/>
                <w:szCs w:val="20"/>
              </w:rPr>
              <w:t>15,05</w:t>
            </w:r>
          </w:p>
        </w:tc>
        <w:tc>
          <w:tcPr>
            <w:tcW w:w="1984" w:type="dxa"/>
            <w:shd w:val="clear" w:color="auto" w:fill="auto"/>
            <w:noWrap/>
          </w:tcPr>
          <w:p w14:paraId="791508A5" w14:textId="77777777" w:rsidR="00AC2C4F" w:rsidRPr="006D3AEB" w:rsidRDefault="00AC2C4F" w:rsidP="005F2E4B">
            <w:pPr>
              <w:spacing w:line="256" w:lineRule="auto"/>
              <w:jc w:val="right"/>
              <w:rPr>
                <w:rFonts w:cs="Arial"/>
                <w:sz w:val="20"/>
                <w:szCs w:val="20"/>
              </w:rPr>
            </w:pPr>
            <w:r w:rsidRPr="006D3AEB">
              <w:rPr>
                <w:rFonts w:cs="Arial"/>
                <w:sz w:val="20"/>
                <w:szCs w:val="20"/>
              </w:rPr>
              <w:t>0,00</w:t>
            </w:r>
          </w:p>
        </w:tc>
        <w:tc>
          <w:tcPr>
            <w:tcW w:w="1843" w:type="dxa"/>
            <w:shd w:val="clear" w:color="auto" w:fill="auto"/>
            <w:noWrap/>
          </w:tcPr>
          <w:p w14:paraId="36F9A1EB" w14:textId="77777777" w:rsidR="00AC2C4F" w:rsidRPr="006D3AEB" w:rsidRDefault="00AC2C4F" w:rsidP="005F2E4B">
            <w:pPr>
              <w:spacing w:line="256" w:lineRule="auto"/>
              <w:jc w:val="right"/>
              <w:rPr>
                <w:rFonts w:cs="Arial"/>
                <w:sz w:val="20"/>
                <w:szCs w:val="20"/>
              </w:rPr>
            </w:pPr>
            <w:r w:rsidRPr="006D3AEB">
              <w:rPr>
                <w:rFonts w:cs="Arial"/>
                <w:sz w:val="20"/>
                <w:szCs w:val="20"/>
              </w:rPr>
              <w:t>0</w:t>
            </w:r>
          </w:p>
        </w:tc>
      </w:tr>
      <w:tr w:rsidR="00AC2C4F" w:rsidRPr="00053DB8" w14:paraId="230C1351" w14:textId="77777777" w:rsidTr="005F2E4B">
        <w:trPr>
          <w:trHeight w:val="300"/>
        </w:trPr>
        <w:tc>
          <w:tcPr>
            <w:tcW w:w="1134" w:type="dxa"/>
            <w:shd w:val="clear" w:color="auto" w:fill="auto"/>
          </w:tcPr>
          <w:p w14:paraId="3451EF41" w14:textId="77777777" w:rsidR="00AC2C4F" w:rsidRPr="003445C7" w:rsidRDefault="00AC2C4F" w:rsidP="005F2E4B">
            <w:pPr>
              <w:rPr>
                <w:rFonts w:eastAsia="Calibri" w:cs="Arial"/>
                <w:sz w:val="20"/>
                <w:szCs w:val="20"/>
                <w:highlight w:val="yellow"/>
              </w:rPr>
            </w:pPr>
            <w:r w:rsidRPr="00DA60ED">
              <w:rPr>
                <w:rFonts w:eastAsia="Calibri" w:cs="Arial"/>
                <w:sz w:val="20"/>
                <w:szCs w:val="20"/>
              </w:rPr>
              <w:t>NMP</w:t>
            </w:r>
          </w:p>
        </w:tc>
        <w:tc>
          <w:tcPr>
            <w:tcW w:w="1843" w:type="dxa"/>
            <w:shd w:val="clear" w:color="auto" w:fill="auto"/>
            <w:noWrap/>
          </w:tcPr>
          <w:p w14:paraId="46545DB7" w14:textId="77777777" w:rsidR="00AC2C4F" w:rsidRPr="003445C7" w:rsidRDefault="00AC2C4F" w:rsidP="005F2E4B">
            <w:pPr>
              <w:spacing w:line="256" w:lineRule="auto"/>
              <w:jc w:val="right"/>
              <w:rPr>
                <w:rFonts w:cs="Arial"/>
                <w:sz w:val="20"/>
                <w:szCs w:val="20"/>
                <w:highlight w:val="yellow"/>
              </w:rPr>
            </w:pPr>
            <w:r w:rsidRPr="001A45BE">
              <w:rPr>
                <w:rFonts w:eastAsia="Calibri"/>
                <w:sz w:val="20"/>
                <w:szCs w:val="20"/>
              </w:rPr>
              <w:t>157,6</w:t>
            </w:r>
            <w:r>
              <w:rPr>
                <w:rFonts w:eastAsia="Calibri"/>
                <w:sz w:val="20"/>
                <w:szCs w:val="20"/>
              </w:rPr>
              <w:t>0</w:t>
            </w:r>
          </w:p>
        </w:tc>
        <w:tc>
          <w:tcPr>
            <w:tcW w:w="1985" w:type="dxa"/>
            <w:shd w:val="clear" w:color="auto" w:fill="auto"/>
            <w:noWrap/>
          </w:tcPr>
          <w:p w14:paraId="2D9C0BCD" w14:textId="77777777" w:rsidR="00AC2C4F" w:rsidRPr="003445C7" w:rsidRDefault="00AC2C4F" w:rsidP="005F2E4B">
            <w:pPr>
              <w:spacing w:line="256" w:lineRule="auto"/>
              <w:jc w:val="right"/>
              <w:rPr>
                <w:rFonts w:cs="Arial"/>
                <w:sz w:val="20"/>
                <w:szCs w:val="20"/>
                <w:highlight w:val="yellow"/>
              </w:rPr>
            </w:pPr>
            <w:r w:rsidRPr="001A45BE">
              <w:rPr>
                <w:rFonts w:eastAsia="Calibri"/>
                <w:sz w:val="20"/>
                <w:szCs w:val="20"/>
              </w:rPr>
              <w:t>6,3</w:t>
            </w:r>
            <w:r>
              <w:rPr>
                <w:rFonts w:eastAsia="Calibri"/>
                <w:sz w:val="20"/>
                <w:szCs w:val="20"/>
              </w:rPr>
              <w:t>0</w:t>
            </w:r>
          </w:p>
        </w:tc>
        <w:tc>
          <w:tcPr>
            <w:tcW w:w="1984" w:type="dxa"/>
            <w:shd w:val="clear" w:color="auto" w:fill="auto"/>
          </w:tcPr>
          <w:p w14:paraId="567D748A" w14:textId="77777777" w:rsidR="00AC2C4F" w:rsidRPr="003445C7" w:rsidRDefault="00AC2C4F" w:rsidP="005F2E4B">
            <w:pPr>
              <w:spacing w:line="256" w:lineRule="auto"/>
              <w:jc w:val="right"/>
              <w:rPr>
                <w:rFonts w:cs="Arial"/>
                <w:sz w:val="20"/>
                <w:szCs w:val="20"/>
                <w:highlight w:val="yellow"/>
              </w:rPr>
            </w:pPr>
            <w:r w:rsidRPr="001A45BE">
              <w:rPr>
                <w:rFonts w:eastAsia="Calibri"/>
                <w:sz w:val="20"/>
                <w:szCs w:val="20"/>
              </w:rPr>
              <w:t>3,87</w:t>
            </w:r>
          </w:p>
        </w:tc>
        <w:tc>
          <w:tcPr>
            <w:tcW w:w="1985" w:type="dxa"/>
            <w:shd w:val="clear" w:color="auto" w:fill="auto"/>
          </w:tcPr>
          <w:p w14:paraId="25ECAD66" w14:textId="77777777" w:rsidR="00AC2C4F" w:rsidRPr="003445C7" w:rsidRDefault="00AC2C4F" w:rsidP="005F2E4B">
            <w:pPr>
              <w:spacing w:line="256" w:lineRule="auto"/>
              <w:jc w:val="right"/>
              <w:rPr>
                <w:rFonts w:cs="Arial"/>
                <w:sz w:val="20"/>
                <w:szCs w:val="20"/>
                <w:highlight w:val="yellow"/>
              </w:rPr>
            </w:pPr>
            <w:r w:rsidRPr="008A40AE">
              <w:rPr>
                <w:rFonts w:cs="Arial"/>
                <w:sz w:val="20"/>
                <w:szCs w:val="20"/>
              </w:rPr>
              <w:t>0,00</w:t>
            </w:r>
          </w:p>
        </w:tc>
        <w:tc>
          <w:tcPr>
            <w:tcW w:w="1984" w:type="dxa"/>
            <w:shd w:val="clear" w:color="auto" w:fill="auto"/>
            <w:noWrap/>
          </w:tcPr>
          <w:p w14:paraId="03C4DEAD" w14:textId="77777777" w:rsidR="00AC2C4F" w:rsidRPr="003445C7" w:rsidRDefault="00AC2C4F" w:rsidP="005F2E4B">
            <w:pPr>
              <w:spacing w:line="256" w:lineRule="auto"/>
              <w:jc w:val="right"/>
              <w:rPr>
                <w:rFonts w:cs="Arial"/>
                <w:sz w:val="20"/>
                <w:szCs w:val="20"/>
                <w:highlight w:val="yellow"/>
              </w:rPr>
            </w:pPr>
            <w:r w:rsidRPr="001A45BE">
              <w:rPr>
                <w:rFonts w:eastAsia="Calibri"/>
                <w:sz w:val="20"/>
                <w:szCs w:val="20"/>
              </w:rPr>
              <w:t>2,43</w:t>
            </w:r>
          </w:p>
        </w:tc>
        <w:tc>
          <w:tcPr>
            <w:tcW w:w="1843" w:type="dxa"/>
            <w:shd w:val="clear" w:color="auto" w:fill="auto"/>
            <w:noWrap/>
          </w:tcPr>
          <w:p w14:paraId="329F444D" w14:textId="77777777" w:rsidR="00AC2C4F" w:rsidRPr="003445C7" w:rsidRDefault="00AC2C4F" w:rsidP="005F2E4B">
            <w:pPr>
              <w:spacing w:line="256" w:lineRule="auto"/>
              <w:jc w:val="right"/>
              <w:rPr>
                <w:rFonts w:cs="Arial"/>
                <w:sz w:val="20"/>
                <w:szCs w:val="20"/>
                <w:highlight w:val="yellow"/>
              </w:rPr>
            </w:pPr>
            <w:r>
              <w:rPr>
                <w:rFonts w:eastAsia="Calibri"/>
                <w:sz w:val="20"/>
                <w:szCs w:val="20"/>
              </w:rPr>
              <w:t xml:space="preserve">257 </w:t>
            </w:r>
            <w:r w:rsidRPr="001A45BE">
              <w:rPr>
                <w:rFonts w:eastAsia="Calibri"/>
                <w:sz w:val="20"/>
                <w:szCs w:val="20"/>
              </w:rPr>
              <w:t>745</w:t>
            </w:r>
          </w:p>
        </w:tc>
      </w:tr>
      <w:tr w:rsidR="00AC2C4F" w:rsidRPr="00053DB8" w14:paraId="4AD43626" w14:textId="77777777" w:rsidTr="005F2E4B">
        <w:trPr>
          <w:trHeight w:val="300"/>
        </w:trPr>
        <w:tc>
          <w:tcPr>
            <w:tcW w:w="1134" w:type="dxa"/>
            <w:shd w:val="clear" w:color="auto" w:fill="auto"/>
          </w:tcPr>
          <w:p w14:paraId="214DDFFF" w14:textId="77777777" w:rsidR="00AC2C4F" w:rsidRPr="003445C7" w:rsidRDefault="00AC2C4F" w:rsidP="005F2E4B">
            <w:pPr>
              <w:rPr>
                <w:rFonts w:eastAsia="Calibri" w:cs="Arial"/>
                <w:sz w:val="20"/>
                <w:szCs w:val="20"/>
                <w:highlight w:val="yellow"/>
              </w:rPr>
            </w:pPr>
            <w:r w:rsidRPr="00C855CF">
              <w:rPr>
                <w:rFonts w:eastAsia="Calibri" w:cs="Arial"/>
                <w:sz w:val="20"/>
                <w:szCs w:val="20"/>
              </w:rPr>
              <w:lastRenderedPageBreak/>
              <w:t>HMT</w:t>
            </w:r>
          </w:p>
        </w:tc>
        <w:tc>
          <w:tcPr>
            <w:tcW w:w="1843" w:type="dxa"/>
            <w:shd w:val="clear" w:color="auto" w:fill="auto"/>
            <w:noWrap/>
          </w:tcPr>
          <w:p w14:paraId="4396FDBF" w14:textId="77777777" w:rsidR="00AC2C4F" w:rsidRPr="00C855CF" w:rsidRDefault="00AC2C4F" w:rsidP="005F2E4B">
            <w:pPr>
              <w:widowControl w:val="0"/>
              <w:spacing w:line="252" w:lineRule="auto"/>
              <w:jc w:val="right"/>
              <w:rPr>
                <w:rFonts w:cs="Arial"/>
                <w:sz w:val="20"/>
                <w:szCs w:val="20"/>
              </w:rPr>
            </w:pPr>
            <w:r w:rsidRPr="00C855CF">
              <w:rPr>
                <w:rFonts w:eastAsia="Calibri"/>
                <w:sz w:val="20"/>
                <w:szCs w:val="20"/>
              </w:rPr>
              <w:t>36,72</w:t>
            </w:r>
          </w:p>
        </w:tc>
        <w:tc>
          <w:tcPr>
            <w:tcW w:w="1985" w:type="dxa"/>
            <w:shd w:val="clear" w:color="auto" w:fill="auto"/>
            <w:noWrap/>
          </w:tcPr>
          <w:p w14:paraId="12916680" w14:textId="77777777" w:rsidR="00AC2C4F" w:rsidRPr="00C855CF" w:rsidRDefault="00AC2C4F" w:rsidP="005F2E4B">
            <w:pPr>
              <w:widowControl w:val="0"/>
              <w:spacing w:line="252" w:lineRule="auto"/>
              <w:jc w:val="right"/>
              <w:rPr>
                <w:rFonts w:cs="Arial"/>
                <w:sz w:val="20"/>
                <w:szCs w:val="20"/>
              </w:rPr>
            </w:pPr>
            <w:r w:rsidRPr="00C855CF">
              <w:rPr>
                <w:rFonts w:eastAsia="Calibri"/>
                <w:sz w:val="20"/>
                <w:szCs w:val="20"/>
              </w:rPr>
              <w:t>1,46</w:t>
            </w:r>
          </w:p>
        </w:tc>
        <w:tc>
          <w:tcPr>
            <w:tcW w:w="1984" w:type="dxa"/>
            <w:shd w:val="clear" w:color="auto" w:fill="auto"/>
          </w:tcPr>
          <w:p w14:paraId="6F15F55E" w14:textId="77777777" w:rsidR="00AC2C4F" w:rsidRPr="00C855CF" w:rsidRDefault="00AC2C4F" w:rsidP="005F2E4B">
            <w:pPr>
              <w:widowControl w:val="0"/>
              <w:spacing w:line="252" w:lineRule="auto"/>
              <w:jc w:val="right"/>
              <w:rPr>
                <w:rFonts w:cs="Arial"/>
                <w:sz w:val="20"/>
                <w:szCs w:val="20"/>
              </w:rPr>
            </w:pPr>
            <w:r w:rsidRPr="00C855CF">
              <w:rPr>
                <w:rFonts w:eastAsia="Calibri"/>
                <w:sz w:val="20"/>
                <w:szCs w:val="20"/>
              </w:rPr>
              <w:t>2,99</w:t>
            </w:r>
          </w:p>
        </w:tc>
        <w:tc>
          <w:tcPr>
            <w:tcW w:w="1985" w:type="dxa"/>
            <w:shd w:val="clear" w:color="auto" w:fill="auto"/>
          </w:tcPr>
          <w:p w14:paraId="3873122E" w14:textId="77777777" w:rsidR="00AC2C4F" w:rsidRPr="00C855CF" w:rsidRDefault="00AC2C4F" w:rsidP="005F2E4B">
            <w:pPr>
              <w:widowControl w:val="0"/>
              <w:spacing w:line="252" w:lineRule="auto"/>
              <w:jc w:val="right"/>
              <w:rPr>
                <w:rFonts w:cs="Arial"/>
                <w:sz w:val="20"/>
                <w:szCs w:val="20"/>
              </w:rPr>
            </w:pPr>
            <w:r w:rsidRPr="00C855CF">
              <w:rPr>
                <w:rFonts w:cs="Arial"/>
                <w:sz w:val="20"/>
                <w:szCs w:val="20"/>
              </w:rPr>
              <w:t>0,00</w:t>
            </w:r>
          </w:p>
        </w:tc>
        <w:tc>
          <w:tcPr>
            <w:tcW w:w="1984" w:type="dxa"/>
            <w:shd w:val="clear" w:color="auto" w:fill="auto"/>
            <w:noWrap/>
          </w:tcPr>
          <w:p w14:paraId="318D5271" w14:textId="77777777" w:rsidR="00AC2C4F" w:rsidRPr="00C855CF" w:rsidRDefault="00AC2C4F" w:rsidP="005F2E4B">
            <w:pPr>
              <w:widowControl w:val="0"/>
              <w:spacing w:line="252" w:lineRule="auto"/>
              <w:jc w:val="right"/>
              <w:rPr>
                <w:rFonts w:cs="Arial"/>
                <w:sz w:val="20"/>
                <w:szCs w:val="20"/>
              </w:rPr>
            </w:pPr>
            <w:r w:rsidRPr="00C855CF">
              <w:rPr>
                <w:rFonts w:cs="Arial"/>
                <w:sz w:val="20"/>
                <w:szCs w:val="20"/>
              </w:rPr>
              <w:t>0,00</w:t>
            </w:r>
          </w:p>
        </w:tc>
        <w:tc>
          <w:tcPr>
            <w:tcW w:w="1843" w:type="dxa"/>
            <w:shd w:val="clear" w:color="auto" w:fill="auto"/>
            <w:noWrap/>
          </w:tcPr>
          <w:p w14:paraId="15A089D4" w14:textId="77777777" w:rsidR="00AC2C4F" w:rsidRPr="00C855CF" w:rsidRDefault="00AC2C4F" w:rsidP="005F2E4B">
            <w:pPr>
              <w:widowControl w:val="0"/>
              <w:spacing w:line="252" w:lineRule="auto"/>
              <w:jc w:val="right"/>
              <w:rPr>
                <w:rFonts w:cs="Arial"/>
                <w:sz w:val="20"/>
                <w:szCs w:val="20"/>
              </w:rPr>
            </w:pPr>
            <w:r w:rsidRPr="00C855CF">
              <w:rPr>
                <w:rFonts w:cs="Arial"/>
                <w:sz w:val="20"/>
                <w:szCs w:val="20"/>
              </w:rPr>
              <w:t>0</w:t>
            </w:r>
          </w:p>
        </w:tc>
      </w:tr>
      <w:tr w:rsidR="00AC2C4F" w:rsidRPr="00053DB8" w14:paraId="63F218AE" w14:textId="77777777" w:rsidTr="005F2E4B">
        <w:trPr>
          <w:trHeight w:val="300"/>
        </w:trPr>
        <w:tc>
          <w:tcPr>
            <w:tcW w:w="1134" w:type="dxa"/>
            <w:shd w:val="clear" w:color="auto" w:fill="auto"/>
          </w:tcPr>
          <w:p w14:paraId="4A2E291E" w14:textId="77777777" w:rsidR="00AC2C4F" w:rsidRPr="006532AA" w:rsidRDefault="00AC2C4F" w:rsidP="005F2E4B">
            <w:pPr>
              <w:rPr>
                <w:rFonts w:eastAsia="Calibri" w:cs="Arial"/>
                <w:sz w:val="20"/>
                <w:szCs w:val="20"/>
              </w:rPr>
            </w:pPr>
            <w:r w:rsidRPr="006532AA">
              <w:rPr>
                <w:rFonts w:eastAsia="Calibri" w:cs="Arial"/>
                <w:sz w:val="20"/>
                <w:szCs w:val="20"/>
              </w:rPr>
              <w:t>NÚLK</w:t>
            </w:r>
          </w:p>
        </w:tc>
        <w:tc>
          <w:tcPr>
            <w:tcW w:w="1843" w:type="dxa"/>
            <w:shd w:val="clear" w:color="auto" w:fill="auto"/>
            <w:noWrap/>
          </w:tcPr>
          <w:p w14:paraId="67EC5184" w14:textId="77777777" w:rsidR="00AC2C4F" w:rsidRPr="006532AA" w:rsidRDefault="00AC2C4F" w:rsidP="005F2E4B">
            <w:pPr>
              <w:spacing w:line="256" w:lineRule="auto"/>
              <w:jc w:val="right"/>
              <w:rPr>
                <w:rFonts w:eastAsia="Calibri" w:cs="Arial"/>
                <w:sz w:val="20"/>
                <w:szCs w:val="20"/>
              </w:rPr>
            </w:pPr>
            <w:r w:rsidRPr="006532AA">
              <w:rPr>
                <w:rFonts w:eastAsia="Calibri"/>
                <w:sz w:val="20"/>
                <w:szCs w:val="20"/>
              </w:rPr>
              <w:t>50</w:t>
            </w:r>
          </w:p>
        </w:tc>
        <w:tc>
          <w:tcPr>
            <w:tcW w:w="1985" w:type="dxa"/>
            <w:shd w:val="clear" w:color="auto" w:fill="auto"/>
            <w:noWrap/>
          </w:tcPr>
          <w:p w14:paraId="70002B30" w14:textId="77777777" w:rsidR="00AC2C4F" w:rsidRPr="006532AA" w:rsidRDefault="00AC2C4F" w:rsidP="005F2E4B">
            <w:pPr>
              <w:spacing w:line="256" w:lineRule="auto"/>
              <w:jc w:val="right"/>
              <w:rPr>
                <w:rFonts w:eastAsia="Calibri" w:cs="Arial"/>
                <w:sz w:val="20"/>
                <w:szCs w:val="20"/>
              </w:rPr>
            </w:pPr>
            <w:r w:rsidRPr="006532AA">
              <w:rPr>
                <w:rFonts w:eastAsia="Calibri" w:cs="Arial"/>
                <w:sz w:val="20"/>
                <w:szCs w:val="20"/>
              </w:rPr>
              <w:t>2,00</w:t>
            </w:r>
          </w:p>
        </w:tc>
        <w:tc>
          <w:tcPr>
            <w:tcW w:w="1984" w:type="dxa"/>
            <w:shd w:val="clear" w:color="auto" w:fill="auto"/>
          </w:tcPr>
          <w:p w14:paraId="5185C267" w14:textId="77777777" w:rsidR="00AC2C4F" w:rsidRPr="006532AA" w:rsidRDefault="00AC2C4F" w:rsidP="005F2E4B">
            <w:pPr>
              <w:spacing w:line="256" w:lineRule="auto"/>
              <w:jc w:val="right"/>
              <w:rPr>
                <w:rFonts w:eastAsia="Calibri" w:cs="Arial"/>
                <w:sz w:val="20"/>
                <w:szCs w:val="20"/>
              </w:rPr>
            </w:pPr>
            <w:r w:rsidRPr="006532AA">
              <w:rPr>
                <w:rFonts w:eastAsia="Calibri" w:cs="Arial"/>
                <w:sz w:val="20"/>
                <w:szCs w:val="20"/>
              </w:rPr>
              <w:t>3,00</w:t>
            </w:r>
          </w:p>
        </w:tc>
        <w:tc>
          <w:tcPr>
            <w:tcW w:w="1985" w:type="dxa"/>
            <w:shd w:val="clear" w:color="auto" w:fill="auto"/>
          </w:tcPr>
          <w:p w14:paraId="137FCDE6" w14:textId="77777777" w:rsidR="00AC2C4F" w:rsidRPr="006532AA" w:rsidRDefault="00AC2C4F" w:rsidP="005F2E4B">
            <w:pPr>
              <w:spacing w:line="256" w:lineRule="auto"/>
              <w:jc w:val="right"/>
              <w:rPr>
                <w:rFonts w:eastAsia="Calibri" w:cs="Arial"/>
                <w:sz w:val="20"/>
                <w:szCs w:val="20"/>
              </w:rPr>
            </w:pPr>
            <w:r w:rsidRPr="006532AA">
              <w:rPr>
                <w:rFonts w:eastAsia="Calibri" w:cs="Arial"/>
                <w:sz w:val="20"/>
                <w:szCs w:val="20"/>
              </w:rPr>
              <w:t>0,00</w:t>
            </w:r>
          </w:p>
        </w:tc>
        <w:tc>
          <w:tcPr>
            <w:tcW w:w="1984" w:type="dxa"/>
            <w:shd w:val="clear" w:color="auto" w:fill="auto"/>
            <w:noWrap/>
          </w:tcPr>
          <w:p w14:paraId="290ABA49" w14:textId="77777777" w:rsidR="00AC2C4F" w:rsidRPr="006532AA" w:rsidRDefault="00AC2C4F" w:rsidP="005F2E4B">
            <w:pPr>
              <w:spacing w:line="256" w:lineRule="auto"/>
              <w:jc w:val="right"/>
              <w:rPr>
                <w:rFonts w:eastAsia="Calibri" w:cs="Arial"/>
                <w:sz w:val="20"/>
                <w:szCs w:val="20"/>
              </w:rPr>
            </w:pPr>
            <w:r w:rsidRPr="006532AA">
              <w:rPr>
                <w:rFonts w:eastAsia="Calibri" w:cs="Arial"/>
                <w:sz w:val="20"/>
                <w:szCs w:val="20"/>
              </w:rPr>
              <w:t>0,00</w:t>
            </w:r>
          </w:p>
        </w:tc>
        <w:tc>
          <w:tcPr>
            <w:tcW w:w="1843" w:type="dxa"/>
            <w:shd w:val="clear" w:color="auto" w:fill="auto"/>
            <w:noWrap/>
          </w:tcPr>
          <w:p w14:paraId="1B99522C" w14:textId="77777777" w:rsidR="00AC2C4F" w:rsidRPr="006532AA" w:rsidRDefault="00AC2C4F" w:rsidP="005F2E4B">
            <w:pPr>
              <w:spacing w:line="256" w:lineRule="auto"/>
              <w:jc w:val="right"/>
              <w:rPr>
                <w:rFonts w:eastAsia="Calibri" w:cs="Arial"/>
                <w:sz w:val="20"/>
                <w:szCs w:val="20"/>
              </w:rPr>
            </w:pPr>
            <w:r w:rsidRPr="006532AA">
              <w:rPr>
                <w:rFonts w:eastAsia="Calibri" w:cs="Arial"/>
                <w:sz w:val="20"/>
                <w:szCs w:val="20"/>
              </w:rPr>
              <w:t>0</w:t>
            </w:r>
          </w:p>
        </w:tc>
      </w:tr>
      <w:tr w:rsidR="00AC2C4F" w:rsidRPr="00053DB8" w14:paraId="63066D04" w14:textId="77777777" w:rsidTr="005F2E4B">
        <w:trPr>
          <w:trHeight w:val="300"/>
        </w:trPr>
        <w:tc>
          <w:tcPr>
            <w:tcW w:w="1134" w:type="dxa"/>
            <w:shd w:val="clear" w:color="auto" w:fill="auto"/>
          </w:tcPr>
          <w:p w14:paraId="59A9BBFA" w14:textId="77777777" w:rsidR="00AC2C4F" w:rsidRPr="006532AA" w:rsidRDefault="00AC2C4F" w:rsidP="005F2E4B">
            <w:pPr>
              <w:rPr>
                <w:rFonts w:eastAsia="Calibri" w:cs="Arial"/>
                <w:sz w:val="20"/>
                <w:szCs w:val="20"/>
              </w:rPr>
            </w:pPr>
            <w:r w:rsidRPr="006532AA">
              <w:rPr>
                <w:rFonts w:eastAsia="Calibri" w:cs="Arial"/>
                <w:sz w:val="20"/>
                <w:szCs w:val="20"/>
              </w:rPr>
              <w:t>NIPOS</w:t>
            </w:r>
          </w:p>
        </w:tc>
        <w:tc>
          <w:tcPr>
            <w:tcW w:w="1843" w:type="dxa"/>
            <w:shd w:val="clear" w:color="auto" w:fill="auto"/>
            <w:noWrap/>
          </w:tcPr>
          <w:p w14:paraId="5F9D4DD2" w14:textId="77777777" w:rsidR="00AC2C4F" w:rsidRPr="006532AA" w:rsidRDefault="00AC2C4F" w:rsidP="005F2E4B">
            <w:pPr>
              <w:widowControl w:val="0"/>
              <w:suppressAutoHyphens/>
              <w:jc w:val="right"/>
              <w:rPr>
                <w:rFonts w:cs="Arial"/>
                <w:sz w:val="20"/>
                <w:szCs w:val="20"/>
                <w:lang w:eastAsia="zh-CN"/>
              </w:rPr>
            </w:pPr>
            <w:r w:rsidRPr="006532AA">
              <w:rPr>
                <w:rFonts w:eastAsia="Calibri"/>
                <w:sz w:val="20"/>
                <w:szCs w:val="20"/>
              </w:rPr>
              <w:t>57,69</w:t>
            </w:r>
          </w:p>
        </w:tc>
        <w:tc>
          <w:tcPr>
            <w:tcW w:w="1985" w:type="dxa"/>
            <w:shd w:val="clear" w:color="auto" w:fill="auto"/>
            <w:noWrap/>
          </w:tcPr>
          <w:p w14:paraId="30BF4FA0" w14:textId="77777777" w:rsidR="00AC2C4F" w:rsidRPr="006532AA" w:rsidRDefault="00AC2C4F" w:rsidP="005F2E4B">
            <w:pPr>
              <w:widowControl w:val="0"/>
              <w:suppressAutoHyphens/>
              <w:jc w:val="right"/>
              <w:rPr>
                <w:rFonts w:cs="Arial"/>
                <w:sz w:val="20"/>
                <w:szCs w:val="20"/>
                <w:lang w:eastAsia="zh-CN"/>
              </w:rPr>
            </w:pPr>
            <w:r w:rsidRPr="006532AA">
              <w:rPr>
                <w:rFonts w:eastAsia="Calibri"/>
                <w:sz w:val="20"/>
                <w:szCs w:val="20"/>
              </w:rPr>
              <w:t>2,31</w:t>
            </w:r>
          </w:p>
        </w:tc>
        <w:tc>
          <w:tcPr>
            <w:tcW w:w="1984" w:type="dxa"/>
            <w:shd w:val="clear" w:color="auto" w:fill="auto"/>
          </w:tcPr>
          <w:p w14:paraId="365E7AE7" w14:textId="77777777" w:rsidR="00AC2C4F" w:rsidRPr="006532AA" w:rsidRDefault="00AC2C4F" w:rsidP="005F2E4B">
            <w:pPr>
              <w:widowControl w:val="0"/>
              <w:suppressAutoHyphens/>
              <w:jc w:val="right"/>
              <w:rPr>
                <w:rFonts w:cs="Arial"/>
                <w:sz w:val="20"/>
                <w:szCs w:val="20"/>
                <w:lang w:eastAsia="zh-CN"/>
              </w:rPr>
            </w:pPr>
            <w:r w:rsidRPr="006532AA">
              <w:rPr>
                <w:rFonts w:eastAsia="Calibri"/>
                <w:sz w:val="20"/>
                <w:szCs w:val="20"/>
              </w:rPr>
              <w:t>2,67</w:t>
            </w:r>
          </w:p>
        </w:tc>
        <w:tc>
          <w:tcPr>
            <w:tcW w:w="1985" w:type="dxa"/>
            <w:shd w:val="clear" w:color="auto" w:fill="auto"/>
          </w:tcPr>
          <w:p w14:paraId="619DB839" w14:textId="77777777" w:rsidR="00AC2C4F" w:rsidRPr="006532AA" w:rsidRDefault="00AC2C4F" w:rsidP="005F2E4B">
            <w:pPr>
              <w:widowControl w:val="0"/>
              <w:suppressAutoHyphens/>
              <w:jc w:val="right"/>
              <w:rPr>
                <w:rFonts w:cs="Arial"/>
                <w:sz w:val="20"/>
                <w:szCs w:val="20"/>
                <w:lang w:eastAsia="zh-CN"/>
              </w:rPr>
            </w:pPr>
            <w:r w:rsidRPr="006532AA">
              <w:rPr>
                <w:rFonts w:cs="Arial"/>
                <w:sz w:val="20"/>
                <w:szCs w:val="20"/>
              </w:rPr>
              <w:t>0,00</w:t>
            </w:r>
          </w:p>
        </w:tc>
        <w:tc>
          <w:tcPr>
            <w:tcW w:w="1984" w:type="dxa"/>
            <w:shd w:val="clear" w:color="auto" w:fill="auto"/>
            <w:noWrap/>
          </w:tcPr>
          <w:p w14:paraId="7AB14768" w14:textId="77777777" w:rsidR="00AC2C4F" w:rsidRPr="006532AA" w:rsidRDefault="00AC2C4F" w:rsidP="005F2E4B">
            <w:pPr>
              <w:widowControl w:val="0"/>
              <w:suppressAutoHyphens/>
              <w:jc w:val="right"/>
              <w:rPr>
                <w:rFonts w:cs="Arial"/>
                <w:sz w:val="20"/>
                <w:szCs w:val="20"/>
                <w:lang w:eastAsia="zh-CN"/>
              </w:rPr>
            </w:pPr>
            <w:r w:rsidRPr="006532AA">
              <w:rPr>
                <w:rFonts w:cs="Arial"/>
                <w:sz w:val="20"/>
                <w:szCs w:val="20"/>
              </w:rPr>
              <w:t>0,00</w:t>
            </w:r>
          </w:p>
        </w:tc>
        <w:tc>
          <w:tcPr>
            <w:tcW w:w="1843" w:type="dxa"/>
            <w:shd w:val="clear" w:color="auto" w:fill="auto"/>
            <w:noWrap/>
          </w:tcPr>
          <w:p w14:paraId="7E0D65C7" w14:textId="77777777" w:rsidR="00AC2C4F" w:rsidRPr="006532AA" w:rsidRDefault="00AC2C4F" w:rsidP="005F2E4B">
            <w:pPr>
              <w:widowControl w:val="0"/>
              <w:suppressAutoHyphens/>
              <w:jc w:val="right"/>
              <w:rPr>
                <w:rFonts w:cs="Arial"/>
                <w:sz w:val="20"/>
                <w:szCs w:val="20"/>
                <w:lang w:eastAsia="zh-CN"/>
              </w:rPr>
            </w:pPr>
            <w:r w:rsidRPr="006532AA">
              <w:rPr>
                <w:rFonts w:cs="Arial"/>
                <w:sz w:val="20"/>
                <w:szCs w:val="20"/>
                <w:lang w:eastAsia="zh-CN"/>
              </w:rPr>
              <w:t>0</w:t>
            </w:r>
          </w:p>
        </w:tc>
      </w:tr>
      <w:tr w:rsidR="00AC2C4F" w:rsidRPr="00053DB8" w14:paraId="78B66AC2" w14:textId="77777777" w:rsidTr="005F2E4B">
        <w:trPr>
          <w:trHeight w:val="300"/>
        </w:trPr>
        <w:tc>
          <w:tcPr>
            <w:tcW w:w="1134" w:type="dxa"/>
            <w:shd w:val="clear" w:color="auto" w:fill="auto"/>
          </w:tcPr>
          <w:p w14:paraId="089117AF" w14:textId="77777777" w:rsidR="00AC2C4F" w:rsidRPr="003445C7" w:rsidRDefault="00AC2C4F" w:rsidP="005F2E4B">
            <w:pPr>
              <w:rPr>
                <w:rFonts w:eastAsia="Calibri" w:cs="Arial"/>
                <w:sz w:val="20"/>
                <w:szCs w:val="20"/>
                <w:highlight w:val="yellow"/>
              </w:rPr>
            </w:pPr>
            <w:r w:rsidRPr="00677B24">
              <w:rPr>
                <w:rFonts w:eastAsia="Calibri" w:cs="Arial"/>
                <w:sz w:val="20"/>
                <w:szCs w:val="20"/>
              </w:rPr>
              <w:t>MJAK</w:t>
            </w:r>
          </w:p>
        </w:tc>
        <w:tc>
          <w:tcPr>
            <w:tcW w:w="1843" w:type="dxa"/>
            <w:shd w:val="clear" w:color="auto" w:fill="auto"/>
            <w:noWrap/>
          </w:tcPr>
          <w:p w14:paraId="41465743" w14:textId="77777777" w:rsidR="00AC2C4F" w:rsidRPr="00E744A9" w:rsidRDefault="00AC2C4F" w:rsidP="005F2E4B">
            <w:pPr>
              <w:widowControl w:val="0"/>
              <w:suppressAutoHyphens/>
              <w:jc w:val="right"/>
              <w:rPr>
                <w:rFonts w:eastAsia="Calibri" w:cs="Arial"/>
                <w:sz w:val="20"/>
                <w:szCs w:val="20"/>
              </w:rPr>
            </w:pPr>
            <w:r w:rsidRPr="00E744A9">
              <w:rPr>
                <w:rFonts w:cs="Arial"/>
                <w:sz w:val="20"/>
                <w:szCs w:val="20"/>
              </w:rPr>
              <w:t>21</w:t>
            </w:r>
          </w:p>
        </w:tc>
        <w:tc>
          <w:tcPr>
            <w:tcW w:w="1985" w:type="dxa"/>
            <w:shd w:val="clear" w:color="auto" w:fill="auto"/>
            <w:noWrap/>
          </w:tcPr>
          <w:p w14:paraId="428E7224" w14:textId="77777777" w:rsidR="00AC2C4F" w:rsidRPr="00E744A9" w:rsidRDefault="00AC2C4F" w:rsidP="005F2E4B">
            <w:pPr>
              <w:widowControl w:val="0"/>
              <w:suppressAutoHyphens/>
              <w:jc w:val="right"/>
              <w:rPr>
                <w:rFonts w:eastAsia="Calibri" w:cs="Arial"/>
                <w:sz w:val="20"/>
                <w:szCs w:val="20"/>
              </w:rPr>
            </w:pPr>
            <w:r w:rsidRPr="00E744A9">
              <w:rPr>
                <w:rFonts w:cs="Arial"/>
                <w:sz w:val="20"/>
                <w:szCs w:val="20"/>
              </w:rPr>
              <w:t>0,00</w:t>
            </w:r>
          </w:p>
        </w:tc>
        <w:tc>
          <w:tcPr>
            <w:tcW w:w="1984" w:type="dxa"/>
            <w:shd w:val="clear" w:color="auto" w:fill="auto"/>
          </w:tcPr>
          <w:p w14:paraId="6DBDAFE2" w14:textId="77777777" w:rsidR="00AC2C4F" w:rsidRPr="00E744A9" w:rsidRDefault="00AC2C4F" w:rsidP="005F2E4B">
            <w:pPr>
              <w:widowControl w:val="0"/>
              <w:suppressAutoHyphens/>
              <w:jc w:val="right"/>
              <w:rPr>
                <w:rFonts w:eastAsia="Calibri" w:cs="Arial"/>
                <w:sz w:val="20"/>
                <w:szCs w:val="20"/>
              </w:rPr>
            </w:pPr>
            <w:r w:rsidRPr="00E744A9">
              <w:rPr>
                <w:rFonts w:cs="Arial"/>
                <w:sz w:val="20"/>
                <w:szCs w:val="20"/>
              </w:rPr>
              <w:t>0,00</w:t>
            </w:r>
          </w:p>
        </w:tc>
        <w:tc>
          <w:tcPr>
            <w:tcW w:w="1985" w:type="dxa"/>
            <w:shd w:val="clear" w:color="auto" w:fill="auto"/>
          </w:tcPr>
          <w:p w14:paraId="21116505" w14:textId="77777777" w:rsidR="00AC2C4F" w:rsidRPr="00E744A9" w:rsidRDefault="00AC2C4F" w:rsidP="005F2E4B">
            <w:pPr>
              <w:widowControl w:val="0"/>
              <w:suppressAutoHyphens/>
              <w:jc w:val="right"/>
              <w:rPr>
                <w:rFonts w:cs="Arial"/>
                <w:sz w:val="20"/>
                <w:szCs w:val="20"/>
                <w:lang w:eastAsia="zh-CN"/>
              </w:rPr>
            </w:pPr>
            <w:r w:rsidRPr="00E744A9">
              <w:rPr>
                <w:rFonts w:cs="Arial"/>
                <w:sz w:val="20"/>
                <w:szCs w:val="20"/>
              </w:rPr>
              <w:t>0,00</w:t>
            </w:r>
          </w:p>
        </w:tc>
        <w:tc>
          <w:tcPr>
            <w:tcW w:w="1984" w:type="dxa"/>
            <w:shd w:val="clear" w:color="auto" w:fill="auto"/>
            <w:noWrap/>
          </w:tcPr>
          <w:p w14:paraId="335D244B" w14:textId="77777777" w:rsidR="00AC2C4F" w:rsidRPr="00E744A9" w:rsidRDefault="00AC2C4F" w:rsidP="005F2E4B">
            <w:pPr>
              <w:widowControl w:val="0"/>
              <w:suppressAutoHyphens/>
              <w:jc w:val="right"/>
              <w:rPr>
                <w:rFonts w:cs="Arial"/>
                <w:sz w:val="20"/>
                <w:szCs w:val="20"/>
                <w:lang w:eastAsia="zh-CN"/>
              </w:rPr>
            </w:pPr>
            <w:r w:rsidRPr="00E744A9">
              <w:rPr>
                <w:rFonts w:cs="Arial"/>
                <w:sz w:val="20"/>
                <w:szCs w:val="20"/>
              </w:rPr>
              <w:t>0,00</w:t>
            </w:r>
          </w:p>
        </w:tc>
        <w:tc>
          <w:tcPr>
            <w:tcW w:w="1843" w:type="dxa"/>
            <w:shd w:val="clear" w:color="auto" w:fill="auto"/>
            <w:noWrap/>
          </w:tcPr>
          <w:p w14:paraId="174622EC" w14:textId="77777777" w:rsidR="00AC2C4F" w:rsidRPr="00E744A9" w:rsidRDefault="00AC2C4F" w:rsidP="005F2E4B">
            <w:pPr>
              <w:widowControl w:val="0"/>
              <w:suppressAutoHyphens/>
              <w:jc w:val="right"/>
              <w:rPr>
                <w:rFonts w:cs="Arial"/>
                <w:sz w:val="20"/>
                <w:szCs w:val="20"/>
                <w:lang w:eastAsia="zh-CN"/>
              </w:rPr>
            </w:pPr>
            <w:r w:rsidRPr="00E744A9">
              <w:rPr>
                <w:rFonts w:cs="Arial"/>
                <w:sz w:val="20"/>
                <w:szCs w:val="20"/>
                <w:lang w:eastAsia="zh-CN"/>
              </w:rPr>
              <w:t>0</w:t>
            </w:r>
          </w:p>
        </w:tc>
      </w:tr>
      <w:tr w:rsidR="00AC2C4F" w:rsidRPr="00053DB8" w14:paraId="00D53E79" w14:textId="77777777" w:rsidTr="005F2E4B">
        <w:trPr>
          <w:trHeight w:val="300"/>
        </w:trPr>
        <w:tc>
          <w:tcPr>
            <w:tcW w:w="1134" w:type="dxa"/>
            <w:shd w:val="clear" w:color="auto" w:fill="auto"/>
          </w:tcPr>
          <w:p w14:paraId="092A8912" w14:textId="77777777" w:rsidR="00AC2C4F" w:rsidRPr="003445C7" w:rsidRDefault="00AC2C4F" w:rsidP="005F2E4B">
            <w:pPr>
              <w:rPr>
                <w:rFonts w:eastAsia="Calibri" w:cs="Arial"/>
                <w:sz w:val="20"/>
                <w:szCs w:val="20"/>
                <w:highlight w:val="yellow"/>
              </w:rPr>
            </w:pPr>
            <w:r w:rsidRPr="009E642A">
              <w:rPr>
                <w:rFonts w:eastAsia="Calibri" w:cs="Arial"/>
                <w:sz w:val="20"/>
                <w:szCs w:val="20"/>
              </w:rPr>
              <w:t>MRK</w:t>
            </w:r>
          </w:p>
        </w:tc>
        <w:tc>
          <w:tcPr>
            <w:tcW w:w="1843" w:type="dxa"/>
            <w:shd w:val="clear" w:color="auto" w:fill="auto"/>
            <w:noWrap/>
          </w:tcPr>
          <w:p w14:paraId="3FD91CEE" w14:textId="77777777" w:rsidR="00AC2C4F" w:rsidRPr="009E642A" w:rsidRDefault="00AC2C4F" w:rsidP="005F2E4B">
            <w:pPr>
              <w:widowControl w:val="0"/>
              <w:suppressAutoHyphens/>
              <w:jc w:val="right"/>
              <w:rPr>
                <w:rFonts w:cs="Arial"/>
                <w:sz w:val="20"/>
                <w:szCs w:val="20"/>
              </w:rPr>
            </w:pPr>
            <w:r w:rsidRPr="009E642A">
              <w:rPr>
                <w:rFonts w:eastAsia="Calibri"/>
                <w:sz w:val="20"/>
                <w:szCs w:val="20"/>
              </w:rPr>
              <w:t>37,72</w:t>
            </w:r>
          </w:p>
        </w:tc>
        <w:tc>
          <w:tcPr>
            <w:tcW w:w="1985" w:type="dxa"/>
            <w:shd w:val="clear" w:color="auto" w:fill="auto"/>
            <w:noWrap/>
          </w:tcPr>
          <w:p w14:paraId="0737A271" w14:textId="77777777" w:rsidR="00AC2C4F" w:rsidRPr="009E642A" w:rsidRDefault="00AC2C4F" w:rsidP="005F2E4B">
            <w:pPr>
              <w:widowControl w:val="0"/>
              <w:suppressAutoHyphens/>
              <w:jc w:val="right"/>
              <w:rPr>
                <w:rFonts w:eastAsia="Calibri" w:cs="Arial"/>
                <w:sz w:val="20"/>
                <w:szCs w:val="20"/>
              </w:rPr>
            </w:pPr>
            <w:r w:rsidRPr="009E642A">
              <w:rPr>
                <w:rFonts w:eastAsia="Calibri"/>
                <w:sz w:val="20"/>
                <w:szCs w:val="20"/>
              </w:rPr>
              <w:t>1,50</w:t>
            </w:r>
          </w:p>
        </w:tc>
        <w:tc>
          <w:tcPr>
            <w:tcW w:w="1984" w:type="dxa"/>
            <w:shd w:val="clear" w:color="auto" w:fill="auto"/>
          </w:tcPr>
          <w:p w14:paraId="7C5F8391" w14:textId="77777777" w:rsidR="00AC2C4F" w:rsidRPr="009E642A" w:rsidRDefault="00AC2C4F" w:rsidP="005F2E4B">
            <w:pPr>
              <w:widowControl w:val="0"/>
              <w:suppressAutoHyphens/>
              <w:jc w:val="right"/>
              <w:rPr>
                <w:rFonts w:eastAsia="Calibri" w:cs="Arial"/>
                <w:sz w:val="20"/>
                <w:szCs w:val="20"/>
              </w:rPr>
            </w:pPr>
            <w:r w:rsidRPr="009E642A">
              <w:rPr>
                <w:rFonts w:eastAsia="Calibri"/>
                <w:sz w:val="20"/>
                <w:szCs w:val="20"/>
              </w:rPr>
              <w:t>4,00</w:t>
            </w:r>
          </w:p>
        </w:tc>
        <w:tc>
          <w:tcPr>
            <w:tcW w:w="1985" w:type="dxa"/>
            <w:shd w:val="clear" w:color="auto" w:fill="auto"/>
          </w:tcPr>
          <w:p w14:paraId="77474C8E" w14:textId="77777777" w:rsidR="00AC2C4F" w:rsidRPr="009E642A" w:rsidRDefault="00AC2C4F" w:rsidP="005F2E4B">
            <w:pPr>
              <w:widowControl w:val="0"/>
              <w:suppressAutoHyphens/>
              <w:jc w:val="right"/>
              <w:rPr>
                <w:rFonts w:cs="Arial"/>
                <w:sz w:val="20"/>
                <w:szCs w:val="20"/>
                <w:lang w:eastAsia="zh-CN"/>
              </w:rPr>
            </w:pPr>
            <w:r w:rsidRPr="009E642A">
              <w:rPr>
                <w:rFonts w:cs="Arial"/>
                <w:sz w:val="20"/>
                <w:szCs w:val="20"/>
              </w:rPr>
              <w:t>0,00</w:t>
            </w:r>
          </w:p>
        </w:tc>
        <w:tc>
          <w:tcPr>
            <w:tcW w:w="1984" w:type="dxa"/>
            <w:shd w:val="clear" w:color="auto" w:fill="auto"/>
            <w:noWrap/>
          </w:tcPr>
          <w:p w14:paraId="0550DF99" w14:textId="77777777" w:rsidR="00AC2C4F" w:rsidRPr="009E642A" w:rsidRDefault="00AC2C4F" w:rsidP="005F2E4B">
            <w:pPr>
              <w:widowControl w:val="0"/>
              <w:suppressAutoHyphens/>
              <w:jc w:val="right"/>
              <w:rPr>
                <w:rFonts w:cs="Arial"/>
                <w:sz w:val="20"/>
                <w:szCs w:val="20"/>
                <w:lang w:eastAsia="zh-CN"/>
              </w:rPr>
            </w:pPr>
            <w:r w:rsidRPr="009E642A">
              <w:rPr>
                <w:rFonts w:cs="Arial"/>
                <w:sz w:val="20"/>
                <w:szCs w:val="20"/>
              </w:rPr>
              <w:t>0,00</w:t>
            </w:r>
          </w:p>
        </w:tc>
        <w:tc>
          <w:tcPr>
            <w:tcW w:w="1843" w:type="dxa"/>
            <w:shd w:val="clear" w:color="auto" w:fill="auto"/>
            <w:noWrap/>
          </w:tcPr>
          <w:p w14:paraId="0A9E9560" w14:textId="77777777" w:rsidR="00AC2C4F" w:rsidRPr="009E642A" w:rsidRDefault="00AC2C4F" w:rsidP="005F2E4B">
            <w:pPr>
              <w:widowControl w:val="0"/>
              <w:suppressAutoHyphens/>
              <w:jc w:val="right"/>
              <w:rPr>
                <w:rFonts w:cs="Arial"/>
                <w:sz w:val="20"/>
                <w:szCs w:val="20"/>
                <w:lang w:eastAsia="zh-CN"/>
              </w:rPr>
            </w:pPr>
            <w:r w:rsidRPr="009E642A">
              <w:rPr>
                <w:rFonts w:cs="Arial"/>
                <w:sz w:val="20"/>
                <w:szCs w:val="20"/>
                <w:lang w:eastAsia="zh-CN"/>
              </w:rPr>
              <w:t>0</w:t>
            </w:r>
          </w:p>
        </w:tc>
      </w:tr>
      <w:tr w:rsidR="00AC2C4F" w:rsidRPr="00053DB8" w14:paraId="7CD3F50B" w14:textId="77777777" w:rsidTr="005F2E4B">
        <w:trPr>
          <w:trHeight w:val="300"/>
        </w:trPr>
        <w:tc>
          <w:tcPr>
            <w:tcW w:w="1134" w:type="dxa"/>
            <w:shd w:val="clear" w:color="auto" w:fill="auto"/>
          </w:tcPr>
          <w:p w14:paraId="0FCA5D16" w14:textId="77777777" w:rsidR="00AC2C4F" w:rsidRPr="003445C7" w:rsidRDefault="00AC2C4F" w:rsidP="005F2E4B">
            <w:pPr>
              <w:rPr>
                <w:rFonts w:eastAsia="Calibri" w:cs="Arial"/>
                <w:sz w:val="20"/>
                <w:szCs w:val="20"/>
                <w:highlight w:val="yellow"/>
              </w:rPr>
            </w:pPr>
            <w:r w:rsidRPr="00883FB1">
              <w:rPr>
                <w:rFonts w:eastAsia="Calibri" w:cs="Arial"/>
                <w:sz w:val="20"/>
                <w:szCs w:val="20"/>
              </w:rPr>
              <w:t>MLK</w:t>
            </w:r>
          </w:p>
        </w:tc>
        <w:tc>
          <w:tcPr>
            <w:tcW w:w="1843" w:type="dxa"/>
            <w:shd w:val="clear" w:color="auto" w:fill="auto"/>
            <w:noWrap/>
          </w:tcPr>
          <w:p w14:paraId="6161C026" w14:textId="77777777" w:rsidR="00AC2C4F" w:rsidRPr="003445C7" w:rsidRDefault="00AC2C4F" w:rsidP="005F2E4B">
            <w:pPr>
              <w:widowControl w:val="0"/>
              <w:suppressAutoHyphens/>
              <w:jc w:val="right"/>
              <w:rPr>
                <w:rFonts w:cs="Arial"/>
                <w:sz w:val="20"/>
                <w:szCs w:val="20"/>
                <w:highlight w:val="yellow"/>
              </w:rPr>
            </w:pPr>
            <w:r w:rsidRPr="001A45BE">
              <w:rPr>
                <w:rFonts w:eastAsia="Calibri"/>
                <w:sz w:val="20"/>
                <w:szCs w:val="20"/>
              </w:rPr>
              <w:t>19,83</w:t>
            </w:r>
          </w:p>
        </w:tc>
        <w:tc>
          <w:tcPr>
            <w:tcW w:w="1985" w:type="dxa"/>
            <w:shd w:val="clear" w:color="auto" w:fill="auto"/>
            <w:noWrap/>
          </w:tcPr>
          <w:p w14:paraId="7E156F1E" w14:textId="77777777" w:rsidR="00AC2C4F" w:rsidRPr="00883FB1" w:rsidRDefault="00AC2C4F" w:rsidP="005F2E4B">
            <w:pPr>
              <w:widowControl w:val="0"/>
              <w:suppressAutoHyphens/>
              <w:jc w:val="right"/>
              <w:rPr>
                <w:rFonts w:cs="Arial"/>
                <w:sz w:val="20"/>
                <w:szCs w:val="20"/>
              </w:rPr>
            </w:pPr>
            <w:r w:rsidRPr="00883FB1">
              <w:rPr>
                <w:rFonts w:cs="Arial"/>
                <w:sz w:val="20"/>
                <w:szCs w:val="20"/>
              </w:rPr>
              <w:t>0,00</w:t>
            </w:r>
          </w:p>
        </w:tc>
        <w:tc>
          <w:tcPr>
            <w:tcW w:w="1984" w:type="dxa"/>
            <w:shd w:val="clear" w:color="auto" w:fill="auto"/>
          </w:tcPr>
          <w:p w14:paraId="1754DD6B" w14:textId="77777777" w:rsidR="00AC2C4F" w:rsidRPr="00883FB1" w:rsidRDefault="00AC2C4F" w:rsidP="005F2E4B">
            <w:pPr>
              <w:widowControl w:val="0"/>
              <w:suppressAutoHyphens/>
              <w:jc w:val="right"/>
              <w:rPr>
                <w:rFonts w:cs="Arial"/>
                <w:sz w:val="20"/>
                <w:szCs w:val="20"/>
              </w:rPr>
            </w:pPr>
            <w:r w:rsidRPr="00883FB1">
              <w:rPr>
                <w:rFonts w:cs="Arial"/>
                <w:sz w:val="20"/>
                <w:szCs w:val="20"/>
              </w:rPr>
              <w:t>0,00</w:t>
            </w:r>
          </w:p>
        </w:tc>
        <w:tc>
          <w:tcPr>
            <w:tcW w:w="1985" w:type="dxa"/>
            <w:shd w:val="clear" w:color="auto" w:fill="auto"/>
          </w:tcPr>
          <w:p w14:paraId="2DBF0DBE" w14:textId="77777777" w:rsidR="00AC2C4F" w:rsidRPr="00883FB1" w:rsidRDefault="00AC2C4F" w:rsidP="005F2E4B">
            <w:pPr>
              <w:widowControl w:val="0"/>
              <w:suppressAutoHyphens/>
              <w:jc w:val="right"/>
              <w:rPr>
                <w:rFonts w:cs="Arial"/>
                <w:sz w:val="20"/>
                <w:szCs w:val="20"/>
                <w:lang w:eastAsia="zh-CN"/>
              </w:rPr>
            </w:pPr>
            <w:r w:rsidRPr="00883FB1">
              <w:rPr>
                <w:rFonts w:cs="Arial"/>
                <w:sz w:val="20"/>
                <w:szCs w:val="20"/>
              </w:rPr>
              <w:t>0,00</w:t>
            </w:r>
          </w:p>
        </w:tc>
        <w:tc>
          <w:tcPr>
            <w:tcW w:w="1984" w:type="dxa"/>
            <w:shd w:val="clear" w:color="auto" w:fill="auto"/>
            <w:noWrap/>
          </w:tcPr>
          <w:p w14:paraId="157EEA86" w14:textId="77777777" w:rsidR="00AC2C4F" w:rsidRPr="00883FB1" w:rsidRDefault="00AC2C4F" w:rsidP="005F2E4B">
            <w:pPr>
              <w:widowControl w:val="0"/>
              <w:suppressAutoHyphens/>
              <w:jc w:val="right"/>
              <w:rPr>
                <w:rFonts w:cs="Arial"/>
                <w:sz w:val="20"/>
                <w:szCs w:val="20"/>
                <w:lang w:eastAsia="zh-CN"/>
              </w:rPr>
            </w:pPr>
            <w:r w:rsidRPr="00883FB1">
              <w:rPr>
                <w:rFonts w:cs="Arial"/>
                <w:sz w:val="20"/>
                <w:szCs w:val="20"/>
              </w:rPr>
              <w:t>0,00</w:t>
            </w:r>
          </w:p>
        </w:tc>
        <w:tc>
          <w:tcPr>
            <w:tcW w:w="1843" w:type="dxa"/>
            <w:shd w:val="clear" w:color="auto" w:fill="auto"/>
            <w:noWrap/>
          </w:tcPr>
          <w:p w14:paraId="40F7C882" w14:textId="77777777" w:rsidR="00AC2C4F" w:rsidRPr="00883FB1" w:rsidRDefault="00AC2C4F" w:rsidP="005F2E4B">
            <w:pPr>
              <w:widowControl w:val="0"/>
              <w:suppressAutoHyphens/>
              <w:jc w:val="right"/>
              <w:rPr>
                <w:rFonts w:cs="Arial"/>
                <w:sz w:val="20"/>
                <w:szCs w:val="20"/>
                <w:lang w:eastAsia="zh-CN"/>
              </w:rPr>
            </w:pPr>
            <w:r w:rsidRPr="00883FB1">
              <w:rPr>
                <w:rFonts w:cs="Arial"/>
                <w:sz w:val="20"/>
                <w:szCs w:val="20"/>
                <w:lang w:eastAsia="zh-CN"/>
              </w:rPr>
              <w:t>0</w:t>
            </w:r>
          </w:p>
        </w:tc>
      </w:tr>
      <w:tr w:rsidR="00AC2C4F" w:rsidRPr="00D901C5" w14:paraId="230CF7E8" w14:textId="77777777" w:rsidTr="005F2E4B">
        <w:trPr>
          <w:trHeight w:val="300"/>
        </w:trPr>
        <w:tc>
          <w:tcPr>
            <w:tcW w:w="1134" w:type="dxa"/>
            <w:shd w:val="clear" w:color="auto" w:fill="auto"/>
          </w:tcPr>
          <w:p w14:paraId="6A6CB4AF" w14:textId="77777777" w:rsidR="00AC2C4F" w:rsidRPr="003445C7" w:rsidRDefault="00AC2C4F" w:rsidP="005F2E4B">
            <w:pPr>
              <w:rPr>
                <w:rFonts w:eastAsia="Calibri" w:cs="Arial"/>
                <w:sz w:val="20"/>
                <w:szCs w:val="20"/>
                <w:highlight w:val="yellow"/>
              </w:rPr>
            </w:pPr>
            <w:r w:rsidRPr="00FE44F0">
              <w:rPr>
                <w:rFonts w:eastAsia="Calibri" w:cs="Arial"/>
                <w:sz w:val="20"/>
                <w:szCs w:val="20"/>
              </w:rPr>
              <w:t>PNP</w:t>
            </w:r>
          </w:p>
        </w:tc>
        <w:tc>
          <w:tcPr>
            <w:tcW w:w="1843" w:type="dxa"/>
            <w:shd w:val="clear" w:color="auto" w:fill="auto"/>
            <w:noWrap/>
          </w:tcPr>
          <w:p w14:paraId="675C89FE" w14:textId="77777777" w:rsidR="00AC2C4F" w:rsidRPr="003445C7" w:rsidRDefault="00AC2C4F" w:rsidP="005F2E4B">
            <w:pPr>
              <w:widowControl w:val="0"/>
              <w:suppressAutoHyphens/>
              <w:jc w:val="right"/>
              <w:rPr>
                <w:rFonts w:cs="Arial"/>
                <w:sz w:val="20"/>
                <w:szCs w:val="20"/>
                <w:highlight w:val="yellow"/>
              </w:rPr>
            </w:pPr>
            <w:r w:rsidRPr="001A45BE">
              <w:rPr>
                <w:rFonts w:eastAsia="Calibri"/>
                <w:sz w:val="20"/>
                <w:szCs w:val="20"/>
              </w:rPr>
              <w:t>81</w:t>
            </w:r>
          </w:p>
        </w:tc>
        <w:tc>
          <w:tcPr>
            <w:tcW w:w="1985" w:type="dxa"/>
            <w:shd w:val="clear" w:color="auto" w:fill="auto"/>
            <w:noWrap/>
          </w:tcPr>
          <w:p w14:paraId="6426CF1B" w14:textId="77777777" w:rsidR="00AC2C4F" w:rsidRPr="003445C7" w:rsidRDefault="00AC2C4F" w:rsidP="005F2E4B">
            <w:pPr>
              <w:widowControl w:val="0"/>
              <w:suppressAutoHyphens/>
              <w:jc w:val="right"/>
              <w:rPr>
                <w:rFonts w:cs="Arial"/>
                <w:sz w:val="20"/>
                <w:szCs w:val="20"/>
                <w:highlight w:val="yellow"/>
              </w:rPr>
            </w:pPr>
            <w:r w:rsidRPr="001A45BE">
              <w:rPr>
                <w:rFonts w:eastAsia="Calibri"/>
                <w:sz w:val="20"/>
                <w:szCs w:val="20"/>
              </w:rPr>
              <w:t>3,24</w:t>
            </w:r>
          </w:p>
        </w:tc>
        <w:tc>
          <w:tcPr>
            <w:tcW w:w="1984" w:type="dxa"/>
            <w:shd w:val="clear" w:color="auto" w:fill="auto"/>
          </w:tcPr>
          <w:p w14:paraId="3FE425FC" w14:textId="77777777" w:rsidR="00AC2C4F" w:rsidRPr="003445C7" w:rsidRDefault="00AC2C4F" w:rsidP="005F2E4B">
            <w:pPr>
              <w:widowControl w:val="0"/>
              <w:suppressAutoHyphens/>
              <w:jc w:val="right"/>
              <w:rPr>
                <w:rFonts w:cs="Arial"/>
                <w:sz w:val="20"/>
                <w:szCs w:val="20"/>
                <w:highlight w:val="yellow"/>
              </w:rPr>
            </w:pPr>
            <w:r w:rsidRPr="001A45BE">
              <w:rPr>
                <w:rFonts w:eastAsia="Calibri"/>
                <w:sz w:val="20"/>
                <w:szCs w:val="20"/>
              </w:rPr>
              <w:t>0</w:t>
            </w:r>
            <w:r>
              <w:rPr>
                <w:rFonts w:eastAsia="Calibri"/>
                <w:sz w:val="20"/>
                <w:szCs w:val="20"/>
              </w:rPr>
              <w:t>,00</w:t>
            </w:r>
          </w:p>
        </w:tc>
        <w:tc>
          <w:tcPr>
            <w:tcW w:w="1985" w:type="dxa"/>
            <w:shd w:val="clear" w:color="auto" w:fill="auto"/>
          </w:tcPr>
          <w:p w14:paraId="2E9212F5" w14:textId="77777777" w:rsidR="00AC2C4F" w:rsidRPr="003445C7" w:rsidRDefault="00AC2C4F" w:rsidP="005F2E4B">
            <w:pPr>
              <w:widowControl w:val="0"/>
              <w:suppressAutoHyphens/>
              <w:jc w:val="right"/>
              <w:rPr>
                <w:rFonts w:cs="Arial"/>
                <w:sz w:val="20"/>
                <w:szCs w:val="20"/>
                <w:highlight w:val="yellow"/>
                <w:lang w:eastAsia="zh-CN"/>
              </w:rPr>
            </w:pPr>
          </w:p>
        </w:tc>
        <w:tc>
          <w:tcPr>
            <w:tcW w:w="1984" w:type="dxa"/>
            <w:shd w:val="clear" w:color="auto" w:fill="auto"/>
            <w:noWrap/>
          </w:tcPr>
          <w:p w14:paraId="34EE15C0" w14:textId="77777777" w:rsidR="00AC2C4F" w:rsidRPr="003445C7" w:rsidRDefault="00AC2C4F" w:rsidP="005F2E4B">
            <w:pPr>
              <w:widowControl w:val="0"/>
              <w:suppressAutoHyphens/>
              <w:jc w:val="right"/>
              <w:rPr>
                <w:rFonts w:cs="Arial"/>
                <w:sz w:val="20"/>
                <w:szCs w:val="20"/>
                <w:highlight w:val="yellow"/>
                <w:lang w:eastAsia="zh-CN"/>
              </w:rPr>
            </w:pPr>
            <w:r w:rsidRPr="00883FB1">
              <w:rPr>
                <w:rFonts w:cs="Arial"/>
                <w:sz w:val="20"/>
                <w:szCs w:val="20"/>
              </w:rPr>
              <w:t>0,00</w:t>
            </w:r>
          </w:p>
        </w:tc>
        <w:tc>
          <w:tcPr>
            <w:tcW w:w="1843" w:type="dxa"/>
            <w:shd w:val="clear" w:color="auto" w:fill="auto"/>
            <w:noWrap/>
          </w:tcPr>
          <w:p w14:paraId="2CC52AF0" w14:textId="77777777" w:rsidR="00AC2C4F" w:rsidRPr="00D901C5" w:rsidRDefault="00AC2C4F" w:rsidP="005F2E4B">
            <w:pPr>
              <w:widowControl w:val="0"/>
              <w:suppressAutoHyphens/>
              <w:jc w:val="right"/>
              <w:rPr>
                <w:rFonts w:cs="Arial"/>
                <w:sz w:val="20"/>
                <w:szCs w:val="20"/>
                <w:lang w:eastAsia="zh-CN"/>
              </w:rPr>
            </w:pPr>
            <w:r w:rsidRPr="00D901C5">
              <w:rPr>
                <w:rFonts w:cs="Arial"/>
                <w:sz w:val="20"/>
                <w:szCs w:val="20"/>
                <w:lang w:eastAsia="zh-CN"/>
              </w:rPr>
              <w:t>0</w:t>
            </w:r>
          </w:p>
        </w:tc>
      </w:tr>
      <w:tr w:rsidR="00AC2C4F" w:rsidRPr="005A3BC0" w14:paraId="0463B104" w14:textId="77777777" w:rsidTr="005F2E4B">
        <w:trPr>
          <w:trHeight w:val="300"/>
        </w:trPr>
        <w:tc>
          <w:tcPr>
            <w:tcW w:w="1134" w:type="dxa"/>
            <w:shd w:val="clear" w:color="auto" w:fill="auto"/>
          </w:tcPr>
          <w:p w14:paraId="438F3408" w14:textId="77777777" w:rsidR="00AC2C4F" w:rsidRPr="003445C7" w:rsidRDefault="00AC2C4F" w:rsidP="005F2E4B">
            <w:pPr>
              <w:rPr>
                <w:rFonts w:eastAsia="Calibri" w:cs="Arial"/>
                <w:sz w:val="20"/>
                <w:szCs w:val="20"/>
                <w:highlight w:val="yellow"/>
              </w:rPr>
            </w:pPr>
            <w:r w:rsidRPr="005A3BC0">
              <w:rPr>
                <w:rFonts w:eastAsia="Calibri" w:cs="Arial"/>
                <w:sz w:val="20"/>
                <w:szCs w:val="20"/>
              </w:rPr>
              <w:t>PT</w:t>
            </w:r>
          </w:p>
        </w:tc>
        <w:tc>
          <w:tcPr>
            <w:tcW w:w="1843" w:type="dxa"/>
            <w:shd w:val="clear" w:color="auto" w:fill="auto"/>
            <w:noWrap/>
          </w:tcPr>
          <w:p w14:paraId="67CBEBF3" w14:textId="77777777" w:rsidR="00AC2C4F" w:rsidRPr="003445C7" w:rsidRDefault="00AC2C4F" w:rsidP="005F2E4B">
            <w:pPr>
              <w:widowControl w:val="0"/>
              <w:suppressAutoHyphens/>
              <w:jc w:val="right"/>
              <w:rPr>
                <w:rFonts w:cs="Arial"/>
                <w:sz w:val="20"/>
                <w:szCs w:val="20"/>
                <w:highlight w:val="yellow"/>
              </w:rPr>
            </w:pPr>
            <w:r w:rsidRPr="001A45BE">
              <w:rPr>
                <w:rFonts w:eastAsia="Calibri"/>
                <w:sz w:val="20"/>
                <w:szCs w:val="20"/>
              </w:rPr>
              <w:t>121,5</w:t>
            </w:r>
            <w:r>
              <w:rPr>
                <w:rFonts w:eastAsia="Calibri"/>
                <w:sz w:val="20"/>
                <w:szCs w:val="20"/>
              </w:rPr>
              <w:t>0</w:t>
            </w:r>
          </w:p>
        </w:tc>
        <w:tc>
          <w:tcPr>
            <w:tcW w:w="1985" w:type="dxa"/>
            <w:shd w:val="clear" w:color="auto" w:fill="auto"/>
            <w:noWrap/>
          </w:tcPr>
          <w:p w14:paraId="1527A957" w14:textId="77777777" w:rsidR="00AC2C4F" w:rsidRPr="003445C7" w:rsidRDefault="00AC2C4F" w:rsidP="005F2E4B">
            <w:pPr>
              <w:widowControl w:val="0"/>
              <w:suppressAutoHyphens/>
              <w:jc w:val="right"/>
              <w:rPr>
                <w:rFonts w:cs="Arial"/>
                <w:sz w:val="20"/>
                <w:szCs w:val="20"/>
                <w:highlight w:val="yellow"/>
              </w:rPr>
            </w:pPr>
            <w:r w:rsidRPr="001A45BE">
              <w:rPr>
                <w:rFonts w:eastAsia="Calibri"/>
                <w:sz w:val="20"/>
                <w:szCs w:val="20"/>
              </w:rPr>
              <w:t>4,86</w:t>
            </w:r>
          </w:p>
        </w:tc>
        <w:tc>
          <w:tcPr>
            <w:tcW w:w="1984" w:type="dxa"/>
            <w:shd w:val="clear" w:color="auto" w:fill="auto"/>
          </w:tcPr>
          <w:p w14:paraId="2D981CD6" w14:textId="77777777" w:rsidR="00AC2C4F" w:rsidRPr="005A3BC0" w:rsidRDefault="00AC2C4F" w:rsidP="005F2E4B">
            <w:pPr>
              <w:widowControl w:val="0"/>
              <w:suppressAutoHyphens/>
              <w:jc w:val="right"/>
              <w:rPr>
                <w:rFonts w:cs="Arial"/>
                <w:sz w:val="20"/>
                <w:szCs w:val="20"/>
              </w:rPr>
            </w:pPr>
            <w:r w:rsidRPr="005A3BC0">
              <w:rPr>
                <w:rFonts w:eastAsia="Calibri"/>
                <w:sz w:val="20"/>
                <w:szCs w:val="20"/>
              </w:rPr>
              <w:t>7,18</w:t>
            </w:r>
          </w:p>
        </w:tc>
        <w:tc>
          <w:tcPr>
            <w:tcW w:w="1985" w:type="dxa"/>
            <w:shd w:val="clear" w:color="auto" w:fill="auto"/>
          </w:tcPr>
          <w:p w14:paraId="3F971A5B" w14:textId="77777777" w:rsidR="00AC2C4F" w:rsidRPr="005A3BC0" w:rsidRDefault="00AC2C4F" w:rsidP="005F2E4B">
            <w:pPr>
              <w:widowControl w:val="0"/>
              <w:suppressAutoHyphens/>
              <w:jc w:val="right"/>
              <w:rPr>
                <w:rFonts w:cs="Arial"/>
                <w:sz w:val="20"/>
                <w:szCs w:val="20"/>
              </w:rPr>
            </w:pPr>
            <w:r w:rsidRPr="005A3BC0">
              <w:rPr>
                <w:rFonts w:cs="Arial"/>
                <w:sz w:val="20"/>
                <w:szCs w:val="20"/>
              </w:rPr>
              <w:t>0,00</w:t>
            </w:r>
          </w:p>
        </w:tc>
        <w:tc>
          <w:tcPr>
            <w:tcW w:w="1984" w:type="dxa"/>
            <w:shd w:val="clear" w:color="auto" w:fill="auto"/>
            <w:noWrap/>
          </w:tcPr>
          <w:p w14:paraId="22DADC05" w14:textId="77777777" w:rsidR="00AC2C4F" w:rsidRPr="005A3BC0" w:rsidRDefault="00AC2C4F" w:rsidP="005F2E4B">
            <w:pPr>
              <w:widowControl w:val="0"/>
              <w:suppressAutoHyphens/>
              <w:jc w:val="right"/>
              <w:rPr>
                <w:rFonts w:cs="Arial"/>
                <w:sz w:val="20"/>
                <w:szCs w:val="20"/>
                <w:lang w:eastAsia="zh-CN"/>
              </w:rPr>
            </w:pPr>
            <w:r w:rsidRPr="005A3BC0">
              <w:rPr>
                <w:rFonts w:cs="Arial"/>
                <w:sz w:val="20"/>
                <w:szCs w:val="20"/>
              </w:rPr>
              <w:t>0,00</w:t>
            </w:r>
          </w:p>
        </w:tc>
        <w:tc>
          <w:tcPr>
            <w:tcW w:w="1843" w:type="dxa"/>
            <w:shd w:val="clear" w:color="auto" w:fill="auto"/>
            <w:noWrap/>
          </w:tcPr>
          <w:p w14:paraId="41375FD1" w14:textId="77777777" w:rsidR="00AC2C4F" w:rsidRPr="005A3BC0" w:rsidRDefault="00AC2C4F" w:rsidP="005F2E4B">
            <w:pPr>
              <w:widowControl w:val="0"/>
              <w:suppressAutoHyphens/>
              <w:jc w:val="right"/>
              <w:rPr>
                <w:rFonts w:cs="Arial"/>
                <w:sz w:val="20"/>
                <w:szCs w:val="20"/>
                <w:lang w:eastAsia="zh-CN"/>
              </w:rPr>
            </w:pPr>
            <w:r w:rsidRPr="005A3BC0">
              <w:rPr>
                <w:rFonts w:cs="Arial"/>
                <w:sz w:val="20"/>
                <w:szCs w:val="20"/>
                <w:lang w:eastAsia="zh-CN"/>
              </w:rPr>
              <w:t>0</w:t>
            </w:r>
          </w:p>
        </w:tc>
      </w:tr>
      <w:tr w:rsidR="00AC2C4F" w:rsidRPr="00053DB8" w14:paraId="7436DEF0" w14:textId="77777777" w:rsidTr="005F2E4B">
        <w:trPr>
          <w:trHeight w:val="300"/>
        </w:trPr>
        <w:tc>
          <w:tcPr>
            <w:tcW w:w="1134" w:type="dxa"/>
            <w:shd w:val="clear" w:color="auto" w:fill="auto"/>
          </w:tcPr>
          <w:p w14:paraId="7F8AA2FE" w14:textId="77777777" w:rsidR="00AC2C4F" w:rsidRPr="003445C7" w:rsidRDefault="00AC2C4F" w:rsidP="005F2E4B">
            <w:pPr>
              <w:rPr>
                <w:rFonts w:eastAsia="Calibri" w:cs="Arial"/>
                <w:sz w:val="20"/>
                <w:szCs w:val="20"/>
                <w:highlight w:val="yellow"/>
              </w:rPr>
            </w:pPr>
            <w:r w:rsidRPr="005C57AB">
              <w:rPr>
                <w:rFonts w:eastAsia="Calibri" w:cs="Arial"/>
                <w:sz w:val="20"/>
                <w:szCs w:val="20"/>
              </w:rPr>
              <w:t>PL</w:t>
            </w:r>
          </w:p>
        </w:tc>
        <w:tc>
          <w:tcPr>
            <w:tcW w:w="1843" w:type="dxa"/>
            <w:shd w:val="clear" w:color="auto" w:fill="auto"/>
            <w:noWrap/>
          </w:tcPr>
          <w:p w14:paraId="049BE17D" w14:textId="77777777" w:rsidR="00AC2C4F" w:rsidRPr="005C57AB" w:rsidRDefault="00AC2C4F" w:rsidP="005F2E4B">
            <w:pPr>
              <w:widowControl w:val="0"/>
              <w:suppressAutoHyphens/>
              <w:jc w:val="right"/>
              <w:rPr>
                <w:rFonts w:cs="Arial"/>
                <w:sz w:val="20"/>
                <w:szCs w:val="20"/>
              </w:rPr>
            </w:pPr>
            <w:r w:rsidRPr="005C57AB">
              <w:rPr>
                <w:rFonts w:cs="Arial"/>
                <w:sz w:val="20"/>
                <w:szCs w:val="20"/>
              </w:rPr>
              <w:t>24</w:t>
            </w:r>
          </w:p>
        </w:tc>
        <w:tc>
          <w:tcPr>
            <w:tcW w:w="1985" w:type="dxa"/>
            <w:shd w:val="clear" w:color="auto" w:fill="auto"/>
            <w:noWrap/>
          </w:tcPr>
          <w:p w14:paraId="6B262B95" w14:textId="77777777" w:rsidR="00AC2C4F" w:rsidRPr="005C57AB" w:rsidRDefault="00AC2C4F" w:rsidP="005F2E4B">
            <w:pPr>
              <w:widowControl w:val="0"/>
              <w:suppressAutoHyphens/>
              <w:jc w:val="right"/>
              <w:rPr>
                <w:rFonts w:cs="Arial"/>
                <w:sz w:val="20"/>
                <w:szCs w:val="20"/>
              </w:rPr>
            </w:pPr>
            <w:r w:rsidRPr="005C57AB">
              <w:rPr>
                <w:rFonts w:cs="Arial"/>
                <w:sz w:val="20"/>
                <w:szCs w:val="20"/>
              </w:rPr>
              <w:t>0,96</w:t>
            </w:r>
          </w:p>
        </w:tc>
        <w:tc>
          <w:tcPr>
            <w:tcW w:w="1984" w:type="dxa"/>
            <w:shd w:val="clear" w:color="auto" w:fill="auto"/>
          </w:tcPr>
          <w:p w14:paraId="3262F5A8" w14:textId="77777777" w:rsidR="00AC2C4F" w:rsidRPr="005C57AB" w:rsidRDefault="00AC2C4F" w:rsidP="005F2E4B">
            <w:pPr>
              <w:widowControl w:val="0"/>
              <w:suppressAutoHyphens/>
              <w:jc w:val="right"/>
              <w:rPr>
                <w:rFonts w:cs="Arial"/>
                <w:sz w:val="20"/>
                <w:szCs w:val="20"/>
              </w:rPr>
            </w:pPr>
            <w:r w:rsidRPr="005C57AB">
              <w:rPr>
                <w:rFonts w:cs="Arial"/>
                <w:sz w:val="20"/>
                <w:szCs w:val="20"/>
              </w:rPr>
              <w:t>3</w:t>
            </w:r>
          </w:p>
        </w:tc>
        <w:tc>
          <w:tcPr>
            <w:tcW w:w="1985" w:type="dxa"/>
            <w:shd w:val="clear" w:color="auto" w:fill="auto"/>
          </w:tcPr>
          <w:p w14:paraId="1976F1B2" w14:textId="77777777" w:rsidR="00AC2C4F" w:rsidRPr="005C57AB" w:rsidRDefault="00AC2C4F" w:rsidP="005F2E4B">
            <w:pPr>
              <w:widowControl w:val="0"/>
              <w:suppressAutoHyphens/>
              <w:jc w:val="right"/>
              <w:rPr>
                <w:rFonts w:cs="Arial"/>
                <w:sz w:val="20"/>
                <w:szCs w:val="20"/>
              </w:rPr>
            </w:pPr>
            <w:r w:rsidRPr="005C57AB">
              <w:rPr>
                <w:rFonts w:cs="Arial"/>
                <w:sz w:val="20"/>
                <w:szCs w:val="20"/>
              </w:rPr>
              <w:t>0,00</w:t>
            </w:r>
          </w:p>
        </w:tc>
        <w:tc>
          <w:tcPr>
            <w:tcW w:w="1984" w:type="dxa"/>
            <w:shd w:val="clear" w:color="auto" w:fill="auto"/>
            <w:noWrap/>
          </w:tcPr>
          <w:p w14:paraId="0322EDF8" w14:textId="77777777" w:rsidR="00AC2C4F" w:rsidRPr="005C57AB" w:rsidRDefault="00AC2C4F" w:rsidP="005F2E4B">
            <w:pPr>
              <w:widowControl w:val="0"/>
              <w:suppressAutoHyphens/>
              <w:jc w:val="right"/>
              <w:rPr>
                <w:rFonts w:cs="Arial"/>
                <w:sz w:val="20"/>
                <w:szCs w:val="20"/>
                <w:lang w:eastAsia="zh-CN"/>
              </w:rPr>
            </w:pPr>
            <w:r w:rsidRPr="005C57AB">
              <w:rPr>
                <w:rFonts w:cs="Arial"/>
                <w:sz w:val="20"/>
                <w:szCs w:val="20"/>
              </w:rPr>
              <w:t>0,00</w:t>
            </w:r>
          </w:p>
        </w:tc>
        <w:tc>
          <w:tcPr>
            <w:tcW w:w="1843" w:type="dxa"/>
            <w:shd w:val="clear" w:color="auto" w:fill="auto"/>
            <w:noWrap/>
          </w:tcPr>
          <w:p w14:paraId="6E0FEE53" w14:textId="77777777" w:rsidR="00AC2C4F" w:rsidRPr="005C57AB" w:rsidRDefault="00AC2C4F" w:rsidP="005F2E4B">
            <w:pPr>
              <w:widowControl w:val="0"/>
              <w:suppressAutoHyphens/>
              <w:jc w:val="right"/>
              <w:rPr>
                <w:rFonts w:cs="Arial"/>
                <w:sz w:val="20"/>
                <w:szCs w:val="20"/>
                <w:lang w:eastAsia="zh-CN"/>
              </w:rPr>
            </w:pPr>
            <w:r w:rsidRPr="005C57AB">
              <w:rPr>
                <w:rFonts w:cs="Arial"/>
                <w:sz w:val="20"/>
                <w:szCs w:val="20"/>
                <w:lang w:eastAsia="zh-CN"/>
              </w:rPr>
              <w:t>0</w:t>
            </w:r>
          </w:p>
        </w:tc>
      </w:tr>
      <w:tr w:rsidR="00AC2C4F" w:rsidRPr="00053DB8" w14:paraId="064206F1" w14:textId="77777777" w:rsidTr="005F2E4B">
        <w:trPr>
          <w:trHeight w:val="300"/>
        </w:trPr>
        <w:tc>
          <w:tcPr>
            <w:tcW w:w="1134" w:type="dxa"/>
            <w:shd w:val="clear" w:color="auto" w:fill="auto"/>
          </w:tcPr>
          <w:p w14:paraId="7813869C" w14:textId="77777777" w:rsidR="00AC2C4F" w:rsidRPr="005C57AB" w:rsidRDefault="00AC2C4F" w:rsidP="005F2E4B">
            <w:pPr>
              <w:rPr>
                <w:rFonts w:eastAsia="Calibri" w:cs="Arial"/>
                <w:sz w:val="20"/>
                <w:szCs w:val="20"/>
              </w:rPr>
            </w:pPr>
            <w:r>
              <w:rPr>
                <w:rFonts w:eastAsia="Calibri" w:cs="Arial"/>
                <w:sz w:val="20"/>
                <w:szCs w:val="20"/>
              </w:rPr>
              <w:t>NTM</w:t>
            </w:r>
          </w:p>
        </w:tc>
        <w:tc>
          <w:tcPr>
            <w:tcW w:w="1843" w:type="dxa"/>
            <w:shd w:val="clear" w:color="auto" w:fill="auto"/>
            <w:noWrap/>
          </w:tcPr>
          <w:p w14:paraId="201FFE64" w14:textId="77777777" w:rsidR="00AC2C4F" w:rsidRPr="005C57AB" w:rsidRDefault="00AC2C4F" w:rsidP="005F2E4B">
            <w:pPr>
              <w:widowControl w:val="0"/>
              <w:suppressAutoHyphens/>
              <w:jc w:val="right"/>
              <w:rPr>
                <w:rFonts w:cs="Arial"/>
                <w:sz w:val="20"/>
                <w:szCs w:val="20"/>
              </w:rPr>
            </w:pPr>
            <w:r w:rsidRPr="001A45BE">
              <w:rPr>
                <w:rFonts w:eastAsia="Calibri"/>
                <w:sz w:val="20"/>
                <w:szCs w:val="20"/>
              </w:rPr>
              <w:t>134</w:t>
            </w:r>
          </w:p>
        </w:tc>
        <w:tc>
          <w:tcPr>
            <w:tcW w:w="1985" w:type="dxa"/>
            <w:shd w:val="clear" w:color="auto" w:fill="auto"/>
            <w:noWrap/>
          </w:tcPr>
          <w:p w14:paraId="066F1594" w14:textId="77777777" w:rsidR="00AC2C4F" w:rsidRPr="005C57AB" w:rsidRDefault="00AC2C4F" w:rsidP="005F2E4B">
            <w:pPr>
              <w:widowControl w:val="0"/>
              <w:suppressAutoHyphens/>
              <w:jc w:val="right"/>
              <w:rPr>
                <w:rFonts w:cs="Arial"/>
                <w:sz w:val="20"/>
                <w:szCs w:val="20"/>
              </w:rPr>
            </w:pPr>
            <w:r w:rsidRPr="001A45BE">
              <w:rPr>
                <w:rFonts w:eastAsia="Calibri"/>
                <w:sz w:val="20"/>
                <w:szCs w:val="20"/>
              </w:rPr>
              <w:t>7</w:t>
            </w:r>
            <w:r>
              <w:rPr>
                <w:rFonts w:eastAsia="Calibri"/>
                <w:sz w:val="20"/>
                <w:szCs w:val="20"/>
              </w:rPr>
              <w:t>,00</w:t>
            </w:r>
          </w:p>
        </w:tc>
        <w:tc>
          <w:tcPr>
            <w:tcW w:w="1984" w:type="dxa"/>
            <w:shd w:val="clear" w:color="auto" w:fill="auto"/>
          </w:tcPr>
          <w:p w14:paraId="6E9B7AAC" w14:textId="77777777" w:rsidR="00AC2C4F" w:rsidRPr="005C57AB" w:rsidRDefault="00AC2C4F" w:rsidP="005F2E4B">
            <w:pPr>
              <w:widowControl w:val="0"/>
              <w:suppressAutoHyphens/>
              <w:jc w:val="right"/>
              <w:rPr>
                <w:rFonts w:cs="Arial"/>
                <w:sz w:val="20"/>
                <w:szCs w:val="20"/>
              </w:rPr>
            </w:pPr>
            <w:r w:rsidRPr="001A45BE">
              <w:rPr>
                <w:rFonts w:eastAsia="Calibri"/>
                <w:sz w:val="20"/>
                <w:szCs w:val="20"/>
              </w:rPr>
              <w:t>7</w:t>
            </w:r>
            <w:r>
              <w:rPr>
                <w:rFonts w:eastAsia="Calibri"/>
                <w:sz w:val="20"/>
                <w:szCs w:val="20"/>
              </w:rPr>
              <w:t>,00</w:t>
            </w:r>
          </w:p>
        </w:tc>
        <w:tc>
          <w:tcPr>
            <w:tcW w:w="1985" w:type="dxa"/>
            <w:shd w:val="clear" w:color="auto" w:fill="auto"/>
          </w:tcPr>
          <w:p w14:paraId="5DBE0341" w14:textId="77777777" w:rsidR="00AC2C4F" w:rsidRPr="005C57AB" w:rsidRDefault="00AC2C4F" w:rsidP="005F2E4B">
            <w:pPr>
              <w:widowControl w:val="0"/>
              <w:suppressAutoHyphens/>
              <w:jc w:val="right"/>
              <w:rPr>
                <w:rFonts w:cs="Arial"/>
                <w:sz w:val="20"/>
                <w:szCs w:val="20"/>
              </w:rPr>
            </w:pPr>
            <w:r w:rsidRPr="005C57AB">
              <w:rPr>
                <w:rFonts w:cs="Arial"/>
                <w:sz w:val="20"/>
                <w:szCs w:val="20"/>
              </w:rPr>
              <w:t>0,00</w:t>
            </w:r>
          </w:p>
        </w:tc>
        <w:tc>
          <w:tcPr>
            <w:tcW w:w="1984" w:type="dxa"/>
            <w:shd w:val="clear" w:color="auto" w:fill="auto"/>
            <w:noWrap/>
          </w:tcPr>
          <w:p w14:paraId="5D8FCEAC" w14:textId="77777777" w:rsidR="00AC2C4F" w:rsidRPr="005C57AB" w:rsidRDefault="00AC2C4F" w:rsidP="005F2E4B">
            <w:pPr>
              <w:widowControl w:val="0"/>
              <w:suppressAutoHyphens/>
              <w:jc w:val="right"/>
              <w:rPr>
                <w:rFonts w:cs="Arial"/>
                <w:sz w:val="20"/>
                <w:szCs w:val="20"/>
              </w:rPr>
            </w:pPr>
            <w:r w:rsidRPr="005C57AB">
              <w:rPr>
                <w:rFonts w:cs="Arial"/>
                <w:sz w:val="20"/>
                <w:szCs w:val="20"/>
              </w:rPr>
              <w:t>0,00</w:t>
            </w:r>
          </w:p>
        </w:tc>
        <w:tc>
          <w:tcPr>
            <w:tcW w:w="1843" w:type="dxa"/>
            <w:shd w:val="clear" w:color="auto" w:fill="auto"/>
            <w:noWrap/>
          </w:tcPr>
          <w:p w14:paraId="70F87233" w14:textId="77777777" w:rsidR="00AC2C4F" w:rsidRPr="005C57AB" w:rsidRDefault="00AC2C4F" w:rsidP="005F2E4B">
            <w:pPr>
              <w:widowControl w:val="0"/>
              <w:suppressAutoHyphens/>
              <w:jc w:val="right"/>
              <w:rPr>
                <w:rFonts w:cs="Arial"/>
                <w:sz w:val="20"/>
                <w:szCs w:val="20"/>
                <w:lang w:eastAsia="zh-CN"/>
              </w:rPr>
            </w:pPr>
            <w:r>
              <w:rPr>
                <w:rFonts w:cs="Arial"/>
                <w:sz w:val="20"/>
                <w:szCs w:val="20"/>
                <w:lang w:eastAsia="zh-CN"/>
              </w:rPr>
              <w:t>0</w:t>
            </w:r>
          </w:p>
        </w:tc>
      </w:tr>
      <w:tr w:rsidR="00AC2C4F" w:rsidRPr="00053DB8" w14:paraId="435921FB" w14:textId="77777777" w:rsidTr="005F2E4B">
        <w:trPr>
          <w:trHeight w:val="300"/>
        </w:trPr>
        <w:tc>
          <w:tcPr>
            <w:tcW w:w="1134" w:type="dxa"/>
            <w:shd w:val="clear" w:color="auto" w:fill="auto"/>
          </w:tcPr>
          <w:p w14:paraId="2E10FB22" w14:textId="77777777" w:rsidR="00AC2C4F" w:rsidRPr="005C57AB" w:rsidRDefault="00AC2C4F" w:rsidP="005F2E4B">
            <w:pPr>
              <w:rPr>
                <w:rFonts w:eastAsia="Calibri" w:cs="Arial"/>
                <w:sz w:val="20"/>
                <w:szCs w:val="20"/>
              </w:rPr>
            </w:pPr>
            <w:r>
              <w:rPr>
                <w:rFonts w:eastAsia="Calibri" w:cs="Arial"/>
                <w:sz w:val="20"/>
                <w:szCs w:val="20"/>
              </w:rPr>
              <w:t>UMP</w:t>
            </w:r>
          </w:p>
        </w:tc>
        <w:tc>
          <w:tcPr>
            <w:tcW w:w="1843" w:type="dxa"/>
            <w:shd w:val="clear" w:color="auto" w:fill="auto"/>
            <w:noWrap/>
          </w:tcPr>
          <w:p w14:paraId="5C7F07F0" w14:textId="77777777" w:rsidR="00AC2C4F" w:rsidRPr="005C57AB" w:rsidRDefault="00AC2C4F" w:rsidP="005F2E4B">
            <w:pPr>
              <w:widowControl w:val="0"/>
              <w:suppressAutoHyphens/>
              <w:jc w:val="right"/>
              <w:rPr>
                <w:rFonts w:cs="Arial"/>
                <w:sz w:val="20"/>
                <w:szCs w:val="20"/>
              </w:rPr>
            </w:pPr>
            <w:r w:rsidRPr="001A45BE">
              <w:rPr>
                <w:rFonts w:eastAsia="Calibri"/>
                <w:sz w:val="20"/>
                <w:szCs w:val="20"/>
              </w:rPr>
              <w:t>89</w:t>
            </w:r>
          </w:p>
        </w:tc>
        <w:tc>
          <w:tcPr>
            <w:tcW w:w="1985" w:type="dxa"/>
            <w:shd w:val="clear" w:color="auto" w:fill="auto"/>
            <w:noWrap/>
          </w:tcPr>
          <w:p w14:paraId="1060720F" w14:textId="77777777" w:rsidR="00AC2C4F" w:rsidRPr="005C57AB" w:rsidRDefault="00AC2C4F" w:rsidP="005F2E4B">
            <w:pPr>
              <w:widowControl w:val="0"/>
              <w:suppressAutoHyphens/>
              <w:jc w:val="right"/>
              <w:rPr>
                <w:rFonts w:cs="Arial"/>
                <w:sz w:val="20"/>
                <w:szCs w:val="20"/>
              </w:rPr>
            </w:pPr>
            <w:r w:rsidRPr="001A45BE">
              <w:rPr>
                <w:rFonts w:eastAsia="Calibri"/>
                <w:sz w:val="20"/>
                <w:szCs w:val="20"/>
              </w:rPr>
              <w:t>3,56</w:t>
            </w:r>
          </w:p>
        </w:tc>
        <w:tc>
          <w:tcPr>
            <w:tcW w:w="1984" w:type="dxa"/>
            <w:shd w:val="clear" w:color="auto" w:fill="auto"/>
          </w:tcPr>
          <w:p w14:paraId="5F046431" w14:textId="77777777" w:rsidR="00AC2C4F" w:rsidRPr="005C57AB" w:rsidRDefault="00AC2C4F" w:rsidP="005F2E4B">
            <w:pPr>
              <w:widowControl w:val="0"/>
              <w:suppressAutoHyphens/>
              <w:jc w:val="right"/>
              <w:rPr>
                <w:rFonts w:cs="Arial"/>
                <w:sz w:val="20"/>
                <w:szCs w:val="20"/>
              </w:rPr>
            </w:pPr>
            <w:r w:rsidRPr="001A45BE">
              <w:rPr>
                <w:rFonts w:eastAsia="Calibri"/>
                <w:sz w:val="20"/>
                <w:szCs w:val="20"/>
              </w:rPr>
              <w:t>0</w:t>
            </w:r>
            <w:r>
              <w:rPr>
                <w:rFonts w:eastAsia="Calibri"/>
                <w:sz w:val="20"/>
                <w:szCs w:val="20"/>
              </w:rPr>
              <w:t>,00</w:t>
            </w:r>
          </w:p>
        </w:tc>
        <w:tc>
          <w:tcPr>
            <w:tcW w:w="1985" w:type="dxa"/>
            <w:shd w:val="clear" w:color="auto" w:fill="auto"/>
          </w:tcPr>
          <w:p w14:paraId="4684953A" w14:textId="77777777" w:rsidR="00AC2C4F" w:rsidRPr="005C57AB" w:rsidRDefault="00AC2C4F" w:rsidP="005F2E4B">
            <w:pPr>
              <w:widowControl w:val="0"/>
              <w:suppressAutoHyphens/>
              <w:jc w:val="right"/>
              <w:rPr>
                <w:rFonts w:cs="Arial"/>
                <w:sz w:val="20"/>
                <w:szCs w:val="20"/>
              </w:rPr>
            </w:pPr>
            <w:r w:rsidRPr="001A45BE">
              <w:rPr>
                <w:rFonts w:eastAsia="Calibri"/>
                <w:sz w:val="20"/>
                <w:szCs w:val="20"/>
              </w:rPr>
              <w:t>1,84</w:t>
            </w:r>
          </w:p>
        </w:tc>
        <w:tc>
          <w:tcPr>
            <w:tcW w:w="1984" w:type="dxa"/>
            <w:shd w:val="clear" w:color="auto" w:fill="auto"/>
            <w:noWrap/>
          </w:tcPr>
          <w:p w14:paraId="675D9B59" w14:textId="77777777" w:rsidR="00AC2C4F" w:rsidRPr="005C57AB" w:rsidRDefault="00AC2C4F" w:rsidP="005F2E4B">
            <w:pPr>
              <w:widowControl w:val="0"/>
              <w:suppressAutoHyphens/>
              <w:jc w:val="right"/>
              <w:rPr>
                <w:rFonts w:cs="Arial"/>
                <w:sz w:val="20"/>
                <w:szCs w:val="20"/>
              </w:rPr>
            </w:pPr>
            <w:r w:rsidRPr="001A45BE">
              <w:rPr>
                <w:rFonts w:eastAsia="Calibri"/>
                <w:sz w:val="20"/>
                <w:szCs w:val="20"/>
              </w:rPr>
              <w:t>1,72</w:t>
            </w:r>
          </w:p>
        </w:tc>
        <w:tc>
          <w:tcPr>
            <w:tcW w:w="1843" w:type="dxa"/>
            <w:shd w:val="clear" w:color="auto" w:fill="auto"/>
            <w:noWrap/>
          </w:tcPr>
          <w:p w14:paraId="0D1D97E7" w14:textId="77777777" w:rsidR="00AC2C4F" w:rsidRPr="005C57AB" w:rsidRDefault="00AC2C4F" w:rsidP="005F2E4B">
            <w:pPr>
              <w:widowControl w:val="0"/>
              <w:suppressAutoHyphens/>
              <w:jc w:val="right"/>
              <w:rPr>
                <w:rFonts w:cs="Arial"/>
                <w:sz w:val="20"/>
                <w:szCs w:val="20"/>
                <w:lang w:eastAsia="zh-CN"/>
              </w:rPr>
            </w:pPr>
            <w:r>
              <w:rPr>
                <w:rFonts w:eastAsia="Calibri"/>
                <w:sz w:val="20"/>
                <w:szCs w:val="20"/>
              </w:rPr>
              <w:t xml:space="preserve">73 </w:t>
            </w:r>
            <w:r w:rsidRPr="001A45BE">
              <w:rPr>
                <w:rFonts w:eastAsia="Calibri"/>
                <w:sz w:val="20"/>
                <w:szCs w:val="20"/>
              </w:rPr>
              <w:t>187</w:t>
            </w:r>
          </w:p>
        </w:tc>
      </w:tr>
      <w:tr w:rsidR="00AC2C4F" w:rsidRPr="00053DB8" w14:paraId="7641221E" w14:textId="77777777" w:rsidTr="005F2E4B">
        <w:trPr>
          <w:trHeight w:val="300"/>
        </w:trPr>
        <w:tc>
          <w:tcPr>
            <w:tcW w:w="1134" w:type="dxa"/>
            <w:shd w:val="clear" w:color="auto" w:fill="auto"/>
          </w:tcPr>
          <w:p w14:paraId="4D796257" w14:textId="77777777" w:rsidR="00AC2C4F" w:rsidRPr="005C57AB" w:rsidRDefault="00AC2C4F" w:rsidP="005F2E4B">
            <w:pPr>
              <w:rPr>
                <w:rFonts w:eastAsia="Calibri" w:cs="Arial"/>
                <w:sz w:val="20"/>
                <w:szCs w:val="20"/>
              </w:rPr>
            </w:pPr>
            <w:r>
              <w:rPr>
                <w:rFonts w:eastAsia="Calibri" w:cs="Arial"/>
                <w:sz w:val="20"/>
                <w:szCs w:val="20"/>
              </w:rPr>
              <w:t>NFA</w:t>
            </w:r>
          </w:p>
        </w:tc>
        <w:tc>
          <w:tcPr>
            <w:tcW w:w="1843" w:type="dxa"/>
            <w:shd w:val="clear" w:color="auto" w:fill="auto"/>
            <w:noWrap/>
          </w:tcPr>
          <w:p w14:paraId="44BE7A5F" w14:textId="77777777" w:rsidR="00AC2C4F" w:rsidRPr="005C57AB" w:rsidRDefault="00AC2C4F" w:rsidP="005F2E4B">
            <w:pPr>
              <w:widowControl w:val="0"/>
              <w:suppressAutoHyphens/>
              <w:jc w:val="right"/>
              <w:rPr>
                <w:rFonts w:cs="Arial"/>
                <w:sz w:val="20"/>
                <w:szCs w:val="20"/>
              </w:rPr>
            </w:pPr>
            <w:r w:rsidRPr="001A45BE">
              <w:rPr>
                <w:rFonts w:eastAsia="Calibri"/>
                <w:sz w:val="20"/>
                <w:szCs w:val="20"/>
              </w:rPr>
              <w:t>150</w:t>
            </w:r>
          </w:p>
        </w:tc>
        <w:tc>
          <w:tcPr>
            <w:tcW w:w="1985" w:type="dxa"/>
            <w:shd w:val="clear" w:color="auto" w:fill="auto"/>
            <w:noWrap/>
          </w:tcPr>
          <w:p w14:paraId="5A697563" w14:textId="77777777" w:rsidR="00AC2C4F" w:rsidRPr="005C57AB" w:rsidRDefault="00AC2C4F" w:rsidP="005F2E4B">
            <w:pPr>
              <w:widowControl w:val="0"/>
              <w:suppressAutoHyphens/>
              <w:jc w:val="right"/>
              <w:rPr>
                <w:rFonts w:cs="Arial"/>
                <w:sz w:val="20"/>
                <w:szCs w:val="20"/>
              </w:rPr>
            </w:pPr>
            <w:r w:rsidRPr="001A45BE">
              <w:rPr>
                <w:rFonts w:eastAsia="Calibri"/>
                <w:sz w:val="20"/>
                <w:szCs w:val="20"/>
              </w:rPr>
              <w:t>6</w:t>
            </w:r>
            <w:r>
              <w:rPr>
                <w:rFonts w:eastAsia="Calibri"/>
                <w:sz w:val="20"/>
                <w:szCs w:val="20"/>
              </w:rPr>
              <w:t>,00</w:t>
            </w:r>
          </w:p>
        </w:tc>
        <w:tc>
          <w:tcPr>
            <w:tcW w:w="1984" w:type="dxa"/>
            <w:shd w:val="clear" w:color="auto" w:fill="auto"/>
          </w:tcPr>
          <w:p w14:paraId="1AC93FDE" w14:textId="77777777" w:rsidR="00AC2C4F" w:rsidRPr="005C57AB" w:rsidRDefault="00AC2C4F" w:rsidP="005F2E4B">
            <w:pPr>
              <w:widowControl w:val="0"/>
              <w:suppressAutoHyphens/>
              <w:jc w:val="right"/>
              <w:rPr>
                <w:rFonts w:cs="Arial"/>
                <w:sz w:val="20"/>
                <w:szCs w:val="20"/>
              </w:rPr>
            </w:pPr>
            <w:r w:rsidRPr="001A45BE">
              <w:rPr>
                <w:rFonts w:eastAsia="Calibri"/>
                <w:sz w:val="20"/>
                <w:szCs w:val="20"/>
              </w:rPr>
              <w:t>10</w:t>
            </w:r>
            <w:r>
              <w:rPr>
                <w:rFonts w:eastAsia="Calibri"/>
                <w:sz w:val="20"/>
                <w:szCs w:val="20"/>
              </w:rPr>
              <w:t>,00</w:t>
            </w:r>
          </w:p>
        </w:tc>
        <w:tc>
          <w:tcPr>
            <w:tcW w:w="1985" w:type="dxa"/>
            <w:shd w:val="clear" w:color="auto" w:fill="auto"/>
          </w:tcPr>
          <w:p w14:paraId="35A3E684" w14:textId="77777777" w:rsidR="00AC2C4F" w:rsidRPr="005C57AB" w:rsidRDefault="00AC2C4F" w:rsidP="005F2E4B">
            <w:pPr>
              <w:widowControl w:val="0"/>
              <w:suppressAutoHyphens/>
              <w:jc w:val="right"/>
              <w:rPr>
                <w:rFonts w:cs="Arial"/>
                <w:sz w:val="20"/>
                <w:szCs w:val="20"/>
              </w:rPr>
            </w:pPr>
            <w:r w:rsidRPr="001A45BE">
              <w:rPr>
                <w:rFonts w:eastAsia="Calibri"/>
                <w:sz w:val="20"/>
                <w:szCs w:val="20"/>
              </w:rPr>
              <w:t>0</w:t>
            </w:r>
            <w:r>
              <w:rPr>
                <w:rFonts w:eastAsia="Calibri"/>
                <w:sz w:val="20"/>
                <w:szCs w:val="20"/>
              </w:rPr>
              <w:t>,00</w:t>
            </w:r>
          </w:p>
        </w:tc>
        <w:tc>
          <w:tcPr>
            <w:tcW w:w="1984" w:type="dxa"/>
            <w:shd w:val="clear" w:color="auto" w:fill="auto"/>
            <w:noWrap/>
          </w:tcPr>
          <w:p w14:paraId="6BCF18A3" w14:textId="77777777" w:rsidR="00AC2C4F" w:rsidRPr="005C57AB" w:rsidRDefault="00AC2C4F" w:rsidP="005F2E4B">
            <w:pPr>
              <w:widowControl w:val="0"/>
              <w:suppressAutoHyphens/>
              <w:jc w:val="right"/>
              <w:rPr>
                <w:rFonts w:cs="Arial"/>
                <w:sz w:val="20"/>
                <w:szCs w:val="20"/>
              </w:rPr>
            </w:pPr>
            <w:r w:rsidRPr="001A45BE">
              <w:rPr>
                <w:rFonts w:eastAsia="Calibri"/>
                <w:sz w:val="20"/>
                <w:szCs w:val="20"/>
              </w:rPr>
              <w:t>0</w:t>
            </w:r>
            <w:r>
              <w:rPr>
                <w:rFonts w:eastAsia="Calibri"/>
                <w:sz w:val="20"/>
                <w:szCs w:val="20"/>
              </w:rPr>
              <w:t>,00</w:t>
            </w:r>
          </w:p>
        </w:tc>
        <w:tc>
          <w:tcPr>
            <w:tcW w:w="1843" w:type="dxa"/>
            <w:shd w:val="clear" w:color="auto" w:fill="auto"/>
            <w:noWrap/>
          </w:tcPr>
          <w:p w14:paraId="02F11862" w14:textId="77777777" w:rsidR="00AC2C4F" w:rsidRPr="005C57AB" w:rsidRDefault="00AC2C4F" w:rsidP="005F2E4B">
            <w:pPr>
              <w:widowControl w:val="0"/>
              <w:suppressAutoHyphens/>
              <w:jc w:val="right"/>
              <w:rPr>
                <w:rFonts w:cs="Arial"/>
                <w:sz w:val="20"/>
                <w:szCs w:val="20"/>
                <w:lang w:eastAsia="zh-CN"/>
              </w:rPr>
            </w:pPr>
            <w:r>
              <w:rPr>
                <w:rFonts w:cs="Arial"/>
                <w:sz w:val="20"/>
                <w:szCs w:val="20"/>
                <w:lang w:eastAsia="zh-CN"/>
              </w:rPr>
              <w:t>0</w:t>
            </w:r>
          </w:p>
        </w:tc>
      </w:tr>
      <w:tr w:rsidR="00AC2C4F" w:rsidRPr="00053DB8" w14:paraId="1C298CC7" w14:textId="77777777" w:rsidTr="005F2E4B">
        <w:trPr>
          <w:trHeight w:val="315"/>
        </w:trPr>
        <w:tc>
          <w:tcPr>
            <w:tcW w:w="1134" w:type="dxa"/>
            <w:tcBorders>
              <w:top w:val="single" w:sz="12" w:space="0" w:color="auto"/>
              <w:bottom w:val="single" w:sz="12" w:space="0" w:color="auto"/>
            </w:tcBorders>
            <w:shd w:val="clear" w:color="auto" w:fill="auto"/>
            <w:hideMark/>
          </w:tcPr>
          <w:p w14:paraId="3BC6D3C9" w14:textId="77777777" w:rsidR="00AC2C4F" w:rsidRPr="003445C7" w:rsidRDefault="00AC2C4F" w:rsidP="005F2E4B">
            <w:pPr>
              <w:tabs>
                <w:tab w:val="left" w:pos="720"/>
              </w:tabs>
              <w:rPr>
                <w:rFonts w:cs="Arial"/>
                <w:b/>
                <w:bCs/>
                <w:sz w:val="20"/>
                <w:szCs w:val="20"/>
                <w:highlight w:val="yellow"/>
              </w:rPr>
            </w:pPr>
            <w:r w:rsidRPr="002A1B0A">
              <w:rPr>
                <w:rFonts w:cs="Arial"/>
                <w:b/>
                <w:bCs/>
                <w:sz w:val="20"/>
                <w:szCs w:val="20"/>
              </w:rPr>
              <w:t>MMR</w:t>
            </w:r>
          </w:p>
        </w:tc>
        <w:tc>
          <w:tcPr>
            <w:tcW w:w="1843" w:type="dxa"/>
            <w:tcBorders>
              <w:top w:val="single" w:sz="12" w:space="0" w:color="auto"/>
              <w:bottom w:val="single" w:sz="12" w:space="0" w:color="auto"/>
            </w:tcBorders>
            <w:shd w:val="clear" w:color="auto" w:fill="auto"/>
            <w:noWrap/>
            <w:vAlign w:val="center"/>
          </w:tcPr>
          <w:p w14:paraId="55B78C60" w14:textId="77777777" w:rsidR="00AC2C4F" w:rsidRPr="008B2BC8" w:rsidRDefault="00AC2C4F" w:rsidP="005F2E4B">
            <w:pPr>
              <w:spacing w:line="254" w:lineRule="auto"/>
              <w:jc w:val="right"/>
              <w:rPr>
                <w:rFonts w:eastAsia="Calibri" w:cs="Arial"/>
                <w:sz w:val="20"/>
                <w:szCs w:val="20"/>
                <w:highlight w:val="yellow"/>
              </w:rPr>
            </w:pPr>
            <w:r w:rsidRPr="008B2BC8">
              <w:rPr>
                <w:rFonts w:eastAsia="Calibri" w:cs="Arial"/>
                <w:sz w:val="20"/>
                <w:szCs w:val="20"/>
              </w:rPr>
              <w:t>734</w:t>
            </w:r>
          </w:p>
        </w:tc>
        <w:tc>
          <w:tcPr>
            <w:tcW w:w="1985" w:type="dxa"/>
            <w:tcBorders>
              <w:top w:val="single" w:sz="12" w:space="0" w:color="auto"/>
              <w:bottom w:val="single" w:sz="12" w:space="0" w:color="auto"/>
            </w:tcBorders>
            <w:shd w:val="clear" w:color="auto" w:fill="auto"/>
            <w:noWrap/>
            <w:vAlign w:val="center"/>
          </w:tcPr>
          <w:p w14:paraId="7D912E37" w14:textId="77777777" w:rsidR="00AC2C4F" w:rsidRPr="008B2BC8" w:rsidRDefault="00AC2C4F" w:rsidP="005F2E4B">
            <w:pPr>
              <w:spacing w:line="254" w:lineRule="auto"/>
              <w:jc w:val="right"/>
              <w:rPr>
                <w:rFonts w:eastAsia="Calibri" w:cs="Arial"/>
                <w:sz w:val="20"/>
                <w:szCs w:val="20"/>
                <w:highlight w:val="yellow"/>
              </w:rPr>
            </w:pPr>
            <w:r w:rsidRPr="008B2BC8">
              <w:rPr>
                <w:rFonts w:eastAsia="Calibri" w:cs="Arial"/>
                <w:sz w:val="20"/>
                <w:szCs w:val="20"/>
              </w:rPr>
              <w:t>29,36</w:t>
            </w:r>
          </w:p>
        </w:tc>
        <w:tc>
          <w:tcPr>
            <w:tcW w:w="1984" w:type="dxa"/>
            <w:tcBorders>
              <w:top w:val="single" w:sz="12" w:space="0" w:color="auto"/>
              <w:bottom w:val="single" w:sz="12" w:space="0" w:color="auto"/>
            </w:tcBorders>
            <w:shd w:val="clear" w:color="auto" w:fill="auto"/>
            <w:vAlign w:val="center"/>
          </w:tcPr>
          <w:p w14:paraId="45A6F109" w14:textId="77777777" w:rsidR="00AC2C4F" w:rsidRPr="008B2BC8" w:rsidRDefault="00AC2C4F" w:rsidP="005F2E4B">
            <w:pPr>
              <w:spacing w:line="254" w:lineRule="auto"/>
              <w:jc w:val="right"/>
              <w:rPr>
                <w:rFonts w:eastAsia="Calibri" w:cs="Arial"/>
                <w:sz w:val="20"/>
                <w:szCs w:val="20"/>
                <w:highlight w:val="yellow"/>
              </w:rPr>
            </w:pPr>
            <w:r w:rsidRPr="008B2BC8">
              <w:rPr>
                <w:rFonts w:eastAsia="Calibri" w:cs="Arial"/>
                <w:sz w:val="20"/>
                <w:szCs w:val="20"/>
              </w:rPr>
              <w:t>14,10</w:t>
            </w:r>
          </w:p>
        </w:tc>
        <w:tc>
          <w:tcPr>
            <w:tcW w:w="1985" w:type="dxa"/>
            <w:tcBorders>
              <w:top w:val="single" w:sz="12" w:space="0" w:color="auto"/>
              <w:bottom w:val="single" w:sz="12" w:space="0" w:color="auto"/>
            </w:tcBorders>
            <w:shd w:val="clear" w:color="auto" w:fill="auto"/>
            <w:vAlign w:val="center"/>
          </w:tcPr>
          <w:p w14:paraId="3079C641" w14:textId="77777777" w:rsidR="00AC2C4F" w:rsidRPr="008B2BC8" w:rsidRDefault="00AC2C4F" w:rsidP="005F2E4B">
            <w:pPr>
              <w:spacing w:line="254" w:lineRule="auto"/>
              <w:jc w:val="right"/>
              <w:rPr>
                <w:rFonts w:eastAsia="Calibri" w:cs="Arial"/>
                <w:sz w:val="20"/>
                <w:szCs w:val="20"/>
                <w:highlight w:val="yellow"/>
              </w:rPr>
            </w:pPr>
            <w:r w:rsidRPr="008B2BC8">
              <w:rPr>
                <w:rFonts w:eastAsia="Calibri" w:cs="Arial"/>
                <w:sz w:val="20"/>
                <w:szCs w:val="20"/>
              </w:rPr>
              <w:t>2,97</w:t>
            </w:r>
          </w:p>
        </w:tc>
        <w:tc>
          <w:tcPr>
            <w:tcW w:w="1984" w:type="dxa"/>
            <w:tcBorders>
              <w:top w:val="single" w:sz="12" w:space="0" w:color="auto"/>
              <w:bottom w:val="single" w:sz="12" w:space="0" w:color="auto"/>
            </w:tcBorders>
            <w:shd w:val="clear" w:color="auto" w:fill="auto"/>
            <w:noWrap/>
            <w:vAlign w:val="center"/>
          </w:tcPr>
          <w:p w14:paraId="4AB7793D" w14:textId="77777777" w:rsidR="00AC2C4F" w:rsidRPr="008B2BC8" w:rsidRDefault="00AC2C4F" w:rsidP="005F2E4B">
            <w:pPr>
              <w:spacing w:line="254" w:lineRule="auto"/>
              <w:jc w:val="right"/>
              <w:rPr>
                <w:rFonts w:eastAsia="Calibri" w:cs="Arial"/>
                <w:sz w:val="20"/>
                <w:szCs w:val="20"/>
                <w:highlight w:val="yellow"/>
              </w:rPr>
            </w:pPr>
            <w:r w:rsidRPr="008B2BC8">
              <w:rPr>
                <w:rFonts w:eastAsia="Calibri" w:cs="Arial"/>
                <w:sz w:val="20"/>
                <w:szCs w:val="20"/>
              </w:rPr>
              <w:t>12,29</w:t>
            </w:r>
          </w:p>
        </w:tc>
        <w:tc>
          <w:tcPr>
            <w:tcW w:w="1843" w:type="dxa"/>
            <w:tcBorders>
              <w:top w:val="single" w:sz="12" w:space="0" w:color="auto"/>
              <w:bottom w:val="single" w:sz="12" w:space="0" w:color="auto"/>
            </w:tcBorders>
            <w:shd w:val="clear" w:color="auto" w:fill="auto"/>
            <w:noWrap/>
            <w:vAlign w:val="center"/>
          </w:tcPr>
          <w:p w14:paraId="7BB2F9E4" w14:textId="77777777" w:rsidR="00AC2C4F" w:rsidRPr="008B2BC8" w:rsidRDefault="00AC2C4F" w:rsidP="005F2E4B">
            <w:pPr>
              <w:spacing w:line="254" w:lineRule="auto"/>
              <w:jc w:val="right"/>
              <w:rPr>
                <w:rFonts w:eastAsia="Calibri" w:cs="Arial"/>
                <w:sz w:val="20"/>
                <w:szCs w:val="20"/>
                <w:highlight w:val="yellow"/>
              </w:rPr>
            </w:pPr>
            <w:r w:rsidRPr="008B2BC8">
              <w:rPr>
                <w:rFonts w:eastAsia="Calibri" w:cs="Arial"/>
                <w:sz w:val="20"/>
                <w:szCs w:val="20"/>
              </w:rPr>
              <w:t>1 303 507</w:t>
            </w:r>
          </w:p>
        </w:tc>
      </w:tr>
      <w:tr w:rsidR="00AC2C4F" w:rsidRPr="00053DB8" w14:paraId="3A214499" w14:textId="77777777" w:rsidTr="005F2E4B">
        <w:trPr>
          <w:trHeight w:val="315"/>
        </w:trPr>
        <w:tc>
          <w:tcPr>
            <w:tcW w:w="1134" w:type="dxa"/>
            <w:tcBorders>
              <w:top w:val="single" w:sz="12" w:space="0" w:color="auto"/>
              <w:bottom w:val="single" w:sz="12" w:space="0" w:color="auto"/>
            </w:tcBorders>
            <w:shd w:val="clear" w:color="auto" w:fill="auto"/>
            <w:hideMark/>
          </w:tcPr>
          <w:p w14:paraId="010A65F8" w14:textId="77777777" w:rsidR="00AC2C4F" w:rsidRPr="003445C7" w:rsidRDefault="00AC2C4F" w:rsidP="005F2E4B">
            <w:pPr>
              <w:tabs>
                <w:tab w:val="left" w:pos="720"/>
              </w:tabs>
              <w:rPr>
                <w:rFonts w:cs="Arial"/>
                <w:b/>
                <w:bCs/>
                <w:sz w:val="20"/>
                <w:szCs w:val="20"/>
                <w:highlight w:val="yellow"/>
              </w:rPr>
            </w:pPr>
            <w:r w:rsidRPr="00C3231F">
              <w:rPr>
                <w:rFonts w:cs="Arial"/>
                <w:b/>
                <w:bCs/>
                <w:sz w:val="20"/>
                <w:szCs w:val="20"/>
              </w:rPr>
              <w:t>MO</w:t>
            </w:r>
          </w:p>
        </w:tc>
        <w:tc>
          <w:tcPr>
            <w:tcW w:w="1843" w:type="dxa"/>
            <w:tcBorders>
              <w:top w:val="single" w:sz="12" w:space="0" w:color="auto"/>
              <w:bottom w:val="single" w:sz="12" w:space="0" w:color="auto"/>
            </w:tcBorders>
            <w:shd w:val="clear" w:color="auto" w:fill="auto"/>
          </w:tcPr>
          <w:p w14:paraId="06F68D00" w14:textId="77777777" w:rsidR="00AC2C4F" w:rsidRPr="00C3231F" w:rsidRDefault="00AC2C4F" w:rsidP="005F2E4B">
            <w:pPr>
              <w:spacing w:line="254" w:lineRule="auto"/>
              <w:jc w:val="right"/>
              <w:rPr>
                <w:rFonts w:eastAsia="Calibri" w:cs="Arial"/>
                <w:sz w:val="20"/>
                <w:szCs w:val="20"/>
                <w:highlight w:val="yellow"/>
              </w:rPr>
            </w:pPr>
            <w:r w:rsidRPr="00C3231F">
              <w:rPr>
                <w:rFonts w:cs="Arial"/>
                <w:bCs/>
                <w:sz w:val="20"/>
                <w:szCs w:val="20"/>
              </w:rPr>
              <w:t>1</w:t>
            </w:r>
            <w:r>
              <w:rPr>
                <w:rFonts w:cs="Arial"/>
                <w:bCs/>
                <w:sz w:val="20"/>
                <w:szCs w:val="20"/>
              </w:rPr>
              <w:t xml:space="preserve"> </w:t>
            </w:r>
            <w:r w:rsidRPr="00C3231F">
              <w:rPr>
                <w:rFonts w:cs="Arial"/>
                <w:bCs/>
                <w:sz w:val="20"/>
                <w:szCs w:val="20"/>
              </w:rPr>
              <w:t>936,51</w:t>
            </w:r>
          </w:p>
        </w:tc>
        <w:tc>
          <w:tcPr>
            <w:tcW w:w="1985" w:type="dxa"/>
            <w:tcBorders>
              <w:top w:val="single" w:sz="12" w:space="0" w:color="auto"/>
              <w:bottom w:val="single" w:sz="12" w:space="0" w:color="auto"/>
            </w:tcBorders>
            <w:shd w:val="clear" w:color="auto" w:fill="auto"/>
          </w:tcPr>
          <w:p w14:paraId="3B8BEB6E" w14:textId="77777777" w:rsidR="00AC2C4F" w:rsidRPr="00C3231F" w:rsidRDefault="00AC2C4F" w:rsidP="005F2E4B">
            <w:pPr>
              <w:spacing w:line="254" w:lineRule="auto"/>
              <w:jc w:val="right"/>
              <w:rPr>
                <w:rFonts w:eastAsia="Calibri" w:cs="Arial"/>
                <w:sz w:val="20"/>
                <w:szCs w:val="20"/>
                <w:highlight w:val="yellow"/>
              </w:rPr>
            </w:pPr>
            <w:r w:rsidRPr="00C3231F">
              <w:rPr>
                <w:rFonts w:cs="Arial"/>
                <w:bCs/>
                <w:sz w:val="20"/>
                <w:szCs w:val="20"/>
              </w:rPr>
              <w:t>77,46</w:t>
            </w:r>
          </w:p>
        </w:tc>
        <w:tc>
          <w:tcPr>
            <w:tcW w:w="1984" w:type="dxa"/>
            <w:tcBorders>
              <w:top w:val="single" w:sz="12" w:space="0" w:color="auto"/>
              <w:bottom w:val="single" w:sz="12" w:space="0" w:color="auto"/>
            </w:tcBorders>
            <w:shd w:val="clear" w:color="auto" w:fill="auto"/>
          </w:tcPr>
          <w:p w14:paraId="01D3A34F" w14:textId="77777777" w:rsidR="00AC2C4F" w:rsidRPr="00C3231F" w:rsidRDefault="00AC2C4F" w:rsidP="005F2E4B">
            <w:pPr>
              <w:spacing w:line="254" w:lineRule="auto"/>
              <w:jc w:val="right"/>
              <w:rPr>
                <w:rFonts w:eastAsia="Calibri" w:cs="Arial"/>
                <w:sz w:val="20"/>
                <w:szCs w:val="20"/>
                <w:highlight w:val="yellow"/>
              </w:rPr>
            </w:pPr>
            <w:r w:rsidRPr="00C3231F">
              <w:rPr>
                <w:rFonts w:cs="Arial"/>
                <w:bCs/>
                <w:sz w:val="20"/>
                <w:szCs w:val="20"/>
              </w:rPr>
              <w:t>21,44</w:t>
            </w:r>
          </w:p>
        </w:tc>
        <w:tc>
          <w:tcPr>
            <w:tcW w:w="1985" w:type="dxa"/>
            <w:tcBorders>
              <w:top w:val="single" w:sz="12" w:space="0" w:color="auto"/>
              <w:bottom w:val="single" w:sz="12" w:space="0" w:color="auto"/>
            </w:tcBorders>
            <w:shd w:val="clear" w:color="auto" w:fill="auto"/>
          </w:tcPr>
          <w:p w14:paraId="2F2CBC4E" w14:textId="77777777" w:rsidR="00AC2C4F" w:rsidRPr="00C3231F" w:rsidRDefault="00AC2C4F" w:rsidP="005F2E4B">
            <w:pPr>
              <w:spacing w:line="254" w:lineRule="auto"/>
              <w:jc w:val="right"/>
              <w:rPr>
                <w:rFonts w:eastAsia="Calibri" w:cs="Arial"/>
                <w:sz w:val="20"/>
                <w:szCs w:val="20"/>
                <w:highlight w:val="yellow"/>
              </w:rPr>
            </w:pPr>
            <w:r w:rsidRPr="00C3231F">
              <w:rPr>
                <w:rFonts w:cs="Arial"/>
                <w:bCs/>
                <w:sz w:val="20"/>
                <w:szCs w:val="20"/>
              </w:rPr>
              <w:t>16,87</w:t>
            </w:r>
          </w:p>
        </w:tc>
        <w:tc>
          <w:tcPr>
            <w:tcW w:w="1984" w:type="dxa"/>
            <w:tcBorders>
              <w:top w:val="single" w:sz="12" w:space="0" w:color="auto"/>
              <w:bottom w:val="single" w:sz="12" w:space="0" w:color="auto"/>
            </w:tcBorders>
            <w:shd w:val="clear" w:color="auto" w:fill="auto"/>
          </w:tcPr>
          <w:p w14:paraId="6240D56D" w14:textId="77777777" w:rsidR="00AC2C4F" w:rsidRPr="00C3231F" w:rsidRDefault="00AC2C4F" w:rsidP="005F2E4B">
            <w:pPr>
              <w:spacing w:line="254" w:lineRule="auto"/>
              <w:jc w:val="right"/>
              <w:rPr>
                <w:rFonts w:eastAsia="Calibri" w:cs="Arial"/>
                <w:sz w:val="20"/>
                <w:szCs w:val="20"/>
                <w:highlight w:val="yellow"/>
              </w:rPr>
            </w:pPr>
            <w:r w:rsidRPr="00C3231F">
              <w:rPr>
                <w:rFonts w:cs="Arial"/>
                <w:bCs/>
                <w:sz w:val="20"/>
                <w:szCs w:val="20"/>
              </w:rPr>
              <w:t>39,15</w:t>
            </w:r>
          </w:p>
        </w:tc>
        <w:tc>
          <w:tcPr>
            <w:tcW w:w="1843" w:type="dxa"/>
            <w:tcBorders>
              <w:top w:val="single" w:sz="12" w:space="0" w:color="auto"/>
              <w:bottom w:val="single" w:sz="12" w:space="0" w:color="auto"/>
            </w:tcBorders>
            <w:shd w:val="clear" w:color="auto" w:fill="auto"/>
          </w:tcPr>
          <w:p w14:paraId="6C48A650" w14:textId="77777777" w:rsidR="00AC2C4F" w:rsidRPr="00C3231F" w:rsidRDefault="00AC2C4F" w:rsidP="005F2E4B">
            <w:pPr>
              <w:spacing w:line="254" w:lineRule="auto"/>
              <w:jc w:val="right"/>
              <w:rPr>
                <w:rFonts w:eastAsia="Calibri" w:cs="Arial"/>
                <w:sz w:val="20"/>
                <w:szCs w:val="20"/>
                <w:highlight w:val="yellow"/>
              </w:rPr>
            </w:pPr>
            <w:r w:rsidRPr="00C3231F">
              <w:rPr>
                <w:rFonts w:cs="Arial"/>
                <w:bCs/>
                <w:sz w:val="20"/>
                <w:szCs w:val="20"/>
              </w:rPr>
              <w:t>4 152 543</w:t>
            </w:r>
          </w:p>
        </w:tc>
      </w:tr>
      <w:tr w:rsidR="00AC2C4F" w:rsidRPr="00053DB8" w14:paraId="18F9AFD9" w14:textId="77777777" w:rsidTr="005F2E4B">
        <w:trPr>
          <w:trHeight w:val="315"/>
        </w:trPr>
        <w:tc>
          <w:tcPr>
            <w:tcW w:w="1134" w:type="dxa"/>
            <w:tcBorders>
              <w:top w:val="single" w:sz="12" w:space="0" w:color="auto"/>
              <w:bottom w:val="single" w:sz="12" w:space="0" w:color="auto"/>
            </w:tcBorders>
            <w:shd w:val="clear" w:color="auto" w:fill="auto"/>
            <w:hideMark/>
          </w:tcPr>
          <w:p w14:paraId="29516D09" w14:textId="77777777" w:rsidR="00AC2C4F" w:rsidRPr="003445C7" w:rsidRDefault="00AC2C4F" w:rsidP="005F2E4B">
            <w:pPr>
              <w:tabs>
                <w:tab w:val="left" w:pos="720"/>
              </w:tabs>
              <w:rPr>
                <w:rFonts w:cs="Arial"/>
                <w:b/>
                <w:bCs/>
                <w:sz w:val="20"/>
                <w:szCs w:val="20"/>
                <w:highlight w:val="yellow"/>
              </w:rPr>
            </w:pPr>
            <w:r w:rsidRPr="005631D3">
              <w:rPr>
                <w:rFonts w:cs="Arial"/>
                <w:b/>
                <w:bCs/>
                <w:sz w:val="20"/>
                <w:szCs w:val="20"/>
              </w:rPr>
              <w:t>MPO</w:t>
            </w:r>
          </w:p>
        </w:tc>
        <w:tc>
          <w:tcPr>
            <w:tcW w:w="1843" w:type="dxa"/>
            <w:tcBorders>
              <w:top w:val="single" w:sz="12" w:space="0" w:color="auto"/>
              <w:bottom w:val="single" w:sz="12" w:space="0" w:color="auto"/>
            </w:tcBorders>
            <w:shd w:val="clear" w:color="auto" w:fill="auto"/>
          </w:tcPr>
          <w:p w14:paraId="33D0C8BD" w14:textId="77777777" w:rsidR="00AC2C4F" w:rsidRPr="005631D3" w:rsidRDefault="00AC2C4F" w:rsidP="005F2E4B">
            <w:pPr>
              <w:spacing w:line="254" w:lineRule="auto"/>
              <w:jc w:val="right"/>
              <w:rPr>
                <w:rFonts w:eastAsia="Calibri" w:cs="Arial"/>
                <w:sz w:val="20"/>
                <w:szCs w:val="20"/>
                <w:highlight w:val="yellow"/>
              </w:rPr>
            </w:pPr>
            <w:r w:rsidRPr="005631D3">
              <w:rPr>
                <w:rFonts w:eastAsia="Calibri" w:cs="Arial"/>
                <w:bCs/>
                <w:sz w:val="20"/>
                <w:szCs w:val="20"/>
              </w:rPr>
              <w:t>843,06</w:t>
            </w:r>
          </w:p>
        </w:tc>
        <w:tc>
          <w:tcPr>
            <w:tcW w:w="1985" w:type="dxa"/>
            <w:tcBorders>
              <w:top w:val="single" w:sz="12" w:space="0" w:color="auto"/>
              <w:bottom w:val="single" w:sz="12" w:space="0" w:color="auto"/>
            </w:tcBorders>
            <w:shd w:val="clear" w:color="auto" w:fill="auto"/>
          </w:tcPr>
          <w:p w14:paraId="6BB1C5A9" w14:textId="77777777" w:rsidR="00AC2C4F" w:rsidRPr="005631D3" w:rsidRDefault="00AC2C4F" w:rsidP="005F2E4B">
            <w:pPr>
              <w:spacing w:line="254" w:lineRule="auto"/>
              <w:jc w:val="right"/>
              <w:rPr>
                <w:rFonts w:eastAsia="Calibri" w:cs="Arial"/>
                <w:sz w:val="20"/>
                <w:szCs w:val="20"/>
                <w:highlight w:val="yellow"/>
              </w:rPr>
            </w:pPr>
            <w:r w:rsidRPr="005631D3">
              <w:rPr>
                <w:rFonts w:eastAsia="Calibri" w:cs="Arial"/>
                <w:bCs/>
                <w:sz w:val="20"/>
                <w:szCs w:val="20"/>
              </w:rPr>
              <w:t>33,72</w:t>
            </w:r>
          </w:p>
        </w:tc>
        <w:tc>
          <w:tcPr>
            <w:tcW w:w="1984" w:type="dxa"/>
            <w:tcBorders>
              <w:top w:val="single" w:sz="12" w:space="0" w:color="auto"/>
              <w:bottom w:val="single" w:sz="12" w:space="0" w:color="auto"/>
            </w:tcBorders>
            <w:shd w:val="clear" w:color="auto" w:fill="auto"/>
          </w:tcPr>
          <w:p w14:paraId="1DF8DDC8" w14:textId="77777777" w:rsidR="00AC2C4F" w:rsidRPr="005631D3" w:rsidRDefault="00AC2C4F" w:rsidP="005F2E4B">
            <w:pPr>
              <w:spacing w:line="254" w:lineRule="auto"/>
              <w:jc w:val="right"/>
              <w:rPr>
                <w:rFonts w:eastAsia="Calibri" w:cs="Arial"/>
                <w:sz w:val="20"/>
                <w:szCs w:val="20"/>
                <w:highlight w:val="yellow"/>
              </w:rPr>
            </w:pPr>
            <w:r w:rsidRPr="005631D3">
              <w:rPr>
                <w:rFonts w:eastAsia="Calibri" w:cs="Arial"/>
                <w:bCs/>
                <w:sz w:val="20"/>
                <w:szCs w:val="20"/>
              </w:rPr>
              <w:t>26,04</w:t>
            </w:r>
          </w:p>
        </w:tc>
        <w:tc>
          <w:tcPr>
            <w:tcW w:w="1985" w:type="dxa"/>
            <w:tcBorders>
              <w:top w:val="single" w:sz="12" w:space="0" w:color="auto"/>
              <w:bottom w:val="single" w:sz="12" w:space="0" w:color="auto"/>
            </w:tcBorders>
            <w:shd w:val="clear" w:color="auto" w:fill="auto"/>
          </w:tcPr>
          <w:p w14:paraId="6F60FF05" w14:textId="77777777" w:rsidR="00AC2C4F" w:rsidRPr="005631D3" w:rsidRDefault="00AC2C4F" w:rsidP="005F2E4B">
            <w:pPr>
              <w:spacing w:line="254" w:lineRule="auto"/>
              <w:jc w:val="right"/>
              <w:rPr>
                <w:rFonts w:eastAsia="Calibri" w:cs="Arial"/>
                <w:sz w:val="20"/>
                <w:szCs w:val="20"/>
                <w:highlight w:val="yellow"/>
              </w:rPr>
            </w:pPr>
            <w:r w:rsidRPr="005631D3">
              <w:rPr>
                <w:rFonts w:eastAsia="Calibri" w:cs="Arial"/>
                <w:bCs/>
                <w:sz w:val="20"/>
                <w:szCs w:val="20"/>
              </w:rPr>
              <w:t>1,37</w:t>
            </w:r>
          </w:p>
        </w:tc>
        <w:tc>
          <w:tcPr>
            <w:tcW w:w="1984" w:type="dxa"/>
            <w:tcBorders>
              <w:top w:val="single" w:sz="12" w:space="0" w:color="auto"/>
              <w:bottom w:val="single" w:sz="12" w:space="0" w:color="auto"/>
            </w:tcBorders>
            <w:shd w:val="clear" w:color="auto" w:fill="auto"/>
          </w:tcPr>
          <w:p w14:paraId="772459F3" w14:textId="77777777" w:rsidR="00AC2C4F" w:rsidRPr="005631D3" w:rsidRDefault="00AC2C4F" w:rsidP="005F2E4B">
            <w:pPr>
              <w:spacing w:line="254" w:lineRule="auto"/>
              <w:jc w:val="right"/>
              <w:rPr>
                <w:rFonts w:eastAsia="Calibri" w:cs="Arial"/>
                <w:sz w:val="20"/>
                <w:szCs w:val="20"/>
                <w:highlight w:val="yellow"/>
              </w:rPr>
            </w:pPr>
            <w:r w:rsidRPr="005631D3">
              <w:rPr>
                <w:rFonts w:eastAsia="Calibri" w:cs="Arial"/>
                <w:bCs/>
                <w:sz w:val="20"/>
                <w:szCs w:val="20"/>
              </w:rPr>
              <w:t>6,31</w:t>
            </w:r>
          </w:p>
        </w:tc>
        <w:tc>
          <w:tcPr>
            <w:tcW w:w="1843" w:type="dxa"/>
            <w:tcBorders>
              <w:top w:val="single" w:sz="12" w:space="0" w:color="auto"/>
              <w:bottom w:val="single" w:sz="12" w:space="0" w:color="auto"/>
            </w:tcBorders>
            <w:shd w:val="clear" w:color="auto" w:fill="auto"/>
          </w:tcPr>
          <w:p w14:paraId="489BB849" w14:textId="77777777" w:rsidR="00AC2C4F" w:rsidRPr="005631D3" w:rsidRDefault="00AC2C4F" w:rsidP="005F2E4B">
            <w:pPr>
              <w:spacing w:line="254" w:lineRule="auto"/>
              <w:jc w:val="right"/>
              <w:rPr>
                <w:rFonts w:eastAsia="Calibri" w:cs="Arial"/>
                <w:sz w:val="20"/>
                <w:szCs w:val="20"/>
                <w:highlight w:val="yellow"/>
              </w:rPr>
            </w:pPr>
            <w:r w:rsidRPr="005631D3">
              <w:rPr>
                <w:rFonts w:eastAsia="Calibri" w:cs="Arial"/>
                <w:bCs/>
                <w:sz w:val="20"/>
                <w:szCs w:val="20"/>
              </w:rPr>
              <w:t>669 286</w:t>
            </w:r>
          </w:p>
        </w:tc>
      </w:tr>
      <w:tr w:rsidR="00AC2C4F" w:rsidRPr="00053DB8" w14:paraId="7B57F3C3" w14:textId="77777777" w:rsidTr="005F2E4B">
        <w:trPr>
          <w:trHeight w:val="315"/>
        </w:trPr>
        <w:tc>
          <w:tcPr>
            <w:tcW w:w="1134" w:type="dxa"/>
            <w:tcBorders>
              <w:top w:val="single" w:sz="12" w:space="0" w:color="auto"/>
              <w:bottom w:val="single" w:sz="4" w:space="0" w:color="auto"/>
            </w:tcBorders>
            <w:shd w:val="clear" w:color="auto" w:fill="auto"/>
            <w:hideMark/>
          </w:tcPr>
          <w:p w14:paraId="3DDBDDD1" w14:textId="77777777" w:rsidR="00AC2C4F" w:rsidRPr="003445C7" w:rsidRDefault="00AC2C4F" w:rsidP="005F2E4B">
            <w:pPr>
              <w:tabs>
                <w:tab w:val="left" w:pos="720"/>
              </w:tabs>
              <w:rPr>
                <w:rFonts w:cs="Arial"/>
                <w:b/>
                <w:bCs/>
                <w:sz w:val="20"/>
                <w:szCs w:val="20"/>
                <w:highlight w:val="yellow"/>
              </w:rPr>
            </w:pPr>
            <w:r w:rsidRPr="008D172C">
              <w:rPr>
                <w:rFonts w:cs="Arial"/>
                <w:b/>
                <w:bCs/>
                <w:sz w:val="20"/>
                <w:szCs w:val="20"/>
              </w:rPr>
              <w:t>MPSV</w:t>
            </w:r>
          </w:p>
        </w:tc>
        <w:tc>
          <w:tcPr>
            <w:tcW w:w="1843" w:type="dxa"/>
            <w:tcBorders>
              <w:top w:val="single" w:sz="12" w:space="0" w:color="auto"/>
              <w:bottom w:val="single" w:sz="4" w:space="0" w:color="auto"/>
            </w:tcBorders>
            <w:shd w:val="clear" w:color="auto" w:fill="auto"/>
            <w:vAlign w:val="center"/>
          </w:tcPr>
          <w:p w14:paraId="36D9676E" w14:textId="77777777" w:rsidR="00AC2C4F" w:rsidRPr="008D172C" w:rsidRDefault="00AC2C4F" w:rsidP="005F2E4B">
            <w:pPr>
              <w:spacing w:line="254" w:lineRule="auto"/>
              <w:jc w:val="right"/>
              <w:rPr>
                <w:rFonts w:eastAsia="Calibri" w:cs="Arial"/>
                <w:sz w:val="20"/>
                <w:szCs w:val="20"/>
                <w:highlight w:val="yellow"/>
              </w:rPr>
            </w:pPr>
            <w:r w:rsidRPr="008D172C">
              <w:rPr>
                <w:rFonts w:eastAsia="Calibri" w:cs="Arial"/>
                <w:sz w:val="20"/>
                <w:szCs w:val="20"/>
              </w:rPr>
              <w:t>1</w:t>
            </w:r>
            <w:r>
              <w:rPr>
                <w:rFonts w:eastAsia="Calibri" w:cs="Arial"/>
                <w:sz w:val="20"/>
                <w:szCs w:val="20"/>
              </w:rPr>
              <w:t xml:space="preserve"> </w:t>
            </w:r>
            <w:r w:rsidRPr="008D172C">
              <w:rPr>
                <w:rFonts w:eastAsia="Calibri" w:cs="Arial"/>
                <w:sz w:val="20"/>
                <w:szCs w:val="20"/>
              </w:rPr>
              <w:t>309,71</w:t>
            </w:r>
          </w:p>
        </w:tc>
        <w:tc>
          <w:tcPr>
            <w:tcW w:w="1985" w:type="dxa"/>
            <w:tcBorders>
              <w:top w:val="single" w:sz="12" w:space="0" w:color="auto"/>
            </w:tcBorders>
            <w:shd w:val="clear" w:color="auto" w:fill="auto"/>
            <w:vAlign w:val="center"/>
          </w:tcPr>
          <w:p w14:paraId="4D61ABE5" w14:textId="77777777" w:rsidR="00AC2C4F" w:rsidRPr="008D172C" w:rsidRDefault="00AC2C4F" w:rsidP="005F2E4B">
            <w:pPr>
              <w:spacing w:line="254" w:lineRule="auto"/>
              <w:jc w:val="right"/>
              <w:rPr>
                <w:rFonts w:eastAsia="Calibri" w:cs="Arial"/>
                <w:sz w:val="20"/>
                <w:szCs w:val="20"/>
                <w:highlight w:val="yellow"/>
              </w:rPr>
            </w:pPr>
            <w:r w:rsidRPr="008D172C">
              <w:rPr>
                <w:rFonts w:eastAsia="Calibri" w:cs="Arial"/>
                <w:sz w:val="20"/>
                <w:szCs w:val="20"/>
              </w:rPr>
              <w:t>52,38</w:t>
            </w:r>
          </w:p>
        </w:tc>
        <w:tc>
          <w:tcPr>
            <w:tcW w:w="1984" w:type="dxa"/>
            <w:tcBorders>
              <w:top w:val="single" w:sz="12" w:space="0" w:color="auto"/>
            </w:tcBorders>
            <w:shd w:val="clear" w:color="auto" w:fill="auto"/>
            <w:vAlign w:val="center"/>
          </w:tcPr>
          <w:p w14:paraId="370C4E3A" w14:textId="77777777" w:rsidR="00AC2C4F" w:rsidRPr="008D172C" w:rsidRDefault="00AC2C4F" w:rsidP="005F2E4B">
            <w:pPr>
              <w:spacing w:line="254" w:lineRule="auto"/>
              <w:jc w:val="right"/>
              <w:rPr>
                <w:rFonts w:eastAsia="Calibri" w:cs="Arial"/>
                <w:sz w:val="20"/>
                <w:szCs w:val="20"/>
                <w:highlight w:val="yellow"/>
              </w:rPr>
            </w:pPr>
            <w:r w:rsidRPr="008D172C">
              <w:rPr>
                <w:rFonts w:eastAsia="Calibri" w:cs="Arial"/>
                <w:sz w:val="20"/>
                <w:szCs w:val="20"/>
              </w:rPr>
              <w:t>20,83</w:t>
            </w:r>
          </w:p>
        </w:tc>
        <w:tc>
          <w:tcPr>
            <w:tcW w:w="1985" w:type="dxa"/>
            <w:tcBorders>
              <w:top w:val="single" w:sz="12" w:space="0" w:color="auto"/>
            </w:tcBorders>
            <w:shd w:val="clear" w:color="auto" w:fill="auto"/>
            <w:vAlign w:val="center"/>
          </w:tcPr>
          <w:p w14:paraId="6E21DF55" w14:textId="77777777" w:rsidR="00AC2C4F" w:rsidRPr="008D172C" w:rsidRDefault="00AC2C4F" w:rsidP="005F2E4B">
            <w:pPr>
              <w:spacing w:line="254" w:lineRule="auto"/>
              <w:jc w:val="right"/>
              <w:rPr>
                <w:rFonts w:eastAsia="Calibri" w:cs="Arial"/>
                <w:sz w:val="20"/>
                <w:szCs w:val="20"/>
                <w:highlight w:val="yellow"/>
              </w:rPr>
            </w:pPr>
            <w:r w:rsidRPr="008D172C">
              <w:rPr>
                <w:rFonts w:eastAsia="Calibri" w:cs="Arial"/>
                <w:sz w:val="20"/>
                <w:szCs w:val="20"/>
              </w:rPr>
              <w:t>35,37</w:t>
            </w:r>
          </w:p>
        </w:tc>
        <w:tc>
          <w:tcPr>
            <w:tcW w:w="1984" w:type="dxa"/>
            <w:tcBorders>
              <w:top w:val="single" w:sz="12" w:space="0" w:color="auto"/>
            </w:tcBorders>
            <w:shd w:val="clear" w:color="auto" w:fill="auto"/>
            <w:vAlign w:val="center"/>
          </w:tcPr>
          <w:p w14:paraId="2481BF09" w14:textId="77777777" w:rsidR="00AC2C4F" w:rsidRPr="008D172C" w:rsidRDefault="00AC2C4F" w:rsidP="005F2E4B">
            <w:pPr>
              <w:spacing w:line="254" w:lineRule="auto"/>
              <w:jc w:val="right"/>
              <w:rPr>
                <w:rFonts w:eastAsia="Calibri" w:cs="Arial"/>
                <w:sz w:val="20"/>
                <w:szCs w:val="20"/>
                <w:highlight w:val="yellow"/>
              </w:rPr>
            </w:pPr>
            <w:r w:rsidRPr="008D172C">
              <w:rPr>
                <w:rFonts w:eastAsia="Calibri" w:cs="Arial"/>
                <w:sz w:val="20"/>
                <w:szCs w:val="20"/>
              </w:rPr>
              <w:t>0,00</w:t>
            </w:r>
          </w:p>
        </w:tc>
        <w:tc>
          <w:tcPr>
            <w:tcW w:w="1843" w:type="dxa"/>
            <w:tcBorders>
              <w:top w:val="single" w:sz="12" w:space="0" w:color="auto"/>
            </w:tcBorders>
            <w:shd w:val="clear" w:color="auto" w:fill="auto"/>
            <w:vAlign w:val="center"/>
          </w:tcPr>
          <w:p w14:paraId="208A7930" w14:textId="77777777" w:rsidR="00AC2C4F" w:rsidRPr="00E01B8F" w:rsidRDefault="00AC2C4F" w:rsidP="005F2E4B">
            <w:pPr>
              <w:spacing w:line="254" w:lineRule="auto"/>
              <w:jc w:val="right"/>
              <w:rPr>
                <w:rFonts w:eastAsia="Calibri" w:cs="Arial"/>
                <w:sz w:val="20"/>
                <w:szCs w:val="20"/>
              </w:rPr>
            </w:pPr>
            <w:r w:rsidRPr="00E01B8F">
              <w:rPr>
                <w:rFonts w:eastAsia="Calibri" w:cs="Arial"/>
                <w:sz w:val="20"/>
                <w:szCs w:val="20"/>
              </w:rPr>
              <w:t>0</w:t>
            </w:r>
          </w:p>
        </w:tc>
      </w:tr>
      <w:tr w:rsidR="00AC2C4F" w:rsidRPr="00053DB8" w14:paraId="512EF3E6" w14:textId="77777777" w:rsidTr="005F2E4B">
        <w:trPr>
          <w:trHeight w:val="315"/>
        </w:trPr>
        <w:tc>
          <w:tcPr>
            <w:tcW w:w="1134" w:type="dxa"/>
            <w:tcBorders>
              <w:top w:val="single" w:sz="4" w:space="0" w:color="auto"/>
            </w:tcBorders>
            <w:shd w:val="clear" w:color="auto" w:fill="auto"/>
          </w:tcPr>
          <w:p w14:paraId="782F6B0F" w14:textId="77777777" w:rsidR="00AC2C4F" w:rsidRPr="003445C7" w:rsidRDefault="00AC2C4F" w:rsidP="005F2E4B">
            <w:pPr>
              <w:tabs>
                <w:tab w:val="left" w:pos="720"/>
              </w:tabs>
              <w:rPr>
                <w:rFonts w:cs="Arial"/>
                <w:bCs/>
                <w:sz w:val="20"/>
                <w:szCs w:val="20"/>
                <w:highlight w:val="yellow"/>
              </w:rPr>
            </w:pPr>
            <w:r w:rsidRPr="00DF7D21">
              <w:rPr>
                <w:rFonts w:cs="Arial"/>
                <w:bCs/>
                <w:sz w:val="20"/>
                <w:szCs w:val="20"/>
              </w:rPr>
              <w:t>ČSSZ</w:t>
            </w:r>
          </w:p>
        </w:tc>
        <w:tc>
          <w:tcPr>
            <w:tcW w:w="1843" w:type="dxa"/>
            <w:tcBorders>
              <w:top w:val="single" w:sz="4" w:space="0" w:color="auto"/>
            </w:tcBorders>
            <w:shd w:val="clear" w:color="auto" w:fill="auto"/>
            <w:vAlign w:val="center"/>
          </w:tcPr>
          <w:p w14:paraId="4E2B1BF4" w14:textId="77777777" w:rsidR="00AC2C4F" w:rsidRPr="00E01B8F" w:rsidRDefault="00AC2C4F" w:rsidP="005F2E4B">
            <w:pPr>
              <w:spacing w:line="254" w:lineRule="auto"/>
              <w:jc w:val="right"/>
              <w:rPr>
                <w:rFonts w:eastAsia="Calibri" w:cs="Arial"/>
                <w:sz w:val="20"/>
                <w:szCs w:val="20"/>
                <w:highlight w:val="yellow"/>
              </w:rPr>
            </w:pPr>
            <w:r w:rsidRPr="00E01B8F">
              <w:rPr>
                <w:rFonts w:eastAsia="Calibri" w:cs="Arial"/>
                <w:sz w:val="20"/>
                <w:szCs w:val="20"/>
              </w:rPr>
              <w:t>8 132,03</w:t>
            </w:r>
          </w:p>
        </w:tc>
        <w:tc>
          <w:tcPr>
            <w:tcW w:w="1985" w:type="dxa"/>
            <w:tcBorders>
              <w:top w:val="single" w:sz="12" w:space="0" w:color="auto"/>
            </w:tcBorders>
            <w:shd w:val="clear" w:color="auto" w:fill="auto"/>
            <w:vAlign w:val="center"/>
          </w:tcPr>
          <w:p w14:paraId="66DC4312" w14:textId="77777777" w:rsidR="00AC2C4F" w:rsidRPr="00E01B8F" w:rsidRDefault="00AC2C4F" w:rsidP="005F2E4B">
            <w:pPr>
              <w:spacing w:line="254" w:lineRule="auto"/>
              <w:jc w:val="right"/>
              <w:rPr>
                <w:rFonts w:eastAsia="Calibri" w:cs="Arial"/>
                <w:sz w:val="20"/>
                <w:szCs w:val="20"/>
                <w:highlight w:val="yellow"/>
              </w:rPr>
            </w:pPr>
            <w:r w:rsidRPr="00E01B8F">
              <w:rPr>
                <w:rFonts w:eastAsia="Calibri" w:cs="Arial"/>
                <w:sz w:val="20"/>
                <w:szCs w:val="20"/>
              </w:rPr>
              <w:t>325,28</w:t>
            </w:r>
          </w:p>
        </w:tc>
        <w:tc>
          <w:tcPr>
            <w:tcW w:w="1984" w:type="dxa"/>
            <w:tcBorders>
              <w:top w:val="single" w:sz="12" w:space="0" w:color="auto"/>
            </w:tcBorders>
            <w:shd w:val="clear" w:color="auto" w:fill="auto"/>
            <w:vAlign w:val="center"/>
          </w:tcPr>
          <w:p w14:paraId="2B05E4CE" w14:textId="77777777" w:rsidR="00AC2C4F" w:rsidRPr="00E01B8F" w:rsidRDefault="00AC2C4F" w:rsidP="005F2E4B">
            <w:pPr>
              <w:spacing w:line="254" w:lineRule="auto"/>
              <w:jc w:val="right"/>
              <w:rPr>
                <w:rFonts w:eastAsia="Calibri" w:cs="Arial"/>
                <w:sz w:val="20"/>
                <w:szCs w:val="20"/>
                <w:highlight w:val="yellow"/>
              </w:rPr>
            </w:pPr>
            <w:r w:rsidRPr="00E01B8F">
              <w:rPr>
                <w:rFonts w:eastAsia="Calibri" w:cs="Arial"/>
                <w:sz w:val="20"/>
                <w:szCs w:val="20"/>
              </w:rPr>
              <w:t>419,51</w:t>
            </w:r>
          </w:p>
        </w:tc>
        <w:tc>
          <w:tcPr>
            <w:tcW w:w="1985" w:type="dxa"/>
            <w:tcBorders>
              <w:top w:val="single" w:sz="12" w:space="0" w:color="auto"/>
            </w:tcBorders>
            <w:shd w:val="clear" w:color="auto" w:fill="auto"/>
            <w:vAlign w:val="center"/>
          </w:tcPr>
          <w:p w14:paraId="1C276F75" w14:textId="77777777" w:rsidR="00AC2C4F" w:rsidRPr="00E01B8F" w:rsidRDefault="00AC2C4F" w:rsidP="005F2E4B">
            <w:pPr>
              <w:spacing w:line="254" w:lineRule="auto"/>
              <w:jc w:val="right"/>
              <w:rPr>
                <w:rFonts w:eastAsia="Calibri" w:cs="Arial"/>
                <w:sz w:val="20"/>
                <w:szCs w:val="20"/>
                <w:highlight w:val="yellow"/>
              </w:rPr>
            </w:pPr>
            <w:r w:rsidRPr="00E01B8F">
              <w:rPr>
                <w:rFonts w:eastAsia="Calibri" w:cs="Arial"/>
                <w:sz w:val="20"/>
                <w:szCs w:val="20"/>
              </w:rPr>
              <w:t>0,00</w:t>
            </w:r>
          </w:p>
        </w:tc>
        <w:tc>
          <w:tcPr>
            <w:tcW w:w="1984" w:type="dxa"/>
            <w:tcBorders>
              <w:top w:val="single" w:sz="12" w:space="0" w:color="auto"/>
            </w:tcBorders>
            <w:shd w:val="clear" w:color="auto" w:fill="auto"/>
            <w:vAlign w:val="center"/>
          </w:tcPr>
          <w:p w14:paraId="2FEB8CF5" w14:textId="77777777" w:rsidR="00AC2C4F" w:rsidRPr="00E01B8F" w:rsidRDefault="00AC2C4F" w:rsidP="005F2E4B">
            <w:pPr>
              <w:spacing w:line="254" w:lineRule="auto"/>
              <w:jc w:val="right"/>
              <w:rPr>
                <w:rFonts w:eastAsia="Calibri" w:cs="Arial"/>
                <w:sz w:val="20"/>
                <w:szCs w:val="20"/>
                <w:highlight w:val="yellow"/>
              </w:rPr>
            </w:pPr>
            <w:r w:rsidRPr="00E01B8F">
              <w:rPr>
                <w:rFonts w:eastAsia="Calibri" w:cs="Arial"/>
                <w:sz w:val="20"/>
                <w:szCs w:val="20"/>
              </w:rPr>
              <w:t>0,00</w:t>
            </w:r>
          </w:p>
        </w:tc>
        <w:tc>
          <w:tcPr>
            <w:tcW w:w="1843" w:type="dxa"/>
            <w:tcBorders>
              <w:top w:val="single" w:sz="12" w:space="0" w:color="auto"/>
            </w:tcBorders>
            <w:shd w:val="clear" w:color="auto" w:fill="auto"/>
            <w:vAlign w:val="center"/>
          </w:tcPr>
          <w:p w14:paraId="7A8B6858" w14:textId="77777777" w:rsidR="00AC2C4F" w:rsidRPr="00E01B8F" w:rsidRDefault="00AC2C4F" w:rsidP="005F2E4B">
            <w:pPr>
              <w:spacing w:line="254" w:lineRule="auto"/>
              <w:jc w:val="right"/>
              <w:rPr>
                <w:rFonts w:eastAsia="Calibri" w:cs="Arial"/>
                <w:sz w:val="20"/>
                <w:szCs w:val="20"/>
              </w:rPr>
            </w:pPr>
            <w:r w:rsidRPr="00E01B8F">
              <w:rPr>
                <w:rFonts w:eastAsia="Calibri" w:cs="Arial"/>
                <w:sz w:val="20"/>
                <w:szCs w:val="20"/>
              </w:rPr>
              <w:t>0</w:t>
            </w:r>
          </w:p>
        </w:tc>
      </w:tr>
      <w:tr w:rsidR="00AC2C4F" w:rsidRPr="00053DB8" w14:paraId="62B6278A" w14:textId="77777777" w:rsidTr="005F2E4B">
        <w:trPr>
          <w:trHeight w:val="315"/>
        </w:trPr>
        <w:tc>
          <w:tcPr>
            <w:tcW w:w="1134" w:type="dxa"/>
            <w:tcBorders>
              <w:top w:val="single" w:sz="12" w:space="0" w:color="auto"/>
              <w:bottom w:val="single" w:sz="4" w:space="0" w:color="auto"/>
            </w:tcBorders>
            <w:shd w:val="clear" w:color="auto" w:fill="auto"/>
            <w:hideMark/>
          </w:tcPr>
          <w:p w14:paraId="114FA92E" w14:textId="77777777" w:rsidR="00AC2C4F" w:rsidRPr="003445C7" w:rsidRDefault="00AC2C4F" w:rsidP="005F2E4B">
            <w:pPr>
              <w:tabs>
                <w:tab w:val="left" w:pos="720"/>
              </w:tabs>
              <w:rPr>
                <w:rFonts w:cs="Arial"/>
                <w:b/>
                <w:bCs/>
                <w:sz w:val="20"/>
                <w:szCs w:val="20"/>
                <w:highlight w:val="yellow"/>
              </w:rPr>
            </w:pPr>
            <w:r w:rsidRPr="00A52E6F">
              <w:rPr>
                <w:rFonts w:cs="Arial"/>
                <w:b/>
                <w:bCs/>
                <w:sz w:val="20"/>
                <w:szCs w:val="20"/>
              </w:rPr>
              <w:t>MSp</w:t>
            </w:r>
          </w:p>
        </w:tc>
        <w:tc>
          <w:tcPr>
            <w:tcW w:w="1843" w:type="dxa"/>
            <w:tcBorders>
              <w:top w:val="single" w:sz="12" w:space="0" w:color="auto"/>
              <w:bottom w:val="single" w:sz="4" w:space="0" w:color="auto"/>
            </w:tcBorders>
            <w:shd w:val="clear" w:color="auto" w:fill="auto"/>
          </w:tcPr>
          <w:p w14:paraId="381A0F65" w14:textId="77777777" w:rsidR="00AC2C4F" w:rsidRPr="00563F48" w:rsidRDefault="00AC2C4F" w:rsidP="005F2E4B">
            <w:pPr>
              <w:spacing w:line="252" w:lineRule="auto"/>
              <w:jc w:val="right"/>
              <w:rPr>
                <w:rFonts w:cs="Arial"/>
                <w:sz w:val="20"/>
                <w:szCs w:val="20"/>
                <w:highlight w:val="yellow"/>
              </w:rPr>
            </w:pPr>
            <w:r w:rsidRPr="00563F48">
              <w:rPr>
                <w:rFonts w:eastAsia="Calibri" w:cs="Arial"/>
                <w:sz w:val="20"/>
                <w:szCs w:val="20"/>
              </w:rPr>
              <w:t>409,97</w:t>
            </w:r>
          </w:p>
        </w:tc>
        <w:tc>
          <w:tcPr>
            <w:tcW w:w="1985" w:type="dxa"/>
            <w:tcBorders>
              <w:top w:val="single" w:sz="12" w:space="0" w:color="auto"/>
              <w:bottom w:val="single" w:sz="4" w:space="0" w:color="auto"/>
            </w:tcBorders>
            <w:shd w:val="clear" w:color="auto" w:fill="auto"/>
          </w:tcPr>
          <w:p w14:paraId="5ACD6CAF" w14:textId="77777777" w:rsidR="00AC2C4F" w:rsidRPr="00563F48" w:rsidRDefault="00AC2C4F" w:rsidP="005F2E4B">
            <w:pPr>
              <w:spacing w:line="252" w:lineRule="auto"/>
              <w:jc w:val="right"/>
              <w:rPr>
                <w:rFonts w:cs="Arial"/>
                <w:sz w:val="20"/>
                <w:szCs w:val="20"/>
                <w:highlight w:val="yellow"/>
              </w:rPr>
            </w:pPr>
            <w:r w:rsidRPr="00563F48">
              <w:rPr>
                <w:rFonts w:eastAsia="Calibri" w:cs="Arial"/>
                <w:sz w:val="20"/>
                <w:szCs w:val="20"/>
              </w:rPr>
              <w:t>16,39</w:t>
            </w:r>
          </w:p>
        </w:tc>
        <w:tc>
          <w:tcPr>
            <w:tcW w:w="1984" w:type="dxa"/>
            <w:tcBorders>
              <w:top w:val="single" w:sz="12" w:space="0" w:color="auto"/>
              <w:bottom w:val="single" w:sz="4" w:space="0" w:color="auto"/>
            </w:tcBorders>
            <w:shd w:val="clear" w:color="auto" w:fill="auto"/>
          </w:tcPr>
          <w:p w14:paraId="15CF4AFF" w14:textId="77777777" w:rsidR="00AC2C4F" w:rsidRPr="00563F48" w:rsidRDefault="00AC2C4F" w:rsidP="005F2E4B">
            <w:pPr>
              <w:spacing w:line="252" w:lineRule="auto"/>
              <w:jc w:val="right"/>
              <w:rPr>
                <w:rFonts w:cs="Arial"/>
                <w:sz w:val="20"/>
                <w:szCs w:val="20"/>
                <w:highlight w:val="yellow"/>
              </w:rPr>
            </w:pPr>
            <w:r w:rsidRPr="00563F48">
              <w:rPr>
                <w:rFonts w:eastAsia="Calibri" w:cs="Arial"/>
                <w:sz w:val="20"/>
                <w:szCs w:val="20"/>
              </w:rPr>
              <w:t>3,97</w:t>
            </w:r>
          </w:p>
        </w:tc>
        <w:tc>
          <w:tcPr>
            <w:tcW w:w="1985" w:type="dxa"/>
            <w:tcBorders>
              <w:top w:val="single" w:sz="12" w:space="0" w:color="auto"/>
              <w:bottom w:val="single" w:sz="4" w:space="0" w:color="auto"/>
            </w:tcBorders>
            <w:shd w:val="clear" w:color="auto" w:fill="auto"/>
          </w:tcPr>
          <w:p w14:paraId="4C7CCECF" w14:textId="77777777" w:rsidR="00AC2C4F" w:rsidRPr="00563F48" w:rsidRDefault="00AC2C4F" w:rsidP="005F2E4B">
            <w:pPr>
              <w:spacing w:line="252" w:lineRule="auto"/>
              <w:jc w:val="right"/>
              <w:rPr>
                <w:rFonts w:cs="Arial"/>
                <w:sz w:val="20"/>
                <w:szCs w:val="20"/>
                <w:highlight w:val="yellow"/>
              </w:rPr>
            </w:pPr>
            <w:r w:rsidRPr="00563F48">
              <w:rPr>
                <w:rFonts w:eastAsia="Calibri" w:cs="Arial"/>
                <w:sz w:val="20"/>
                <w:szCs w:val="20"/>
              </w:rPr>
              <w:t>2,86</w:t>
            </w:r>
          </w:p>
        </w:tc>
        <w:tc>
          <w:tcPr>
            <w:tcW w:w="1984" w:type="dxa"/>
            <w:tcBorders>
              <w:top w:val="single" w:sz="12" w:space="0" w:color="auto"/>
              <w:bottom w:val="single" w:sz="4" w:space="0" w:color="auto"/>
            </w:tcBorders>
            <w:shd w:val="clear" w:color="auto" w:fill="auto"/>
          </w:tcPr>
          <w:p w14:paraId="6B16C18D" w14:textId="77777777" w:rsidR="00AC2C4F" w:rsidRPr="00563F48" w:rsidRDefault="00AC2C4F" w:rsidP="005F2E4B">
            <w:pPr>
              <w:spacing w:line="252" w:lineRule="auto"/>
              <w:jc w:val="right"/>
              <w:rPr>
                <w:rFonts w:cs="Arial"/>
                <w:sz w:val="20"/>
                <w:szCs w:val="20"/>
                <w:highlight w:val="yellow"/>
              </w:rPr>
            </w:pPr>
            <w:r w:rsidRPr="00563F48">
              <w:rPr>
                <w:rFonts w:eastAsia="Calibri" w:cs="Arial"/>
                <w:sz w:val="20"/>
                <w:szCs w:val="20"/>
              </w:rPr>
              <w:t>9,56</w:t>
            </w:r>
          </w:p>
        </w:tc>
        <w:tc>
          <w:tcPr>
            <w:tcW w:w="1843" w:type="dxa"/>
            <w:tcBorders>
              <w:top w:val="single" w:sz="12" w:space="0" w:color="auto"/>
              <w:bottom w:val="single" w:sz="4" w:space="0" w:color="auto"/>
            </w:tcBorders>
            <w:shd w:val="clear" w:color="auto" w:fill="auto"/>
          </w:tcPr>
          <w:p w14:paraId="630C1CB5" w14:textId="77777777" w:rsidR="00AC2C4F" w:rsidRPr="00563F48" w:rsidRDefault="00AC2C4F" w:rsidP="005F2E4B">
            <w:pPr>
              <w:spacing w:line="252" w:lineRule="auto"/>
              <w:jc w:val="right"/>
              <w:rPr>
                <w:rFonts w:cs="Arial"/>
                <w:sz w:val="20"/>
                <w:szCs w:val="20"/>
                <w:highlight w:val="yellow"/>
              </w:rPr>
            </w:pPr>
            <w:r w:rsidRPr="00563F48">
              <w:rPr>
                <w:rFonts w:eastAsia="Calibri" w:cs="Arial"/>
                <w:sz w:val="20"/>
                <w:szCs w:val="20"/>
              </w:rPr>
              <w:t>1 014 005</w:t>
            </w:r>
          </w:p>
        </w:tc>
      </w:tr>
      <w:tr w:rsidR="00AC2C4F" w:rsidRPr="00053DB8" w14:paraId="02E3BE2D" w14:textId="77777777" w:rsidTr="005F2E4B">
        <w:trPr>
          <w:trHeight w:val="315"/>
        </w:trPr>
        <w:tc>
          <w:tcPr>
            <w:tcW w:w="1134" w:type="dxa"/>
            <w:tcBorders>
              <w:top w:val="single" w:sz="4" w:space="0" w:color="auto"/>
            </w:tcBorders>
            <w:shd w:val="clear" w:color="auto" w:fill="auto"/>
            <w:hideMark/>
          </w:tcPr>
          <w:p w14:paraId="0117C688" w14:textId="77777777" w:rsidR="00AC2C4F" w:rsidRPr="003445C7" w:rsidRDefault="00AC2C4F" w:rsidP="005F2E4B">
            <w:pPr>
              <w:tabs>
                <w:tab w:val="left" w:pos="720"/>
              </w:tabs>
              <w:rPr>
                <w:rFonts w:cs="Arial"/>
                <w:bCs/>
                <w:sz w:val="20"/>
                <w:szCs w:val="20"/>
                <w:highlight w:val="yellow"/>
              </w:rPr>
            </w:pPr>
            <w:r w:rsidRPr="00CC1969">
              <w:rPr>
                <w:rFonts w:cs="Arial"/>
                <w:bCs/>
                <w:sz w:val="20"/>
                <w:szCs w:val="20"/>
              </w:rPr>
              <w:t>IKSP</w:t>
            </w:r>
          </w:p>
        </w:tc>
        <w:tc>
          <w:tcPr>
            <w:tcW w:w="1843" w:type="dxa"/>
            <w:tcBorders>
              <w:top w:val="single" w:sz="4" w:space="0" w:color="auto"/>
            </w:tcBorders>
            <w:shd w:val="clear" w:color="auto" w:fill="auto"/>
          </w:tcPr>
          <w:p w14:paraId="08280A61" w14:textId="77777777" w:rsidR="00AC2C4F" w:rsidRPr="003445C7" w:rsidRDefault="00AC2C4F" w:rsidP="005F2E4B">
            <w:pPr>
              <w:spacing w:line="252" w:lineRule="auto"/>
              <w:jc w:val="right"/>
              <w:rPr>
                <w:rFonts w:cs="Arial"/>
                <w:sz w:val="20"/>
                <w:szCs w:val="20"/>
                <w:highlight w:val="yellow"/>
              </w:rPr>
            </w:pPr>
            <w:r>
              <w:rPr>
                <w:rFonts w:eastAsia="Calibri" w:cs="Arial"/>
                <w:sz w:val="20"/>
                <w:szCs w:val="20"/>
              </w:rPr>
              <w:t>23,67</w:t>
            </w:r>
          </w:p>
        </w:tc>
        <w:tc>
          <w:tcPr>
            <w:tcW w:w="1985" w:type="dxa"/>
            <w:tcBorders>
              <w:top w:val="single" w:sz="4" w:space="0" w:color="auto"/>
            </w:tcBorders>
            <w:shd w:val="clear" w:color="auto" w:fill="auto"/>
          </w:tcPr>
          <w:p w14:paraId="0322DCD9" w14:textId="77777777" w:rsidR="00AC2C4F" w:rsidRPr="003445C7" w:rsidRDefault="00AC2C4F" w:rsidP="005F2E4B">
            <w:pPr>
              <w:spacing w:line="252" w:lineRule="auto"/>
              <w:jc w:val="right"/>
              <w:rPr>
                <w:rFonts w:cs="Arial"/>
                <w:sz w:val="20"/>
                <w:szCs w:val="20"/>
                <w:highlight w:val="yellow"/>
              </w:rPr>
            </w:pPr>
            <w:r w:rsidRPr="008D172C">
              <w:rPr>
                <w:rFonts w:eastAsia="Calibri" w:cs="Arial"/>
                <w:sz w:val="20"/>
                <w:szCs w:val="20"/>
              </w:rPr>
              <w:t>0,00</w:t>
            </w:r>
          </w:p>
        </w:tc>
        <w:tc>
          <w:tcPr>
            <w:tcW w:w="1984" w:type="dxa"/>
            <w:tcBorders>
              <w:top w:val="single" w:sz="4" w:space="0" w:color="auto"/>
            </w:tcBorders>
            <w:shd w:val="clear" w:color="auto" w:fill="auto"/>
          </w:tcPr>
          <w:p w14:paraId="6B7F12E2" w14:textId="77777777" w:rsidR="00AC2C4F" w:rsidRPr="003445C7" w:rsidRDefault="00AC2C4F" w:rsidP="005F2E4B">
            <w:pPr>
              <w:spacing w:line="252" w:lineRule="auto"/>
              <w:jc w:val="right"/>
              <w:rPr>
                <w:rFonts w:cs="Arial"/>
                <w:sz w:val="20"/>
                <w:szCs w:val="20"/>
                <w:highlight w:val="yellow"/>
              </w:rPr>
            </w:pPr>
            <w:r w:rsidRPr="008D172C">
              <w:rPr>
                <w:rFonts w:eastAsia="Calibri" w:cs="Arial"/>
                <w:sz w:val="20"/>
                <w:szCs w:val="20"/>
              </w:rPr>
              <w:t>0,00</w:t>
            </w:r>
          </w:p>
        </w:tc>
        <w:tc>
          <w:tcPr>
            <w:tcW w:w="1985" w:type="dxa"/>
            <w:tcBorders>
              <w:top w:val="single" w:sz="4" w:space="0" w:color="auto"/>
            </w:tcBorders>
            <w:shd w:val="clear" w:color="auto" w:fill="auto"/>
          </w:tcPr>
          <w:p w14:paraId="05046A72" w14:textId="77777777" w:rsidR="00AC2C4F" w:rsidRPr="003445C7" w:rsidRDefault="00AC2C4F" w:rsidP="005F2E4B">
            <w:pPr>
              <w:spacing w:line="252" w:lineRule="auto"/>
              <w:jc w:val="right"/>
              <w:rPr>
                <w:rFonts w:cs="Arial"/>
                <w:sz w:val="20"/>
                <w:szCs w:val="20"/>
                <w:highlight w:val="yellow"/>
              </w:rPr>
            </w:pPr>
            <w:r w:rsidRPr="008D172C">
              <w:rPr>
                <w:rFonts w:eastAsia="Calibri" w:cs="Arial"/>
                <w:sz w:val="20"/>
                <w:szCs w:val="20"/>
              </w:rPr>
              <w:t>0,00</w:t>
            </w:r>
          </w:p>
        </w:tc>
        <w:tc>
          <w:tcPr>
            <w:tcW w:w="1984" w:type="dxa"/>
            <w:tcBorders>
              <w:top w:val="single" w:sz="4" w:space="0" w:color="auto"/>
            </w:tcBorders>
            <w:shd w:val="clear" w:color="auto" w:fill="auto"/>
          </w:tcPr>
          <w:p w14:paraId="15744D71" w14:textId="77777777" w:rsidR="00AC2C4F" w:rsidRPr="003445C7" w:rsidRDefault="00AC2C4F" w:rsidP="005F2E4B">
            <w:pPr>
              <w:spacing w:line="252" w:lineRule="auto"/>
              <w:jc w:val="right"/>
              <w:rPr>
                <w:rFonts w:cs="Arial"/>
                <w:sz w:val="20"/>
                <w:szCs w:val="20"/>
                <w:highlight w:val="yellow"/>
              </w:rPr>
            </w:pPr>
            <w:r w:rsidRPr="008D172C">
              <w:rPr>
                <w:rFonts w:eastAsia="Calibri" w:cs="Arial"/>
                <w:sz w:val="20"/>
                <w:szCs w:val="20"/>
              </w:rPr>
              <w:t>0,00</w:t>
            </w:r>
          </w:p>
        </w:tc>
        <w:tc>
          <w:tcPr>
            <w:tcW w:w="1843" w:type="dxa"/>
            <w:tcBorders>
              <w:top w:val="single" w:sz="4" w:space="0" w:color="auto"/>
            </w:tcBorders>
            <w:shd w:val="clear" w:color="auto" w:fill="auto"/>
          </w:tcPr>
          <w:p w14:paraId="29CB9A1B" w14:textId="77777777" w:rsidR="00AC2C4F" w:rsidRPr="003445C7" w:rsidRDefault="00AC2C4F" w:rsidP="005F2E4B">
            <w:pPr>
              <w:spacing w:line="252" w:lineRule="auto"/>
              <w:jc w:val="right"/>
              <w:rPr>
                <w:rFonts w:cs="Arial"/>
                <w:sz w:val="20"/>
                <w:szCs w:val="20"/>
                <w:highlight w:val="yellow"/>
              </w:rPr>
            </w:pPr>
            <w:r w:rsidRPr="00A779CE">
              <w:rPr>
                <w:rFonts w:cs="Arial"/>
                <w:sz w:val="20"/>
                <w:szCs w:val="20"/>
              </w:rPr>
              <w:t>0</w:t>
            </w:r>
          </w:p>
        </w:tc>
      </w:tr>
      <w:tr w:rsidR="00AC2C4F" w:rsidRPr="00053DB8" w14:paraId="0DE15436" w14:textId="77777777" w:rsidTr="005F2E4B">
        <w:trPr>
          <w:trHeight w:val="300"/>
        </w:trPr>
        <w:tc>
          <w:tcPr>
            <w:tcW w:w="1134" w:type="dxa"/>
            <w:shd w:val="clear" w:color="auto" w:fill="auto"/>
            <w:hideMark/>
          </w:tcPr>
          <w:p w14:paraId="760378F2" w14:textId="77777777" w:rsidR="00AC2C4F" w:rsidRPr="003445C7" w:rsidRDefault="00AC2C4F" w:rsidP="005F2E4B">
            <w:pPr>
              <w:tabs>
                <w:tab w:val="left" w:pos="720"/>
              </w:tabs>
              <w:rPr>
                <w:rFonts w:cs="Arial"/>
                <w:bCs/>
                <w:sz w:val="20"/>
                <w:szCs w:val="20"/>
                <w:highlight w:val="yellow"/>
              </w:rPr>
            </w:pPr>
            <w:r w:rsidRPr="000C5A47">
              <w:rPr>
                <w:rFonts w:cs="Arial"/>
                <w:bCs/>
                <w:sz w:val="20"/>
                <w:szCs w:val="20"/>
              </w:rPr>
              <w:t>JA</w:t>
            </w:r>
          </w:p>
        </w:tc>
        <w:tc>
          <w:tcPr>
            <w:tcW w:w="1843" w:type="dxa"/>
            <w:shd w:val="clear" w:color="auto" w:fill="auto"/>
          </w:tcPr>
          <w:p w14:paraId="7E43C962" w14:textId="77777777" w:rsidR="00AC2C4F" w:rsidRPr="003445C7" w:rsidRDefault="00AC2C4F" w:rsidP="005F2E4B">
            <w:pPr>
              <w:spacing w:line="252" w:lineRule="auto"/>
              <w:jc w:val="right"/>
              <w:rPr>
                <w:rFonts w:cs="Arial"/>
                <w:sz w:val="20"/>
                <w:szCs w:val="20"/>
                <w:highlight w:val="yellow"/>
              </w:rPr>
            </w:pPr>
            <w:r>
              <w:rPr>
                <w:rFonts w:eastAsia="Calibri" w:cs="Arial"/>
                <w:sz w:val="20"/>
                <w:szCs w:val="20"/>
              </w:rPr>
              <w:t>62,07</w:t>
            </w:r>
          </w:p>
        </w:tc>
        <w:tc>
          <w:tcPr>
            <w:tcW w:w="1985" w:type="dxa"/>
            <w:shd w:val="clear" w:color="auto" w:fill="auto"/>
          </w:tcPr>
          <w:p w14:paraId="0991B3E9" w14:textId="77777777" w:rsidR="00AC2C4F" w:rsidRPr="003445C7" w:rsidRDefault="00AC2C4F" w:rsidP="005F2E4B">
            <w:pPr>
              <w:spacing w:line="252" w:lineRule="auto"/>
              <w:jc w:val="right"/>
              <w:rPr>
                <w:rFonts w:cs="Arial"/>
                <w:sz w:val="20"/>
                <w:szCs w:val="20"/>
                <w:highlight w:val="yellow"/>
              </w:rPr>
            </w:pPr>
            <w:r>
              <w:rPr>
                <w:rFonts w:eastAsia="Calibri" w:cs="Arial"/>
                <w:sz w:val="20"/>
                <w:szCs w:val="20"/>
              </w:rPr>
              <w:t>2,48</w:t>
            </w:r>
          </w:p>
        </w:tc>
        <w:tc>
          <w:tcPr>
            <w:tcW w:w="1984" w:type="dxa"/>
            <w:shd w:val="clear" w:color="auto" w:fill="auto"/>
          </w:tcPr>
          <w:p w14:paraId="35AF9623" w14:textId="77777777" w:rsidR="00AC2C4F" w:rsidRPr="003445C7" w:rsidRDefault="00AC2C4F" w:rsidP="005F2E4B">
            <w:pPr>
              <w:spacing w:line="252" w:lineRule="auto"/>
              <w:jc w:val="right"/>
              <w:rPr>
                <w:rFonts w:cs="Arial"/>
                <w:sz w:val="20"/>
                <w:szCs w:val="20"/>
                <w:highlight w:val="yellow"/>
              </w:rPr>
            </w:pPr>
            <w:r>
              <w:rPr>
                <w:rFonts w:eastAsia="Calibri" w:cs="Arial"/>
                <w:sz w:val="20"/>
                <w:szCs w:val="20"/>
              </w:rPr>
              <w:t>5,03</w:t>
            </w:r>
          </w:p>
        </w:tc>
        <w:tc>
          <w:tcPr>
            <w:tcW w:w="1985" w:type="dxa"/>
            <w:shd w:val="clear" w:color="auto" w:fill="auto"/>
          </w:tcPr>
          <w:p w14:paraId="2C1F81CD" w14:textId="77777777" w:rsidR="00AC2C4F" w:rsidRPr="003445C7" w:rsidRDefault="00AC2C4F" w:rsidP="005F2E4B">
            <w:pPr>
              <w:spacing w:line="252" w:lineRule="auto"/>
              <w:jc w:val="right"/>
              <w:rPr>
                <w:rFonts w:cs="Arial"/>
                <w:sz w:val="20"/>
                <w:szCs w:val="20"/>
                <w:highlight w:val="yellow"/>
              </w:rPr>
            </w:pPr>
            <w:r w:rsidRPr="008D172C">
              <w:rPr>
                <w:rFonts w:eastAsia="Calibri" w:cs="Arial"/>
                <w:sz w:val="20"/>
                <w:szCs w:val="20"/>
              </w:rPr>
              <w:t>0,00</w:t>
            </w:r>
          </w:p>
        </w:tc>
        <w:tc>
          <w:tcPr>
            <w:tcW w:w="1984" w:type="dxa"/>
            <w:shd w:val="clear" w:color="auto" w:fill="auto"/>
          </w:tcPr>
          <w:p w14:paraId="4FC35B15" w14:textId="77777777" w:rsidR="00AC2C4F" w:rsidRPr="003445C7" w:rsidRDefault="00AC2C4F" w:rsidP="005F2E4B">
            <w:pPr>
              <w:spacing w:line="252" w:lineRule="auto"/>
              <w:jc w:val="right"/>
              <w:rPr>
                <w:rFonts w:cs="Arial"/>
                <w:sz w:val="20"/>
                <w:szCs w:val="20"/>
                <w:highlight w:val="yellow"/>
              </w:rPr>
            </w:pPr>
            <w:r w:rsidRPr="008D172C">
              <w:rPr>
                <w:rFonts w:eastAsia="Calibri" w:cs="Arial"/>
                <w:sz w:val="20"/>
                <w:szCs w:val="20"/>
              </w:rPr>
              <w:t>0,00</w:t>
            </w:r>
          </w:p>
        </w:tc>
        <w:tc>
          <w:tcPr>
            <w:tcW w:w="1843" w:type="dxa"/>
            <w:shd w:val="clear" w:color="auto" w:fill="auto"/>
          </w:tcPr>
          <w:p w14:paraId="148A04A8" w14:textId="77777777" w:rsidR="00AC2C4F" w:rsidRPr="003445C7" w:rsidRDefault="00AC2C4F" w:rsidP="005F2E4B">
            <w:pPr>
              <w:spacing w:line="252" w:lineRule="auto"/>
              <w:jc w:val="right"/>
              <w:rPr>
                <w:rFonts w:cs="Arial"/>
                <w:sz w:val="20"/>
                <w:szCs w:val="20"/>
                <w:highlight w:val="yellow"/>
              </w:rPr>
            </w:pPr>
            <w:r w:rsidRPr="000C5A47">
              <w:rPr>
                <w:rFonts w:cs="Arial"/>
                <w:sz w:val="20"/>
                <w:szCs w:val="20"/>
              </w:rPr>
              <w:t>0</w:t>
            </w:r>
          </w:p>
        </w:tc>
      </w:tr>
      <w:tr w:rsidR="00AC2C4F" w:rsidRPr="00053DB8" w14:paraId="05CD19FF" w14:textId="77777777" w:rsidTr="005F2E4B">
        <w:trPr>
          <w:trHeight w:val="300"/>
        </w:trPr>
        <w:tc>
          <w:tcPr>
            <w:tcW w:w="1134" w:type="dxa"/>
            <w:shd w:val="clear" w:color="auto" w:fill="auto"/>
            <w:hideMark/>
          </w:tcPr>
          <w:p w14:paraId="1868516B" w14:textId="77777777" w:rsidR="00AC2C4F" w:rsidRPr="003445C7" w:rsidRDefault="00AC2C4F" w:rsidP="005F2E4B">
            <w:pPr>
              <w:tabs>
                <w:tab w:val="left" w:pos="720"/>
              </w:tabs>
              <w:rPr>
                <w:rFonts w:cs="Arial"/>
                <w:bCs/>
                <w:sz w:val="20"/>
                <w:szCs w:val="20"/>
                <w:highlight w:val="yellow"/>
              </w:rPr>
            </w:pPr>
            <w:r w:rsidRPr="00777C81">
              <w:rPr>
                <w:rFonts w:cs="Arial"/>
                <w:bCs/>
                <w:sz w:val="20"/>
                <w:szCs w:val="20"/>
              </w:rPr>
              <w:t>PMS</w:t>
            </w:r>
          </w:p>
        </w:tc>
        <w:tc>
          <w:tcPr>
            <w:tcW w:w="1843" w:type="dxa"/>
            <w:shd w:val="clear" w:color="auto" w:fill="auto"/>
          </w:tcPr>
          <w:p w14:paraId="75083961" w14:textId="77777777" w:rsidR="00AC2C4F" w:rsidRPr="003445C7" w:rsidRDefault="00AC2C4F" w:rsidP="005F2E4B">
            <w:pPr>
              <w:spacing w:line="252" w:lineRule="auto"/>
              <w:jc w:val="right"/>
              <w:rPr>
                <w:rFonts w:cs="Arial"/>
                <w:sz w:val="20"/>
                <w:szCs w:val="20"/>
                <w:highlight w:val="yellow"/>
              </w:rPr>
            </w:pPr>
            <w:r>
              <w:rPr>
                <w:rFonts w:eastAsia="Calibri" w:cs="Arial"/>
                <w:sz w:val="20"/>
                <w:szCs w:val="20"/>
              </w:rPr>
              <w:t>523,41</w:t>
            </w:r>
          </w:p>
        </w:tc>
        <w:tc>
          <w:tcPr>
            <w:tcW w:w="1985" w:type="dxa"/>
            <w:shd w:val="clear" w:color="auto" w:fill="auto"/>
          </w:tcPr>
          <w:p w14:paraId="578E3154" w14:textId="77777777" w:rsidR="00AC2C4F" w:rsidRPr="003445C7" w:rsidRDefault="00AC2C4F" w:rsidP="005F2E4B">
            <w:pPr>
              <w:spacing w:line="252" w:lineRule="auto"/>
              <w:jc w:val="right"/>
              <w:rPr>
                <w:rFonts w:cs="Arial"/>
                <w:sz w:val="20"/>
                <w:szCs w:val="20"/>
                <w:highlight w:val="yellow"/>
              </w:rPr>
            </w:pPr>
            <w:r>
              <w:rPr>
                <w:rFonts w:eastAsia="Calibri" w:cs="Arial"/>
                <w:sz w:val="20"/>
                <w:szCs w:val="20"/>
              </w:rPr>
              <w:t>20,93</w:t>
            </w:r>
          </w:p>
        </w:tc>
        <w:tc>
          <w:tcPr>
            <w:tcW w:w="1984" w:type="dxa"/>
            <w:shd w:val="clear" w:color="auto" w:fill="auto"/>
          </w:tcPr>
          <w:p w14:paraId="05073D5C" w14:textId="77777777" w:rsidR="00AC2C4F" w:rsidRPr="003445C7" w:rsidRDefault="00AC2C4F" w:rsidP="005F2E4B">
            <w:pPr>
              <w:spacing w:line="252" w:lineRule="auto"/>
              <w:jc w:val="right"/>
              <w:rPr>
                <w:rFonts w:cs="Arial"/>
                <w:sz w:val="20"/>
                <w:szCs w:val="20"/>
                <w:highlight w:val="yellow"/>
              </w:rPr>
            </w:pPr>
            <w:r>
              <w:rPr>
                <w:rFonts w:eastAsia="Calibri" w:cs="Arial"/>
                <w:sz w:val="20"/>
                <w:szCs w:val="20"/>
              </w:rPr>
              <w:t>5,14</w:t>
            </w:r>
          </w:p>
        </w:tc>
        <w:tc>
          <w:tcPr>
            <w:tcW w:w="1985" w:type="dxa"/>
            <w:shd w:val="clear" w:color="auto" w:fill="auto"/>
          </w:tcPr>
          <w:p w14:paraId="01C99DBC" w14:textId="77777777" w:rsidR="00AC2C4F" w:rsidRPr="003445C7" w:rsidRDefault="00AC2C4F" w:rsidP="005F2E4B">
            <w:pPr>
              <w:spacing w:line="252" w:lineRule="auto"/>
              <w:jc w:val="right"/>
              <w:rPr>
                <w:rFonts w:cs="Arial"/>
                <w:sz w:val="20"/>
                <w:szCs w:val="20"/>
                <w:highlight w:val="yellow"/>
              </w:rPr>
            </w:pPr>
            <w:r>
              <w:rPr>
                <w:rFonts w:eastAsia="Calibri" w:cs="Arial"/>
                <w:sz w:val="20"/>
                <w:szCs w:val="20"/>
              </w:rPr>
              <w:t>11,64</w:t>
            </w:r>
          </w:p>
        </w:tc>
        <w:tc>
          <w:tcPr>
            <w:tcW w:w="1984" w:type="dxa"/>
            <w:shd w:val="clear" w:color="auto" w:fill="auto"/>
          </w:tcPr>
          <w:p w14:paraId="2EB4E853" w14:textId="77777777" w:rsidR="00AC2C4F" w:rsidRPr="003445C7" w:rsidRDefault="00AC2C4F" w:rsidP="005F2E4B">
            <w:pPr>
              <w:spacing w:line="252" w:lineRule="auto"/>
              <w:jc w:val="right"/>
              <w:rPr>
                <w:rFonts w:cs="Arial"/>
                <w:sz w:val="20"/>
                <w:szCs w:val="20"/>
                <w:highlight w:val="yellow"/>
              </w:rPr>
            </w:pPr>
            <w:r>
              <w:rPr>
                <w:rFonts w:eastAsia="Calibri" w:cs="Arial"/>
                <w:sz w:val="20"/>
                <w:szCs w:val="20"/>
              </w:rPr>
              <w:t>4,15</w:t>
            </w:r>
          </w:p>
        </w:tc>
        <w:tc>
          <w:tcPr>
            <w:tcW w:w="1843" w:type="dxa"/>
            <w:shd w:val="clear" w:color="auto" w:fill="auto"/>
          </w:tcPr>
          <w:p w14:paraId="6D418661" w14:textId="77777777" w:rsidR="00AC2C4F" w:rsidRPr="003445C7" w:rsidRDefault="00AC2C4F" w:rsidP="005F2E4B">
            <w:pPr>
              <w:spacing w:line="252" w:lineRule="auto"/>
              <w:jc w:val="right"/>
              <w:rPr>
                <w:rFonts w:cs="Arial"/>
                <w:sz w:val="20"/>
                <w:szCs w:val="20"/>
                <w:highlight w:val="yellow"/>
              </w:rPr>
            </w:pPr>
            <w:r>
              <w:rPr>
                <w:rFonts w:eastAsia="Calibri" w:cs="Arial"/>
                <w:sz w:val="20"/>
                <w:szCs w:val="20"/>
              </w:rPr>
              <w:t>440 181</w:t>
            </w:r>
          </w:p>
        </w:tc>
      </w:tr>
      <w:tr w:rsidR="00AC2C4F" w:rsidRPr="00053DB8" w14:paraId="5FAD8DDD" w14:textId="77777777" w:rsidTr="005F2E4B">
        <w:trPr>
          <w:trHeight w:val="300"/>
        </w:trPr>
        <w:tc>
          <w:tcPr>
            <w:tcW w:w="1134" w:type="dxa"/>
            <w:shd w:val="clear" w:color="auto" w:fill="auto"/>
            <w:hideMark/>
          </w:tcPr>
          <w:p w14:paraId="286B0EB3" w14:textId="77777777" w:rsidR="00AC2C4F" w:rsidRPr="003445C7" w:rsidRDefault="00AC2C4F" w:rsidP="005F2E4B">
            <w:pPr>
              <w:tabs>
                <w:tab w:val="left" w:pos="720"/>
              </w:tabs>
              <w:rPr>
                <w:rFonts w:cs="Arial"/>
                <w:bCs/>
                <w:sz w:val="20"/>
                <w:szCs w:val="20"/>
                <w:highlight w:val="yellow"/>
              </w:rPr>
            </w:pPr>
            <w:r w:rsidRPr="00A00113">
              <w:rPr>
                <w:rFonts w:cs="Arial"/>
                <w:bCs/>
                <w:sz w:val="20"/>
                <w:szCs w:val="20"/>
              </w:rPr>
              <w:t>RT</w:t>
            </w:r>
          </w:p>
        </w:tc>
        <w:tc>
          <w:tcPr>
            <w:tcW w:w="1843" w:type="dxa"/>
            <w:shd w:val="clear" w:color="auto" w:fill="auto"/>
          </w:tcPr>
          <w:p w14:paraId="2E1FB24F" w14:textId="77777777" w:rsidR="00AC2C4F" w:rsidRPr="003445C7" w:rsidRDefault="00AC2C4F" w:rsidP="005F2E4B">
            <w:pPr>
              <w:spacing w:line="252" w:lineRule="auto"/>
              <w:jc w:val="right"/>
              <w:rPr>
                <w:rFonts w:cs="Arial"/>
                <w:sz w:val="20"/>
                <w:szCs w:val="20"/>
                <w:highlight w:val="yellow"/>
              </w:rPr>
            </w:pPr>
            <w:r>
              <w:rPr>
                <w:rFonts w:eastAsia="Calibri" w:cs="Arial"/>
                <w:sz w:val="20"/>
                <w:szCs w:val="20"/>
              </w:rPr>
              <w:t>33</w:t>
            </w:r>
          </w:p>
        </w:tc>
        <w:tc>
          <w:tcPr>
            <w:tcW w:w="1985" w:type="dxa"/>
            <w:shd w:val="clear" w:color="auto" w:fill="auto"/>
          </w:tcPr>
          <w:p w14:paraId="11084CE8" w14:textId="77777777" w:rsidR="00AC2C4F" w:rsidRPr="003445C7" w:rsidRDefault="00AC2C4F" w:rsidP="005F2E4B">
            <w:pPr>
              <w:spacing w:line="252" w:lineRule="auto"/>
              <w:jc w:val="right"/>
              <w:rPr>
                <w:rFonts w:cs="Arial"/>
                <w:sz w:val="20"/>
                <w:szCs w:val="20"/>
                <w:highlight w:val="yellow"/>
              </w:rPr>
            </w:pPr>
            <w:r>
              <w:rPr>
                <w:rFonts w:eastAsia="Calibri" w:cs="Arial"/>
                <w:sz w:val="20"/>
                <w:szCs w:val="20"/>
              </w:rPr>
              <w:t>1,32</w:t>
            </w:r>
          </w:p>
        </w:tc>
        <w:tc>
          <w:tcPr>
            <w:tcW w:w="1984" w:type="dxa"/>
            <w:shd w:val="clear" w:color="auto" w:fill="auto"/>
          </w:tcPr>
          <w:p w14:paraId="067B0959" w14:textId="77777777" w:rsidR="00AC2C4F" w:rsidRPr="003445C7" w:rsidRDefault="00AC2C4F" w:rsidP="005F2E4B">
            <w:pPr>
              <w:spacing w:line="252" w:lineRule="auto"/>
              <w:jc w:val="right"/>
              <w:rPr>
                <w:rFonts w:cs="Arial"/>
                <w:sz w:val="20"/>
                <w:szCs w:val="20"/>
                <w:highlight w:val="yellow"/>
              </w:rPr>
            </w:pPr>
            <w:r>
              <w:rPr>
                <w:rFonts w:eastAsia="Calibri" w:cs="Arial"/>
                <w:sz w:val="20"/>
                <w:szCs w:val="20"/>
              </w:rPr>
              <w:t>3,00</w:t>
            </w:r>
          </w:p>
        </w:tc>
        <w:tc>
          <w:tcPr>
            <w:tcW w:w="1985" w:type="dxa"/>
            <w:shd w:val="clear" w:color="auto" w:fill="auto"/>
          </w:tcPr>
          <w:p w14:paraId="39223D20" w14:textId="77777777" w:rsidR="00AC2C4F" w:rsidRPr="003445C7" w:rsidRDefault="00AC2C4F" w:rsidP="005F2E4B">
            <w:pPr>
              <w:spacing w:line="252" w:lineRule="auto"/>
              <w:jc w:val="right"/>
              <w:rPr>
                <w:rFonts w:cs="Arial"/>
                <w:sz w:val="20"/>
                <w:szCs w:val="20"/>
                <w:highlight w:val="yellow"/>
              </w:rPr>
            </w:pPr>
            <w:r w:rsidRPr="008D172C">
              <w:rPr>
                <w:rFonts w:eastAsia="Calibri" w:cs="Arial"/>
                <w:sz w:val="20"/>
                <w:szCs w:val="20"/>
              </w:rPr>
              <w:t>0,00</w:t>
            </w:r>
          </w:p>
        </w:tc>
        <w:tc>
          <w:tcPr>
            <w:tcW w:w="1984" w:type="dxa"/>
            <w:shd w:val="clear" w:color="auto" w:fill="auto"/>
          </w:tcPr>
          <w:p w14:paraId="718FCB64" w14:textId="77777777" w:rsidR="00AC2C4F" w:rsidRPr="003445C7" w:rsidRDefault="00AC2C4F" w:rsidP="005F2E4B">
            <w:pPr>
              <w:spacing w:line="252" w:lineRule="auto"/>
              <w:jc w:val="right"/>
              <w:rPr>
                <w:rFonts w:cs="Arial"/>
                <w:sz w:val="20"/>
                <w:szCs w:val="20"/>
                <w:highlight w:val="yellow"/>
              </w:rPr>
            </w:pPr>
            <w:r w:rsidRPr="008D172C">
              <w:rPr>
                <w:rFonts w:eastAsia="Calibri" w:cs="Arial"/>
                <w:sz w:val="20"/>
                <w:szCs w:val="20"/>
              </w:rPr>
              <w:t>0,00</w:t>
            </w:r>
          </w:p>
        </w:tc>
        <w:tc>
          <w:tcPr>
            <w:tcW w:w="1843" w:type="dxa"/>
            <w:shd w:val="clear" w:color="auto" w:fill="auto"/>
          </w:tcPr>
          <w:p w14:paraId="347AA235" w14:textId="77777777" w:rsidR="00AC2C4F" w:rsidRPr="003445C7" w:rsidRDefault="00AC2C4F" w:rsidP="005F2E4B">
            <w:pPr>
              <w:spacing w:line="252" w:lineRule="auto"/>
              <w:jc w:val="right"/>
              <w:rPr>
                <w:rFonts w:cs="Arial"/>
                <w:sz w:val="20"/>
                <w:szCs w:val="20"/>
                <w:highlight w:val="yellow"/>
              </w:rPr>
            </w:pPr>
            <w:r w:rsidRPr="00286513">
              <w:rPr>
                <w:rFonts w:cs="Arial"/>
                <w:sz w:val="20"/>
                <w:szCs w:val="20"/>
              </w:rPr>
              <w:t>0</w:t>
            </w:r>
          </w:p>
        </w:tc>
      </w:tr>
      <w:tr w:rsidR="00AC2C4F" w:rsidRPr="00053DB8" w14:paraId="6DD80B90" w14:textId="77777777" w:rsidTr="005F2E4B">
        <w:trPr>
          <w:trHeight w:val="315"/>
        </w:trPr>
        <w:tc>
          <w:tcPr>
            <w:tcW w:w="1134" w:type="dxa"/>
            <w:tcBorders>
              <w:bottom w:val="single" w:sz="12" w:space="0" w:color="auto"/>
            </w:tcBorders>
            <w:shd w:val="clear" w:color="auto" w:fill="auto"/>
            <w:hideMark/>
          </w:tcPr>
          <w:p w14:paraId="2028437C" w14:textId="77777777" w:rsidR="00AC2C4F" w:rsidRPr="003445C7" w:rsidRDefault="00AC2C4F" w:rsidP="005F2E4B">
            <w:pPr>
              <w:tabs>
                <w:tab w:val="left" w:pos="720"/>
              </w:tabs>
              <w:rPr>
                <w:rFonts w:cs="Arial"/>
                <w:bCs/>
                <w:sz w:val="20"/>
                <w:szCs w:val="20"/>
                <w:highlight w:val="yellow"/>
              </w:rPr>
            </w:pPr>
            <w:r w:rsidRPr="00BE4E8E">
              <w:rPr>
                <w:rFonts w:cs="Arial"/>
                <w:bCs/>
                <w:sz w:val="20"/>
                <w:szCs w:val="20"/>
              </w:rPr>
              <w:t>VS ČR</w:t>
            </w:r>
          </w:p>
        </w:tc>
        <w:tc>
          <w:tcPr>
            <w:tcW w:w="1843" w:type="dxa"/>
            <w:tcBorders>
              <w:bottom w:val="single" w:sz="12" w:space="0" w:color="auto"/>
            </w:tcBorders>
            <w:shd w:val="clear" w:color="auto" w:fill="auto"/>
          </w:tcPr>
          <w:p w14:paraId="43B1AA9D" w14:textId="77777777" w:rsidR="00AC2C4F" w:rsidRPr="003445C7" w:rsidRDefault="00AC2C4F" w:rsidP="005F2E4B">
            <w:pPr>
              <w:spacing w:line="256" w:lineRule="auto"/>
              <w:jc w:val="right"/>
              <w:rPr>
                <w:rFonts w:cs="Arial"/>
                <w:sz w:val="20"/>
                <w:szCs w:val="20"/>
                <w:highlight w:val="yellow"/>
              </w:rPr>
            </w:pPr>
            <w:r>
              <w:rPr>
                <w:rFonts w:eastAsia="Calibri" w:cs="Arial"/>
                <w:sz w:val="20"/>
                <w:szCs w:val="20"/>
              </w:rPr>
              <w:t>4 354,38</w:t>
            </w:r>
          </w:p>
        </w:tc>
        <w:tc>
          <w:tcPr>
            <w:tcW w:w="1985" w:type="dxa"/>
            <w:tcBorders>
              <w:bottom w:val="single" w:sz="12" w:space="0" w:color="auto"/>
            </w:tcBorders>
            <w:shd w:val="clear" w:color="auto" w:fill="auto"/>
          </w:tcPr>
          <w:p w14:paraId="11EB1637" w14:textId="77777777" w:rsidR="00AC2C4F" w:rsidRPr="003445C7" w:rsidRDefault="00AC2C4F" w:rsidP="005F2E4B">
            <w:pPr>
              <w:spacing w:line="256" w:lineRule="auto"/>
              <w:jc w:val="right"/>
              <w:rPr>
                <w:rFonts w:cs="Arial"/>
                <w:sz w:val="20"/>
                <w:szCs w:val="20"/>
                <w:highlight w:val="yellow"/>
              </w:rPr>
            </w:pPr>
            <w:r>
              <w:rPr>
                <w:rFonts w:eastAsia="Calibri" w:cs="Arial"/>
                <w:sz w:val="20"/>
                <w:szCs w:val="20"/>
              </w:rPr>
              <w:t>174,17</w:t>
            </w:r>
          </w:p>
        </w:tc>
        <w:tc>
          <w:tcPr>
            <w:tcW w:w="1984" w:type="dxa"/>
            <w:tcBorders>
              <w:bottom w:val="single" w:sz="12" w:space="0" w:color="auto"/>
            </w:tcBorders>
            <w:shd w:val="clear" w:color="auto" w:fill="auto"/>
          </w:tcPr>
          <w:p w14:paraId="02BFF2E8" w14:textId="77777777" w:rsidR="00AC2C4F" w:rsidRPr="003445C7" w:rsidRDefault="00AC2C4F" w:rsidP="005F2E4B">
            <w:pPr>
              <w:spacing w:line="256" w:lineRule="auto"/>
              <w:jc w:val="right"/>
              <w:rPr>
                <w:rFonts w:cs="Arial"/>
                <w:sz w:val="20"/>
                <w:szCs w:val="20"/>
                <w:highlight w:val="yellow"/>
              </w:rPr>
            </w:pPr>
            <w:r>
              <w:rPr>
                <w:rFonts w:eastAsia="Calibri" w:cs="Arial"/>
                <w:sz w:val="20"/>
                <w:szCs w:val="20"/>
              </w:rPr>
              <w:t>89,94</w:t>
            </w:r>
          </w:p>
        </w:tc>
        <w:tc>
          <w:tcPr>
            <w:tcW w:w="1985" w:type="dxa"/>
            <w:tcBorders>
              <w:bottom w:val="single" w:sz="12" w:space="0" w:color="auto"/>
            </w:tcBorders>
            <w:shd w:val="clear" w:color="auto" w:fill="auto"/>
          </w:tcPr>
          <w:p w14:paraId="18D6673B" w14:textId="77777777" w:rsidR="00AC2C4F" w:rsidRPr="003445C7" w:rsidRDefault="00AC2C4F" w:rsidP="005F2E4B">
            <w:pPr>
              <w:spacing w:line="256" w:lineRule="auto"/>
              <w:jc w:val="right"/>
              <w:rPr>
                <w:rFonts w:cs="Arial"/>
                <w:sz w:val="20"/>
                <w:szCs w:val="20"/>
                <w:highlight w:val="yellow"/>
              </w:rPr>
            </w:pPr>
            <w:r>
              <w:rPr>
                <w:rFonts w:eastAsia="Calibri" w:cs="Arial"/>
                <w:sz w:val="20"/>
                <w:szCs w:val="20"/>
              </w:rPr>
              <w:t>151,81</w:t>
            </w:r>
          </w:p>
        </w:tc>
        <w:tc>
          <w:tcPr>
            <w:tcW w:w="1984" w:type="dxa"/>
            <w:tcBorders>
              <w:bottom w:val="single" w:sz="12" w:space="0" w:color="auto"/>
            </w:tcBorders>
            <w:shd w:val="clear" w:color="auto" w:fill="auto"/>
          </w:tcPr>
          <w:p w14:paraId="7442F7B5" w14:textId="77777777" w:rsidR="00AC2C4F" w:rsidRPr="003445C7" w:rsidRDefault="00AC2C4F" w:rsidP="005F2E4B">
            <w:pPr>
              <w:spacing w:line="256" w:lineRule="auto"/>
              <w:jc w:val="right"/>
              <w:rPr>
                <w:rFonts w:cs="Arial"/>
                <w:sz w:val="20"/>
                <w:szCs w:val="20"/>
                <w:highlight w:val="yellow"/>
              </w:rPr>
            </w:pPr>
            <w:r w:rsidRPr="008D172C">
              <w:rPr>
                <w:rFonts w:eastAsia="Calibri" w:cs="Arial"/>
                <w:sz w:val="20"/>
                <w:szCs w:val="20"/>
              </w:rPr>
              <w:t>0,00</w:t>
            </w:r>
          </w:p>
        </w:tc>
        <w:tc>
          <w:tcPr>
            <w:tcW w:w="1843" w:type="dxa"/>
            <w:tcBorders>
              <w:bottom w:val="single" w:sz="12" w:space="0" w:color="auto"/>
            </w:tcBorders>
            <w:shd w:val="clear" w:color="auto" w:fill="auto"/>
          </w:tcPr>
          <w:p w14:paraId="4825D137" w14:textId="77777777" w:rsidR="00AC2C4F" w:rsidRPr="003445C7" w:rsidRDefault="00AC2C4F" w:rsidP="005F2E4B">
            <w:pPr>
              <w:spacing w:line="256" w:lineRule="auto"/>
              <w:jc w:val="right"/>
              <w:rPr>
                <w:rFonts w:cs="Arial"/>
                <w:sz w:val="20"/>
                <w:szCs w:val="20"/>
                <w:highlight w:val="yellow"/>
                <w:vertAlign w:val="subscript"/>
              </w:rPr>
            </w:pPr>
            <w:r w:rsidRPr="007D400B">
              <w:rPr>
                <w:rFonts w:cs="Arial"/>
                <w:sz w:val="20"/>
                <w:szCs w:val="20"/>
              </w:rPr>
              <w:t>0</w:t>
            </w:r>
          </w:p>
        </w:tc>
      </w:tr>
      <w:tr w:rsidR="00AC2C4F" w:rsidRPr="00053DB8" w14:paraId="72A1C64C" w14:textId="77777777" w:rsidTr="005F2E4B">
        <w:trPr>
          <w:trHeight w:val="315"/>
        </w:trPr>
        <w:tc>
          <w:tcPr>
            <w:tcW w:w="1134" w:type="dxa"/>
            <w:tcBorders>
              <w:top w:val="single" w:sz="12" w:space="0" w:color="auto"/>
              <w:bottom w:val="single" w:sz="12" w:space="0" w:color="auto"/>
            </w:tcBorders>
            <w:shd w:val="clear" w:color="auto" w:fill="auto"/>
            <w:noWrap/>
            <w:hideMark/>
          </w:tcPr>
          <w:p w14:paraId="14407253" w14:textId="77777777" w:rsidR="00AC2C4F" w:rsidRPr="003445C7" w:rsidRDefault="00AC2C4F" w:rsidP="005F2E4B">
            <w:pPr>
              <w:tabs>
                <w:tab w:val="left" w:pos="720"/>
              </w:tabs>
              <w:rPr>
                <w:rFonts w:cs="Arial"/>
                <w:b/>
                <w:bCs/>
                <w:sz w:val="20"/>
                <w:szCs w:val="20"/>
                <w:highlight w:val="yellow"/>
              </w:rPr>
            </w:pPr>
            <w:r w:rsidRPr="00464F10">
              <w:rPr>
                <w:rFonts w:cs="Arial"/>
                <w:b/>
                <w:bCs/>
                <w:sz w:val="20"/>
                <w:szCs w:val="20"/>
              </w:rPr>
              <w:lastRenderedPageBreak/>
              <w:t>MŠMT</w:t>
            </w:r>
          </w:p>
        </w:tc>
        <w:tc>
          <w:tcPr>
            <w:tcW w:w="1843" w:type="dxa"/>
            <w:tcBorders>
              <w:top w:val="single" w:sz="12" w:space="0" w:color="auto"/>
              <w:bottom w:val="single" w:sz="12" w:space="0" w:color="auto"/>
            </w:tcBorders>
            <w:shd w:val="clear" w:color="auto" w:fill="auto"/>
            <w:noWrap/>
            <w:vAlign w:val="center"/>
          </w:tcPr>
          <w:p w14:paraId="076E99EC" w14:textId="77777777" w:rsidR="00AC2C4F" w:rsidRPr="003445C7" w:rsidRDefault="00AC2C4F" w:rsidP="005F2E4B">
            <w:pPr>
              <w:jc w:val="right"/>
              <w:rPr>
                <w:rFonts w:eastAsia="Calibri" w:cs="Arial"/>
                <w:sz w:val="20"/>
                <w:szCs w:val="20"/>
                <w:highlight w:val="yellow"/>
              </w:rPr>
            </w:pPr>
            <w:r w:rsidRPr="006850E8">
              <w:rPr>
                <w:rFonts w:cs="Arial"/>
                <w:color w:val="000000"/>
                <w:sz w:val="20"/>
                <w:szCs w:val="20"/>
              </w:rPr>
              <w:t>899,43</w:t>
            </w:r>
          </w:p>
        </w:tc>
        <w:tc>
          <w:tcPr>
            <w:tcW w:w="1985" w:type="dxa"/>
            <w:tcBorders>
              <w:top w:val="single" w:sz="12" w:space="0" w:color="auto"/>
              <w:bottom w:val="single" w:sz="12" w:space="0" w:color="auto"/>
            </w:tcBorders>
            <w:shd w:val="clear" w:color="auto" w:fill="auto"/>
            <w:noWrap/>
            <w:vAlign w:val="center"/>
          </w:tcPr>
          <w:p w14:paraId="391395F4" w14:textId="77777777" w:rsidR="00AC2C4F" w:rsidRPr="003445C7" w:rsidRDefault="00AC2C4F" w:rsidP="005F2E4B">
            <w:pPr>
              <w:jc w:val="right"/>
              <w:rPr>
                <w:rFonts w:eastAsia="Calibri" w:cs="Arial"/>
                <w:sz w:val="20"/>
                <w:szCs w:val="20"/>
                <w:highlight w:val="yellow"/>
              </w:rPr>
            </w:pPr>
            <w:r w:rsidRPr="006850E8">
              <w:rPr>
                <w:rFonts w:cs="Arial"/>
                <w:color w:val="000000"/>
                <w:sz w:val="20"/>
                <w:szCs w:val="20"/>
              </w:rPr>
              <w:t>35,97</w:t>
            </w:r>
          </w:p>
        </w:tc>
        <w:tc>
          <w:tcPr>
            <w:tcW w:w="1984" w:type="dxa"/>
            <w:tcBorders>
              <w:top w:val="single" w:sz="12" w:space="0" w:color="auto"/>
              <w:bottom w:val="single" w:sz="12" w:space="0" w:color="auto"/>
            </w:tcBorders>
            <w:shd w:val="clear" w:color="auto" w:fill="auto"/>
            <w:vAlign w:val="center"/>
          </w:tcPr>
          <w:p w14:paraId="3F6C735A" w14:textId="77777777" w:rsidR="00AC2C4F" w:rsidRPr="003445C7" w:rsidRDefault="00AC2C4F" w:rsidP="005F2E4B">
            <w:pPr>
              <w:jc w:val="right"/>
              <w:rPr>
                <w:rFonts w:eastAsia="Calibri" w:cs="Arial"/>
                <w:sz w:val="20"/>
                <w:szCs w:val="20"/>
                <w:highlight w:val="yellow"/>
              </w:rPr>
            </w:pPr>
            <w:r w:rsidRPr="006850E8">
              <w:rPr>
                <w:rFonts w:eastAsia="Calibri" w:cs="Arial"/>
                <w:sz w:val="20"/>
                <w:szCs w:val="20"/>
              </w:rPr>
              <w:t>13</w:t>
            </w:r>
            <w:r>
              <w:rPr>
                <w:rFonts w:eastAsia="Calibri" w:cs="Arial"/>
                <w:sz w:val="20"/>
                <w:szCs w:val="20"/>
              </w:rPr>
              <w:t>,00</w:t>
            </w:r>
          </w:p>
        </w:tc>
        <w:tc>
          <w:tcPr>
            <w:tcW w:w="1985" w:type="dxa"/>
            <w:tcBorders>
              <w:top w:val="single" w:sz="12" w:space="0" w:color="auto"/>
              <w:bottom w:val="single" w:sz="12" w:space="0" w:color="auto"/>
            </w:tcBorders>
            <w:shd w:val="clear" w:color="auto" w:fill="auto"/>
            <w:vAlign w:val="center"/>
          </w:tcPr>
          <w:p w14:paraId="3E922900" w14:textId="77777777" w:rsidR="00AC2C4F" w:rsidRPr="003445C7" w:rsidRDefault="00AC2C4F" w:rsidP="005F2E4B">
            <w:pPr>
              <w:jc w:val="right"/>
              <w:rPr>
                <w:rFonts w:eastAsia="Calibri" w:cs="Arial"/>
                <w:sz w:val="20"/>
                <w:szCs w:val="20"/>
                <w:highlight w:val="yellow"/>
              </w:rPr>
            </w:pPr>
            <w:r w:rsidRPr="006850E8">
              <w:rPr>
                <w:rFonts w:cs="Arial"/>
                <w:color w:val="000000"/>
                <w:sz w:val="20"/>
                <w:szCs w:val="20"/>
              </w:rPr>
              <w:t>19,38</w:t>
            </w:r>
          </w:p>
        </w:tc>
        <w:tc>
          <w:tcPr>
            <w:tcW w:w="1984" w:type="dxa"/>
            <w:tcBorders>
              <w:top w:val="single" w:sz="12" w:space="0" w:color="auto"/>
              <w:bottom w:val="single" w:sz="12" w:space="0" w:color="auto"/>
            </w:tcBorders>
            <w:shd w:val="clear" w:color="auto" w:fill="auto"/>
            <w:noWrap/>
            <w:vAlign w:val="center"/>
          </w:tcPr>
          <w:p w14:paraId="083BAEA9" w14:textId="77777777" w:rsidR="00AC2C4F" w:rsidRPr="003445C7" w:rsidRDefault="00AC2C4F" w:rsidP="005F2E4B">
            <w:pPr>
              <w:jc w:val="right"/>
              <w:rPr>
                <w:rFonts w:cs="Arial"/>
                <w:color w:val="000000"/>
                <w:sz w:val="20"/>
                <w:szCs w:val="20"/>
                <w:highlight w:val="yellow"/>
              </w:rPr>
            </w:pPr>
            <w:r w:rsidRPr="006850E8">
              <w:rPr>
                <w:rFonts w:cs="Arial"/>
                <w:color w:val="000000"/>
                <w:sz w:val="20"/>
                <w:szCs w:val="20"/>
              </w:rPr>
              <w:t>2,75</w:t>
            </w:r>
          </w:p>
        </w:tc>
        <w:tc>
          <w:tcPr>
            <w:tcW w:w="1843" w:type="dxa"/>
            <w:tcBorders>
              <w:top w:val="single" w:sz="12" w:space="0" w:color="auto"/>
              <w:bottom w:val="single" w:sz="12" w:space="0" w:color="auto"/>
            </w:tcBorders>
            <w:shd w:val="clear" w:color="auto" w:fill="auto"/>
            <w:noWrap/>
            <w:vAlign w:val="center"/>
          </w:tcPr>
          <w:p w14:paraId="74A82BB5" w14:textId="77777777" w:rsidR="00AC2C4F" w:rsidRPr="003445C7" w:rsidRDefault="00AC2C4F" w:rsidP="005F2E4B">
            <w:pPr>
              <w:jc w:val="right"/>
              <w:rPr>
                <w:rFonts w:cs="Arial"/>
                <w:color w:val="000000"/>
                <w:sz w:val="20"/>
                <w:szCs w:val="20"/>
                <w:highlight w:val="yellow"/>
              </w:rPr>
            </w:pPr>
            <w:r w:rsidRPr="006850E8">
              <w:rPr>
                <w:rFonts w:cs="Arial"/>
                <w:color w:val="000000"/>
                <w:sz w:val="20"/>
                <w:szCs w:val="20"/>
              </w:rPr>
              <w:t>291 686</w:t>
            </w:r>
          </w:p>
        </w:tc>
      </w:tr>
      <w:tr w:rsidR="00AC2C4F" w:rsidRPr="00053DB8" w14:paraId="6534F634" w14:textId="77777777" w:rsidTr="005F2E4B">
        <w:trPr>
          <w:trHeight w:val="300"/>
        </w:trPr>
        <w:tc>
          <w:tcPr>
            <w:tcW w:w="1134" w:type="dxa"/>
            <w:tcBorders>
              <w:top w:val="single" w:sz="12" w:space="0" w:color="auto"/>
              <w:bottom w:val="single" w:sz="4" w:space="0" w:color="auto"/>
            </w:tcBorders>
            <w:shd w:val="clear" w:color="auto" w:fill="auto"/>
            <w:hideMark/>
          </w:tcPr>
          <w:p w14:paraId="43414214" w14:textId="77777777" w:rsidR="00AC2C4F" w:rsidRPr="003445C7" w:rsidRDefault="00AC2C4F" w:rsidP="005F2E4B">
            <w:pPr>
              <w:tabs>
                <w:tab w:val="left" w:pos="720"/>
              </w:tabs>
              <w:rPr>
                <w:rFonts w:cs="Arial"/>
                <w:b/>
                <w:bCs/>
                <w:sz w:val="20"/>
                <w:szCs w:val="20"/>
                <w:highlight w:val="yellow"/>
              </w:rPr>
            </w:pPr>
            <w:r w:rsidRPr="00644CEB">
              <w:rPr>
                <w:rFonts w:cs="Arial"/>
                <w:b/>
                <w:bCs/>
                <w:sz w:val="20"/>
                <w:szCs w:val="20"/>
              </w:rPr>
              <w:t>MV</w:t>
            </w:r>
          </w:p>
        </w:tc>
        <w:tc>
          <w:tcPr>
            <w:tcW w:w="1843" w:type="dxa"/>
            <w:tcBorders>
              <w:top w:val="single" w:sz="12" w:space="0" w:color="auto"/>
              <w:bottom w:val="single" w:sz="4" w:space="0" w:color="auto"/>
            </w:tcBorders>
            <w:shd w:val="clear" w:color="auto" w:fill="auto"/>
            <w:noWrap/>
          </w:tcPr>
          <w:p w14:paraId="3990C578" w14:textId="77777777" w:rsidR="00AC2C4F" w:rsidRPr="003445C7" w:rsidRDefault="00AC2C4F" w:rsidP="005F2E4B">
            <w:pPr>
              <w:spacing w:line="256" w:lineRule="auto"/>
              <w:jc w:val="right"/>
              <w:rPr>
                <w:rFonts w:cs="Arial"/>
                <w:sz w:val="20"/>
                <w:szCs w:val="20"/>
                <w:highlight w:val="yellow"/>
              </w:rPr>
            </w:pPr>
            <w:r>
              <w:rPr>
                <w:rFonts w:eastAsia="Calibri" w:cs="Arial"/>
                <w:sz w:val="20"/>
                <w:szCs w:val="20"/>
              </w:rPr>
              <w:t xml:space="preserve">2 </w:t>
            </w:r>
            <w:r w:rsidRPr="00136A33">
              <w:rPr>
                <w:rFonts w:eastAsia="Calibri" w:cs="Arial"/>
                <w:sz w:val="20"/>
                <w:szCs w:val="20"/>
              </w:rPr>
              <w:t>639,65</w:t>
            </w:r>
          </w:p>
        </w:tc>
        <w:tc>
          <w:tcPr>
            <w:tcW w:w="1985" w:type="dxa"/>
            <w:tcBorders>
              <w:top w:val="single" w:sz="12" w:space="0" w:color="auto"/>
              <w:bottom w:val="single" w:sz="4" w:space="0" w:color="auto"/>
            </w:tcBorders>
            <w:shd w:val="clear" w:color="auto" w:fill="auto"/>
            <w:noWrap/>
          </w:tcPr>
          <w:p w14:paraId="01F45C06" w14:textId="77777777" w:rsidR="00AC2C4F" w:rsidRPr="003445C7" w:rsidRDefault="00AC2C4F" w:rsidP="005F2E4B">
            <w:pPr>
              <w:spacing w:line="256" w:lineRule="auto"/>
              <w:jc w:val="right"/>
              <w:rPr>
                <w:rFonts w:cs="Arial"/>
                <w:sz w:val="20"/>
                <w:szCs w:val="20"/>
                <w:highlight w:val="yellow"/>
              </w:rPr>
            </w:pPr>
            <w:r w:rsidRPr="00136A33">
              <w:rPr>
                <w:rFonts w:eastAsia="Calibri" w:cs="Arial"/>
                <w:sz w:val="20"/>
                <w:szCs w:val="20"/>
              </w:rPr>
              <w:t>105,58</w:t>
            </w:r>
          </w:p>
        </w:tc>
        <w:tc>
          <w:tcPr>
            <w:tcW w:w="1984" w:type="dxa"/>
            <w:tcBorders>
              <w:top w:val="single" w:sz="12" w:space="0" w:color="auto"/>
              <w:bottom w:val="single" w:sz="4" w:space="0" w:color="auto"/>
            </w:tcBorders>
            <w:shd w:val="clear" w:color="auto" w:fill="auto"/>
          </w:tcPr>
          <w:p w14:paraId="167AF3FA" w14:textId="77777777" w:rsidR="00AC2C4F" w:rsidRPr="003445C7" w:rsidRDefault="00AC2C4F" w:rsidP="005F2E4B">
            <w:pPr>
              <w:spacing w:line="256" w:lineRule="auto"/>
              <w:jc w:val="right"/>
              <w:rPr>
                <w:rFonts w:cs="Arial"/>
                <w:sz w:val="20"/>
                <w:szCs w:val="20"/>
                <w:highlight w:val="yellow"/>
              </w:rPr>
            </w:pPr>
            <w:r w:rsidRPr="00136A33">
              <w:rPr>
                <w:rFonts w:eastAsia="Calibri" w:cs="Arial"/>
                <w:sz w:val="20"/>
                <w:szCs w:val="20"/>
              </w:rPr>
              <w:t>45,76</w:t>
            </w:r>
          </w:p>
        </w:tc>
        <w:tc>
          <w:tcPr>
            <w:tcW w:w="1985" w:type="dxa"/>
            <w:tcBorders>
              <w:top w:val="single" w:sz="12" w:space="0" w:color="auto"/>
              <w:bottom w:val="single" w:sz="4" w:space="0" w:color="auto"/>
            </w:tcBorders>
            <w:shd w:val="clear" w:color="auto" w:fill="auto"/>
          </w:tcPr>
          <w:p w14:paraId="05EE6E3B" w14:textId="77777777" w:rsidR="00AC2C4F" w:rsidRPr="003445C7" w:rsidRDefault="00AC2C4F" w:rsidP="005F2E4B">
            <w:pPr>
              <w:spacing w:line="256" w:lineRule="auto"/>
              <w:jc w:val="right"/>
              <w:rPr>
                <w:rFonts w:cs="Arial"/>
                <w:sz w:val="20"/>
                <w:szCs w:val="20"/>
                <w:highlight w:val="yellow"/>
              </w:rPr>
            </w:pPr>
            <w:r w:rsidRPr="006750F9">
              <w:rPr>
                <w:rFonts w:eastAsia="Calibri" w:cs="Arial"/>
                <w:sz w:val="20"/>
                <w:szCs w:val="20"/>
              </w:rPr>
              <w:t>0,00</w:t>
            </w:r>
          </w:p>
        </w:tc>
        <w:tc>
          <w:tcPr>
            <w:tcW w:w="1984" w:type="dxa"/>
            <w:tcBorders>
              <w:top w:val="single" w:sz="12" w:space="0" w:color="auto"/>
              <w:bottom w:val="single" w:sz="4" w:space="0" w:color="auto"/>
            </w:tcBorders>
            <w:shd w:val="clear" w:color="auto" w:fill="auto"/>
            <w:noWrap/>
          </w:tcPr>
          <w:p w14:paraId="27077E97" w14:textId="77777777" w:rsidR="00AC2C4F" w:rsidRPr="003445C7" w:rsidRDefault="00AC2C4F" w:rsidP="005F2E4B">
            <w:pPr>
              <w:spacing w:line="256" w:lineRule="auto"/>
              <w:jc w:val="right"/>
              <w:rPr>
                <w:rFonts w:cs="Arial"/>
                <w:sz w:val="20"/>
                <w:szCs w:val="20"/>
                <w:highlight w:val="yellow"/>
              </w:rPr>
            </w:pPr>
            <w:r w:rsidRPr="00136A33">
              <w:rPr>
                <w:rFonts w:eastAsia="Calibri" w:cs="Arial"/>
                <w:sz w:val="20"/>
                <w:szCs w:val="20"/>
              </w:rPr>
              <w:t>59,82</w:t>
            </w:r>
          </w:p>
        </w:tc>
        <w:tc>
          <w:tcPr>
            <w:tcW w:w="1843" w:type="dxa"/>
            <w:tcBorders>
              <w:top w:val="single" w:sz="12" w:space="0" w:color="auto"/>
              <w:bottom w:val="single" w:sz="4" w:space="0" w:color="auto"/>
            </w:tcBorders>
            <w:shd w:val="clear" w:color="auto" w:fill="auto"/>
            <w:noWrap/>
          </w:tcPr>
          <w:p w14:paraId="65902053" w14:textId="77777777" w:rsidR="00AC2C4F" w:rsidRPr="003445C7" w:rsidRDefault="00AC2C4F" w:rsidP="005F2E4B">
            <w:pPr>
              <w:spacing w:line="256" w:lineRule="auto"/>
              <w:jc w:val="right"/>
              <w:rPr>
                <w:rFonts w:cs="Arial"/>
                <w:sz w:val="20"/>
                <w:szCs w:val="20"/>
                <w:highlight w:val="yellow"/>
              </w:rPr>
            </w:pPr>
            <w:r>
              <w:rPr>
                <w:rFonts w:eastAsia="Calibri" w:cs="Arial"/>
                <w:sz w:val="20"/>
                <w:szCs w:val="20"/>
              </w:rPr>
              <w:t xml:space="preserve">6 344 </w:t>
            </w:r>
            <w:r w:rsidRPr="00136A33">
              <w:rPr>
                <w:rFonts w:eastAsia="Calibri" w:cs="Arial"/>
                <w:sz w:val="20"/>
                <w:szCs w:val="20"/>
              </w:rPr>
              <w:t>958</w:t>
            </w:r>
          </w:p>
        </w:tc>
      </w:tr>
      <w:tr w:rsidR="00AC2C4F" w:rsidRPr="00053DB8" w14:paraId="58348E36" w14:textId="77777777" w:rsidTr="005F2E4B">
        <w:trPr>
          <w:trHeight w:val="300"/>
        </w:trPr>
        <w:tc>
          <w:tcPr>
            <w:tcW w:w="1134" w:type="dxa"/>
            <w:tcBorders>
              <w:top w:val="single" w:sz="4" w:space="0" w:color="auto"/>
              <w:bottom w:val="single" w:sz="4" w:space="0" w:color="auto"/>
            </w:tcBorders>
            <w:shd w:val="clear" w:color="auto" w:fill="auto"/>
          </w:tcPr>
          <w:p w14:paraId="3BD611DE" w14:textId="77777777" w:rsidR="00AC2C4F" w:rsidRPr="00566A4D" w:rsidRDefault="00AC2C4F" w:rsidP="005F2E4B">
            <w:pPr>
              <w:tabs>
                <w:tab w:val="left" w:pos="720"/>
              </w:tabs>
              <w:rPr>
                <w:rFonts w:cs="Arial"/>
                <w:bCs/>
                <w:sz w:val="20"/>
                <w:szCs w:val="20"/>
                <w:highlight w:val="yellow"/>
              </w:rPr>
            </w:pPr>
            <w:r w:rsidRPr="00566A4D">
              <w:rPr>
                <w:rFonts w:eastAsia="Calibri" w:cs="Arial"/>
                <w:sz w:val="20"/>
                <w:szCs w:val="20"/>
              </w:rPr>
              <w:t>HZS ČR</w:t>
            </w:r>
          </w:p>
        </w:tc>
        <w:tc>
          <w:tcPr>
            <w:tcW w:w="1843" w:type="dxa"/>
            <w:tcBorders>
              <w:top w:val="single" w:sz="4" w:space="0" w:color="auto"/>
              <w:bottom w:val="single" w:sz="4" w:space="0" w:color="auto"/>
            </w:tcBorders>
            <w:shd w:val="clear" w:color="auto" w:fill="auto"/>
            <w:noWrap/>
          </w:tcPr>
          <w:p w14:paraId="1E78377C" w14:textId="77777777" w:rsidR="00AC2C4F" w:rsidRPr="00754401" w:rsidRDefault="00AC2C4F" w:rsidP="005F2E4B">
            <w:pPr>
              <w:spacing w:line="256" w:lineRule="auto"/>
              <w:jc w:val="right"/>
              <w:rPr>
                <w:rFonts w:eastAsia="Calibri" w:cs="Arial"/>
                <w:sz w:val="20"/>
                <w:szCs w:val="20"/>
                <w:highlight w:val="yellow"/>
              </w:rPr>
            </w:pPr>
            <w:r w:rsidRPr="00754401">
              <w:rPr>
                <w:rFonts w:cs="Arial"/>
                <w:color w:val="000000"/>
                <w:sz w:val="20"/>
                <w:szCs w:val="20"/>
              </w:rPr>
              <w:t>360,46</w:t>
            </w:r>
          </w:p>
        </w:tc>
        <w:tc>
          <w:tcPr>
            <w:tcW w:w="1985" w:type="dxa"/>
            <w:tcBorders>
              <w:top w:val="single" w:sz="4" w:space="0" w:color="auto"/>
              <w:bottom w:val="single" w:sz="4" w:space="0" w:color="auto"/>
            </w:tcBorders>
            <w:shd w:val="clear" w:color="auto" w:fill="auto"/>
            <w:noWrap/>
          </w:tcPr>
          <w:p w14:paraId="04F54E9E" w14:textId="77777777" w:rsidR="00AC2C4F" w:rsidRPr="00754401" w:rsidRDefault="00AC2C4F" w:rsidP="005F2E4B">
            <w:pPr>
              <w:spacing w:after="0" w:line="256" w:lineRule="auto"/>
              <w:jc w:val="right"/>
              <w:rPr>
                <w:rFonts w:cs="Arial"/>
                <w:color w:val="000000"/>
                <w:sz w:val="20"/>
                <w:szCs w:val="20"/>
              </w:rPr>
            </w:pPr>
            <w:r w:rsidRPr="00754401">
              <w:rPr>
                <w:rFonts w:cs="Arial"/>
                <w:color w:val="000000"/>
                <w:sz w:val="20"/>
                <w:szCs w:val="20"/>
              </w:rPr>
              <w:t>14,41</w:t>
            </w:r>
          </w:p>
        </w:tc>
        <w:tc>
          <w:tcPr>
            <w:tcW w:w="1984" w:type="dxa"/>
            <w:tcBorders>
              <w:top w:val="single" w:sz="4" w:space="0" w:color="auto"/>
              <w:bottom w:val="single" w:sz="4" w:space="0" w:color="auto"/>
            </w:tcBorders>
            <w:shd w:val="clear" w:color="auto" w:fill="auto"/>
          </w:tcPr>
          <w:p w14:paraId="51D5AA36" w14:textId="77777777" w:rsidR="00AC2C4F" w:rsidRPr="00754401" w:rsidRDefault="00AC2C4F" w:rsidP="005F2E4B">
            <w:pPr>
              <w:spacing w:after="0" w:line="256" w:lineRule="auto"/>
              <w:jc w:val="right"/>
              <w:rPr>
                <w:rFonts w:cs="Arial"/>
                <w:color w:val="000000"/>
                <w:sz w:val="20"/>
                <w:szCs w:val="20"/>
              </w:rPr>
            </w:pPr>
            <w:r w:rsidRPr="00754401">
              <w:rPr>
                <w:rFonts w:cs="Arial"/>
                <w:color w:val="000000"/>
                <w:sz w:val="20"/>
                <w:szCs w:val="20"/>
              </w:rPr>
              <w:t>10,30</w:t>
            </w:r>
          </w:p>
        </w:tc>
        <w:tc>
          <w:tcPr>
            <w:tcW w:w="1985" w:type="dxa"/>
            <w:tcBorders>
              <w:top w:val="single" w:sz="4" w:space="0" w:color="auto"/>
              <w:bottom w:val="single" w:sz="4" w:space="0" w:color="auto"/>
            </w:tcBorders>
            <w:shd w:val="clear" w:color="auto" w:fill="auto"/>
          </w:tcPr>
          <w:p w14:paraId="0CEFB6E8" w14:textId="77777777" w:rsidR="00AC2C4F" w:rsidRPr="00754401" w:rsidRDefault="00AC2C4F" w:rsidP="005F2E4B">
            <w:pPr>
              <w:spacing w:line="256" w:lineRule="auto"/>
              <w:jc w:val="right"/>
              <w:rPr>
                <w:rFonts w:eastAsia="Calibri" w:cs="Arial"/>
                <w:sz w:val="20"/>
                <w:szCs w:val="20"/>
                <w:highlight w:val="yellow"/>
              </w:rPr>
            </w:pPr>
            <w:r w:rsidRPr="00754401">
              <w:rPr>
                <w:rFonts w:eastAsia="Calibri" w:cs="Arial"/>
                <w:sz w:val="20"/>
                <w:szCs w:val="20"/>
              </w:rPr>
              <w:t>0,00</w:t>
            </w:r>
          </w:p>
        </w:tc>
        <w:tc>
          <w:tcPr>
            <w:tcW w:w="1984" w:type="dxa"/>
            <w:tcBorders>
              <w:top w:val="single" w:sz="4" w:space="0" w:color="auto"/>
              <w:bottom w:val="single" w:sz="4" w:space="0" w:color="auto"/>
            </w:tcBorders>
            <w:shd w:val="clear" w:color="auto" w:fill="auto"/>
            <w:noWrap/>
          </w:tcPr>
          <w:p w14:paraId="63489B3A" w14:textId="77777777" w:rsidR="00AC2C4F" w:rsidRPr="00754401" w:rsidRDefault="00AC2C4F" w:rsidP="005F2E4B">
            <w:pPr>
              <w:spacing w:after="0" w:line="256" w:lineRule="auto"/>
              <w:jc w:val="right"/>
              <w:rPr>
                <w:rFonts w:cs="Arial"/>
                <w:color w:val="000000"/>
                <w:sz w:val="20"/>
                <w:szCs w:val="20"/>
              </w:rPr>
            </w:pPr>
            <w:r w:rsidRPr="00754401">
              <w:rPr>
                <w:rFonts w:cs="Arial"/>
                <w:color w:val="000000"/>
                <w:sz w:val="20"/>
                <w:szCs w:val="20"/>
              </w:rPr>
              <w:t>4,11</w:t>
            </w:r>
          </w:p>
        </w:tc>
        <w:tc>
          <w:tcPr>
            <w:tcW w:w="1843" w:type="dxa"/>
            <w:tcBorders>
              <w:top w:val="single" w:sz="4" w:space="0" w:color="auto"/>
              <w:bottom w:val="single" w:sz="4" w:space="0" w:color="auto"/>
            </w:tcBorders>
            <w:shd w:val="clear" w:color="auto" w:fill="auto"/>
            <w:noWrap/>
          </w:tcPr>
          <w:p w14:paraId="7377DBB4" w14:textId="77777777" w:rsidR="00AC2C4F" w:rsidRPr="00754401" w:rsidRDefault="00AC2C4F" w:rsidP="005F2E4B">
            <w:pPr>
              <w:spacing w:line="256" w:lineRule="auto"/>
              <w:jc w:val="right"/>
              <w:rPr>
                <w:rFonts w:eastAsia="Calibri" w:cs="Arial"/>
                <w:sz w:val="20"/>
                <w:szCs w:val="20"/>
                <w:highlight w:val="yellow"/>
              </w:rPr>
            </w:pPr>
            <w:r w:rsidRPr="00754401">
              <w:rPr>
                <w:rFonts w:cs="Arial"/>
                <w:color w:val="000000"/>
                <w:sz w:val="20"/>
                <w:szCs w:val="20"/>
              </w:rPr>
              <w:t>435 938</w:t>
            </w:r>
          </w:p>
        </w:tc>
      </w:tr>
      <w:tr w:rsidR="00AC2C4F" w:rsidRPr="00053DB8" w14:paraId="69501E83" w14:textId="77777777" w:rsidTr="005F2E4B">
        <w:trPr>
          <w:trHeight w:val="300"/>
        </w:trPr>
        <w:tc>
          <w:tcPr>
            <w:tcW w:w="1134" w:type="dxa"/>
            <w:tcBorders>
              <w:top w:val="single" w:sz="4" w:space="0" w:color="auto"/>
            </w:tcBorders>
            <w:shd w:val="clear" w:color="auto" w:fill="auto"/>
          </w:tcPr>
          <w:p w14:paraId="73409757" w14:textId="77777777" w:rsidR="00AC2C4F" w:rsidRPr="00566A4D" w:rsidRDefault="00AC2C4F" w:rsidP="005F2E4B">
            <w:pPr>
              <w:tabs>
                <w:tab w:val="left" w:pos="720"/>
              </w:tabs>
              <w:rPr>
                <w:rFonts w:cs="Arial"/>
                <w:bCs/>
                <w:sz w:val="20"/>
                <w:szCs w:val="20"/>
                <w:highlight w:val="yellow"/>
              </w:rPr>
            </w:pPr>
            <w:r w:rsidRPr="00566A4D">
              <w:rPr>
                <w:rFonts w:cs="Arial"/>
                <w:bCs/>
                <w:sz w:val="20"/>
                <w:szCs w:val="20"/>
              </w:rPr>
              <w:t>PČR</w:t>
            </w:r>
          </w:p>
        </w:tc>
        <w:tc>
          <w:tcPr>
            <w:tcW w:w="1843" w:type="dxa"/>
            <w:tcBorders>
              <w:top w:val="single" w:sz="4" w:space="0" w:color="auto"/>
            </w:tcBorders>
            <w:shd w:val="clear" w:color="auto" w:fill="auto"/>
            <w:noWrap/>
          </w:tcPr>
          <w:p w14:paraId="0FFAC9C3"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 xml:space="preserve">1 </w:t>
            </w:r>
            <w:r w:rsidRPr="00136A33">
              <w:rPr>
                <w:rFonts w:eastAsia="Calibri" w:cs="Arial"/>
                <w:sz w:val="20"/>
                <w:szCs w:val="20"/>
              </w:rPr>
              <w:t>807,60</w:t>
            </w:r>
          </w:p>
        </w:tc>
        <w:tc>
          <w:tcPr>
            <w:tcW w:w="1985" w:type="dxa"/>
            <w:tcBorders>
              <w:top w:val="single" w:sz="4" w:space="0" w:color="auto"/>
            </w:tcBorders>
            <w:shd w:val="clear" w:color="auto" w:fill="auto"/>
            <w:noWrap/>
          </w:tcPr>
          <w:p w14:paraId="231AF9B6" w14:textId="77777777" w:rsidR="00AC2C4F" w:rsidRPr="003445C7" w:rsidRDefault="00AC2C4F" w:rsidP="005F2E4B">
            <w:pPr>
              <w:spacing w:line="256" w:lineRule="auto"/>
              <w:jc w:val="right"/>
              <w:rPr>
                <w:rFonts w:eastAsia="Calibri" w:cs="Arial"/>
                <w:sz w:val="20"/>
                <w:szCs w:val="20"/>
                <w:highlight w:val="yellow"/>
              </w:rPr>
            </w:pPr>
            <w:r w:rsidRPr="00136A33">
              <w:rPr>
                <w:rFonts w:eastAsia="Calibri" w:cs="Arial"/>
                <w:sz w:val="20"/>
                <w:szCs w:val="20"/>
              </w:rPr>
              <w:t>72,30</w:t>
            </w:r>
          </w:p>
        </w:tc>
        <w:tc>
          <w:tcPr>
            <w:tcW w:w="1984" w:type="dxa"/>
            <w:tcBorders>
              <w:top w:val="single" w:sz="4" w:space="0" w:color="auto"/>
            </w:tcBorders>
            <w:shd w:val="clear" w:color="auto" w:fill="auto"/>
          </w:tcPr>
          <w:p w14:paraId="5CEA739D" w14:textId="77777777" w:rsidR="00AC2C4F" w:rsidRPr="003445C7" w:rsidRDefault="00AC2C4F" w:rsidP="005F2E4B">
            <w:pPr>
              <w:spacing w:line="256" w:lineRule="auto"/>
              <w:jc w:val="right"/>
              <w:rPr>
                <w:rFonts w:eastAsia="Calibri" w:cs="Arial"/>
                <w:sz w:val="20"/>
                <w:szCs w:val="20"/>
                <w:highlight w:val="yellow"/>
              </w:rPr>
            </w:pPr>
            <w:r w:rsidRPr="00136A33">
              <w:rPr>
                <w:rFonts w:eastAsia="Calibri" w:cs="Arial"/>
                <w:sz w:val="20"/>
                <w:szCs w:val="20"/>
              </w:rPr>
              <w:t>45,43</w:t>
            </w:r>
          </w:p>
        </w:tc>
        <w:tc>
          <w:tcPr>
            <w:tcW w:w="1985" w:type="dxa"/>
            <w:tcBorders>
              <w:top w:val="single" w:sz="4" w:space="0" w:color="auto"/>
            </w:tcBorders>
            <w:shd w:val="clear" w:color="auto" w:fill="auto"/>
          </w:tcPr>
          <w:p w14:paraId="2962263A" w14:textId="77777777" w:rsidR="00AC2C4F" w:rsidRPr="003445C7" w:rsidRDefault="00AC2C4F" w:rsidP="005F2E4B">
            <w:pPr>
              <w:spacing w:line="256" w:lineRule="auto"/>
              <w:jc w:val="right"/>
              <w:rPr>
                <w:rFonts w:eastAsia="Calibri" w:cs="Arial"/>
                <w:sz w:val="20"/>
                <w:szCs w:val="20"/>
                <w:highlight w:val="yellow"/>
              </w:rPr>
            </w:pPr>
            <w:r w:rsidRPr="00754401">
              <w:rPr>
                <w:rFonts w:eastAsia="Calibri" w:cs="Arial"/>
                <w:sz w:val="20"/>
                <w:szCs w:val="20"/>
              </w:rPr>
              <w:t>0,00</w:t>
            </w:r>
          </w:p>
        </w:tc>
        <w:tc>
          <w:tcPr>
            <w:tcW w:w="1984" w:type="dxa"/>
            <w:tcBorders>
              <w:top w:val="single" w:sz="4" w:space="0" w:color="auto"/>
            </w:tcBorders>
            <w:shd w:val="clear" w:color="auto" w:fill="auto"/>
            <w:noWrap/>
          </w:tcPr>
          <w:p w14:paraId="356150E5" w14:textId="77777777" w:rsidR="00AC2C4F" w:rsidRPr="003445C7" w:rsidRDefault="00AC2C4F" w:rsidP="005F2E4B">
            <w:pPr>
              <w:spacing w:line="256" w:lineRule="auto"/>
              <w:jc w:val="right"/>
              <w:rPr>
                <w:rFonts w:eastAsia="Calibri" w:cs="Arial"/>
                <w:sz w:val="20"/>
                <w:szCs w:val="20"/>
                <w:highlight w:val="yellow"/>
              </w:rPr>
            </w:pPr>
            <w:r w:rsidRPr="00136A33">
              <w:rPr>
                <w:rFonts w:eastAsia="Calibri" w:cs="Arial"/>
                <w:sz w:val="20"/>
                <w:szCs w:val="20"/>
              </w:rPr>
              <w:t>26,87</w:t>
            </w:r>
          </w:p>
        </w:tc>
        <w:tc>
          <w:tcPr>
            <w:tcW w:w="1843" w:type="dxa"/>
            <w:tcBorders>
              <w:top w:val="single" w:sz="4" w:space="0" w:color="auto"/>
            </w:tcBorders>
            <w:shd w:val="clear" w:color="auto" w:fill="auto"/>
            <w:noWrap/>
          </w:tcPr>
          <w:p w14:paraId="71692227"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 xml:space="preserve">2 850 </w:t>
            </w:r>
            <w:r w:rsidRPr="00136A33">
              <w:rPr>
                <w:rFonts w:eastAsia="Calibri" w:cs="Arial"/>
                <w:sz w:val="20"/>
                <w:szCs w:val="20"/>
              </w:rPr>
              <w:t>034</w:t>
            </w:r>
          </w:p>
        </w:tc>
      </w:tr>
      <w:tr w:rsidR="00AC2C4F" w:rsidRPr="00053DB8" w14:paraId="243D7D7C" w14:textId="77777777" w:rsidTr="005F2E4B">
        <w:trPr>
          <w:trHeight w:val="300"/>
        </w:trPr>
        <w:tc>
          <w:tcPr>
            <w:tcW w:w="1134" w:type="dxa"/>
            <w:tcBorders>
              <w:top w:val="single" w:sz="12" w:space="0" w:color="auto"/>
              <w:bottom w:val="single" w:sz="12" w:space="0" w:color="auto"/>
            </w:tcBorders>
            <w:shd w:val="clear" w:color="auto" w:fill="auto"/>
            <w:noWrap/>
            <w:hideMark/>
          </w:tcPr>
          <w:p w14:paraId="41AF7A9B" w14:textId="77777777" w:rsidR="00AC2C4F" w:rsidRPr="003445C7" w:rsidRDefault="00AC2C4F" w:rsidP="005F2E4B">
            <w:pPr>
              <w:tabs>
                <w:tab w:val="left" w:pos="720"/>
              </w:tabs>
              <w:rPr>
                <w:rFonts w:cs="Arial"/>
                <w:b/>
                <w:bCs/>
                <w:sz w:val="20"/>
                <w:szCs w:val="20"/>
                <w:highlight w:val="yellow"/>
              </w:rPr>
            </w:pPr>
            <w:r w:rsidRPr="00E41D3F">
              <w:rPr>
                <w:rFonts w:cs="Arial"/>
                <w:b/>
                <w:bCs/>
                <w:sz w:val="20"/>
                <w:szCs w:val="20"/>
              </w:rPr>
              <w:t>MZ</w:t>
            </w:r>
          </w:p>
        </w:tc>
        <w:tc>
          <w:tcPr>
            <w:tcW w:w="1843" w:type="dxa"/>
            <w:tcBorders>
              <w:top w:val="single" w:sz="12" w:space="0" w:color="auto"/>
              <w:bottom w:val="single" w:sz="12" w:space="0" w:color="auto"/>
            </w:tcBorders>
            <w:shd w:val="clear" w:color="auto" w:fill="auto"/>
            <w:noWrap/>
          </w:tcPr>
          <w:p w14:paraId="03FF5F2F" w14:textId="77777777" w:rsidR="00AC2C4F" w:rsidRPr="00E41D3F" w:rsidRDefault="00AC2C4F" w:rsidP="005F2E4B">
            <w:pPr>
              <w:spacing w:line="276" w:lineRule="auto"/>
              <w:jc w:val="right"/>
              <w:rPr>
                <w:rFonts w:eastAsia="Calibri" w:cs="Arial"/>
                <w:sz w:val="20"/>
                <w:szCs w:val="20"/>
              </w:rPr>
            </w:pPr>
            <w:r w:rsidRPr="00E41D3F">
              <w:rPr>
                <w:rFonts w:eastAsia="Calibri" w:cs="Arial"/>
                <w:color w:val="000000" w:themeColor="text1"/>
                <w:sz w:val="20"/>
                <w:szCs w:val="20"/>
              </w:rPr>
              <w:t>480,80</w:t>
            </w:r>
          </w:p>
        </w:tc>
        <w:tc>
          <w:tcPr>
            <w:tcW w:w="1985" w:type="dxa"/>
            <w:tcBorders>
              <w:top w:val="single" w:sz="12" w:space="0" w:color="auto"/>
              <w:bottom w:val="single" w:sz="12" w:space="0" w:color="auto"/>
            </w:tcBorders>
            <w:shd w:val="clear" w:color="auto" w:fill="auto"/>
            <w:noWrap/>
          </w:tcPr>
          <w:p w14:paraId="76F33D80" w14:textId="77777777" w:rsidR="00AC2C4F" w:rsidRPr="00E41D3F" w:rsidRDefault="00AC2C4F" w:rsidP="005F2E4B">
            <w:pPr>
              <w:spacing w:line="276" w:lineRule="auto"/>
              <w:jc w:val="right"/>
              <w:rPr>
                <w:rFonts w:eastAsia="Calibri" w:cs="Arial"/>
                <w:sz w:val="20"/>
                <w:szCs w:val="20"/>
              </w:rPr>
            </w:pPr>
            <w:r w:rsidRPr="00E41D3F">
              <w:rPr>
                <w:rFonts w:eastAsia="Calibri" w:cs="Arial"/>
                <w:color w:val="000000" w:themeColor="text1"/>
                <w:sz w:val="20"/>
                <w:szCs w:val="20"/>
              </w:rPr>
              <w:t>17,73</w:t>
            </w:r>
          </w:p>
        </w:tc>
        <w:tc>
          <w:tcPr>
            <w:tcW w:w="1984" w:type="dxa"/>
            <w:tcBorders>
              <w:top w:val="single" w:sz="12" w:space="0" w:color="auto"/>
              <w:bottom w:val="single" w:sz="12" w:space="0" w:color="auto"/>
            </w:tcBorders>
            <w:shd w:val="clear" w:color="auto" w:fill="auto"/>
          </w:tcPr>
          <w:p w14:paraId="6C8B56E0" w14:textId="77777777" w:rsidR="00AC2C4F" w:rsidRPr="00E41D3F" w:rsidRDefault="00AC2C4F" w:rsidP="005F2E4B">
            <w:pPr>
              <w:spacing w:line="276" w:lineRule="auto"/>
              <w:jc w:val="right"/>
              <w:rPr>
                <w:rFonts w:eastAsia="Calibri" w:cs="Arial"/>
                <w:sz w:val="20"/>
                <w:szCs w:val="20"/>
              </w:rPr>
            </w:pPr>
            <w:r w:rsidRPr="00E41D3F">
              <w:rPr>
                <w:rFonts w:eastAsia="Calibri" w:cs="Arial"/>
                <w:color w:val="000000" w:themeColor="text1"/>
                <w:sz w:val="20"/>
                <w:szCs w:val="20"/>
              </w:rPr>
              <w:t>1,69</w:t>
            </w:r>
          </w:p>
        </w:tc>
        <w:tc>
          <w:tcPr>
            <w:tcW w:w="1985" w:type="dxa"/>
            <w:tcBorders>
              <w:top w:val="single" w:sz="12" w:space="0" w:color="auto"/>
              <w:bottom w:val="single" w:sz="12" w:space="0" w:color="auto"/>
            </w:tcBorders>
            <w:shd w:val="clear" w:color="auto" w:fill="auto"/>
          </w:tcPr>
          <w:p w14:paraId="3890C77C" w14:textId="77777777" w:rsidR="00AC2C4F" w:rsidRPr="00E41D3F" w:rsidRDefault="00AC2C4F" w:rsidP="005F2E4B">
            <w:pPr>
              <w:spacing w:line="276" w:lineRule="auto"/>
              <w:jc w:val="right"/>
              <w:rPr>
                <w:rFonts w:eastAsia="Calibri" w:cs="Arial"/>
                <w:sz w:val="20"/>
                <w:szCs w:val="20"/>
              </w:rPr>
            </w:pPr>
            <w:r w:rsidRPr="00E41D3F">
              <w:rPr>
                <w:rFonts w:eastAsia="Calibri" w:cs="Arial"/>
                <w:color w:val="000000" w:themeColor="text1"/>
                <w:sz w:val="20"/>
                <w:szCs w:val="20"/>
              </w:rPr>
              <w:t>17,66</w:t>
            </w:r>
          </w:p>
        </w:tc>
        <w:tc>
          <w:tcPr>
            <w:tcW w:w="1984" w:type="dxa"/>
            <w:tcBorders>
              <w:top w:val="single" w:sz="12" w:space="0" w:color="auto"/>
              <w:bottom w:val="single" w:sz="12" w:space="0" w:color="auto"/>
            </w:tcBorders>
            <w:shd w:val="clear" w:color="auto" w:fill="auto"/>
            <w:noWrap/>
          </w:tcPr>
          <w:p w14:paraId="2541C07B" w14:textId="77777777" w:rsidR="00AC2C4F" w:rsidRPr="00E41D3F" w:rsidRDefault="00AC2C4F" w:rsidP="005F2E4B">
            <w:pPr>
              <w:spacing w:line="276" w:lineRule="auto"/>
              <w:jc w:val="right"/>
              <w:rPr>
                <w:rFonts w:eastAsia="Calibri" w:cs="Arial"/>
                <w:sz w:val="20"/>
                <w:szCs w:val="20"/>
              </w:rPr>
            </w:pPr>
            <w:r w:rsidRPr="00E41D3F">
              <w:rPr>
                <w:rFonts w:eastAsia="Calibri" w:cs="Arial"/>
                <w:sz w:val="20"/>
                <w:szCs w:val="20"/>
              </w:rPr>
              <w:t>0,00</w:t>
            </w:r>
          </w:p>
        </w:tc>
        <w:tc>
          <w:tcPr>
            <w:tcW w:w="1843" w:type="dxa"/>
            <w:tcBorders>
              <w:top w:val="single" w:sz="12" w:space="0" w:color="auto"/>
              <w:bottom w:val="single" w:sz="12" w:space="0" w:color="auto"/>
            </w:tcBorders>
            <w:shd w:val="clear" w:color="auto" w:fill="auto"/>
            <w:noWrap/>
          </w:tcPr>
          <w:p w14:paraId="6681FFC1" w14:textId="77777777" w:rsidR="00AC2C4F" w:rsidRPr="00E41D3F" w:rsidRDefault="00AC2C4F" w:rsidP="005F2E4B">
            <w:pPr>
              <w:spacing w:line="276" w:lineRule="auto"/>
              <w:jc w:val="right"/>
              <w:rPr>
                <w:rFonts w:eastAsia="Calibri" w:cs="Arial"/>
                <w:sz w:val="20"/>
                <w:szCs w:val="20"/>
              </w:rPr>
            </w:pPr>
            <w:r w:rsidRPr="00E41D3F">
              <w:rPr>
                <w:rFonts w:eastAsia="Calibri" w:cs="Arial"/>
                <w:sz w:val="20"/>
                <w:szCs w:val="20"/>
              </w:rPr>
              <w:t>0</w:t>
            </w:r>
          </w:p>
        </w:tc>
      </w:tr>
      <w:tr w:rsidR="00AC2C4F" w:rsidRPr="00053DB8" w14:paraId="170C5494" w14:textId="77777777" w:rsidTr="005F2E4B">
        <w:trPr>
          <w:trHeight w:val="300"/>
        </w:trPr>
        <w:tc>
          <w:tcPr>
            <w:tcW w:w="1134" w:type="dxa"/>
            <w:tcBorders>
              <w:top w:val="single" w:sz="12" w:space="0" w:color="auto"/>
              <w:bottom w:val="single" w:sz="12" w:space="0" w:color="auto"/>
            </w:tcBorders>
            <w:shd w:val="clear" w:color="auto" w:fill="auto"/>
            <w:noWrap/>
          </w:tcPr>
          <w:p w14:paraId="6603C6E0" w14:textId="77777777" w:rsidR="00AC2C4F" w:rsidRPr="00E41D3F" w:rsidRDefault="00AC2C4F" w:rsidP="005F2E4B">
            <w:pPr>
              <w:tabs>
                <w:tab w:val="left" w:pos="720"/>
              </w:tabs>
              <w:rPr>
                <w:rFonts w:cs="Arial"/>
                <w:b/>
                <w:bCs/>
                <w:sz w:val="20"/>
                <w:szCs w:val="20"/>
              </w:rPr>
            </w:pPr>
            <w:r w:rsidRPr="00EF6BB1">
              <w:rPr>
                <w:rFonts w:cs="Arial"/>
                <w:b/>
                <w:bCs/>
                <w:sz w:val="20"/>
                <w:szCs w:val="20"/>
              </w:rPr>
              <w:t>MZe</w:t>
            </w:r>
          </w:p>
        </w:tc>
        <w:tc>
          <w:tcPr>
            <w:tcW w:w="1843" w:type="dxa"/>
            <w:tcBorders>
              <w:top w:val="single" w:sz="12" w:space="0" w:color="auto"/>
              <w:bottom w:val="single" w:sz="12" w:space="0" w:color="auto"/>
            </w:tcBorders>
            <w:shd w:val="clear" w:color="auto" w:fill="auto"/>
            <w:noWrap/>
          </w:tcPr>
          <w:p w14:paraId="39F16E7F" w14:textId="77777777" w:rsidR="00AC2C4F" w:rsidRPr="00E41D3F" w:rsidRDefault="00AC2C4F" w:rsidP="005F2E4B">
            <w:pPr>
              <w:spacing w:line="276" w:lineRule="auto"/>
              <w:jc w:val="right"/>
              <w:rPr>
                <w:rFonts w:eastAsia="Calibri" w:cs="Arial"/>
                <w:color w:val="000000" w:themeColor="text1"/>
                <w:sz w:val="20"/>
                <w:szCs w:val="20"/>
              </w:rPr>
            </w:pPr>
            <w:r w:rsidRPr="006461F0">
              <w:rPr>
                <w:rFonts w:eastAsia="Times New Roman" w:cs="Arial"/>
                <w:sz w:val="20"/>
                <w:szCs w:val="20"/>
                <w:lang w:eastAsia="ar-SA"/>
              </w:rPr>
              <w:t>688</w:t>
            </w:r>
          </w:p>
        </w:tc>
        <w:tc>
          <w:tcPr>
            <w:tcW w:w="1985" w:type="dxa"/>
            <w:tcBorders>
              <w:top w:val="single" w:sz="12" w:space="0" w:color="auto"/>
              <w:bottom w:val="single" w:sz="12" w:space="0" w:color="auto"/>
            </w:tcBorders>
            <w:shd w:val="clear" w:color="auto" w:fill="auto"/>
            <w:noWrap/>
          </w:tcPr>
          <w:p w14:paraId="7E28BFEC" w14:textId="77777777" w:rsidR="00AC2C4F" w:rsidRPr="00E41D3F" w:rsidRDefault="00AC2C4F" w:rsidP="005F2E4B">
            <w:pPr>
              <w:spacing w:line="276" w:lineRule="auto"/>
              <w:jc w:val="right"/>
              <w:rPr>
                <w:rFonts w:eastAsia="Calibri" w:cs="Arial"/>
                <w:color w:val="000000" w:themeColor="text1"/>
                <w:sz w:val="20"/>
                <w:szCs w:val="20"/>
              </w:rPr>
            </w:pPr>
            <w:r w:rsidRPr="006461F0">
              <w:rPr>
                <w:rFonts w:eastAsia="Times New Roman" w:cs="Arial"/>
                <w:sz w:val="20"/>
                <w:szCs w:val="20"/>
                <w:lang w:eastAsia="ar-SA"/>
              </w:rPr>
              <w:t>26,84</w:t>
            </w:r>
          </w:p>
        </w:tc>
        <w:tc>
          <w:tcPr>
            <w:tcW w:w="1984" w:type="dxa"/>
            <w:tcBorders>
              <w:top w:val="single" w:sz="12" w:space="0" w:color="auto"/>
              <w:bottom w:val="single" w:sz="12" w:space="0" w:color="auto"/>
            </w:tcBorders>
            <w:shd w:val="clear" w:color="auto" w:fill="auto"/>
          </w:tcPr>
          <w:p w14:paraId="7C57AD01" w14:textId="77777777" w:rsidR="00AC2C4F" w:rsidRPr="00E41D3F" w:rsidRDefault="00AC2C4F" w:rsidP="005F2E4B">
            <w:pPr>
              <w:spacing w:line="276" w:lineRule="auto"/>
              <w:jc w:val="right"/>
              <w:rPr>
                <w:rFonts w:eastAsia="Calibri" w:cs="Arial"/>
                <w:color w:val="000000" w:themeColor="text1"/>
                <w:sz w:val="20"/>
                <w:szCs w:val="20"/>
              </w:rPr>
            </w:pPr>
            <w:r w:rsidRPr="006461F0">
              <w:rPr>
                <w:rFonts w:eastAsia="Times New Roman" w:cs="Arial"/>
                <w:sz w:val="20"/>
                <w:szCs w:val="20"/>
                <w:lang w:eastAsia="ar-SA"/>
              </w:rPr>
              <w:t>14,00</w:t>
            </w:r>
          </w:p>
        </w:tc>
        <w:tc>
          <w:tcPr>
            <w:tcW w:w="1985" w:type="dxa"/>
            <w:tcBorders>
              <w:top w:val="single" w:sz="12" w:space="0" w:color="auto"/>
              <w:bottom w:val="single" w:sz="12" w:space="0" w:color="auto"/>
            </w:tcBorders>
            <w:shd w:val="clear" w:color="auto" w:fill="auto"/>
          </w:tcPr>
          <w:p w14:paraId="4A94EB56" w14:textId="77777777" w:rsidR="00AC2C4F" w:rsidRPr="00E41D3F" w:rsidRDefault="00AC2C4F" w:rsidP="005F2E4B">
            <w:pPr>
              <w:spacing w:line="276" w:lineRule="auto"/>
              <w:jc w:val="right"/>
              <w:rPr>
                <w:rFonts w:eastAsia="Calibri" w:cs="Arial"/>
                <w:color w:val="000000" w:themeColor="text1"/>
                <w:sz w:val="20"/>
                <w:szCs w:val="20"/>
              </w:rPr>
            </w:pPr>
            <w:r w:rsidRPr="006461F0">
              <w:rPr>
                <w:rFonts w:eastAsia="Times New Roman" w:cs="Arial"/>
                <w:sz w:val="20"/>
                <w:szCs w:val="20"/>
                <w:lang w:eastAsia="ar-SA"/>
              </w:rPr>
              <w:t>14,27</w:t>
            </w:r>
          </w:p>
        </w:tc>
        <w:tc>
          <w:tcPr>
            <w:tcW w:w="1984" w:type="dxa"/>
            <w:tcBorders>
              <w:top w:val="single" w:sz="12" w:space="0" w:color="auto"/>
              <w:bottom w:val="single" w:sz="12" w:space="0" w:color="auto"/>
            </w:tcBorders>
            <w:shd w:val="clear" w:color="auto" w:fill="auto"/>
            <w:noWrap/>
          </w:tcPr>
          <w:p w14:paraId="4E151257" w14:textId="77777777" w:rsidR="00AC2C4F" w:rsidRPr="00E41D3F" w:rsidRDefault="00AC2C4F" w:rsidP="005F2E4B">
            <w:pPr>
              <w:spacing w:line="276" w:lineRule="auto"/>
              <w:jc w:val="right"/>
              <w:rPr>
                <w:rFonts w:eastAsia="Calibri" w:cs="Arial"/>
                <w:sz w:val="20"/>
                <w:szCs w:val="20"/>
              </w:rPr>
            </w:pPr>
            <w:r w:rsidRPr="006461F0">
              <w:rPr>
                <w:rFonts w:eastAsia="Calibri" w:cs="Arial"/>
                <w:sz w:val="20"/>
                <w:szCs w:val="20"/>
              </w:rPr>
              <w:t>0,00</w:t>
            </w:r>
          </w:p>
        </w:tc>
        <w:tc>
          <w:tcPr>
            <w:tcW w:w="1843" w:type="dxa"/>
            <w:tcBorders>
              <w:top w:val="single" w:sz="12" w:space="0" w:color="auto"/>
              <w:bottom w:val="single" w:sz="12" w:space="0" w:color="auto"/>
            </w:tcBorders>
            <w:shd w:val="clear" w:color="auto" w:fill="auto"/>
            <w:noWrap/>
          </w:tcPr>
          <w:p w14:paraId="196D741E" w14:textId="77777777" w:rsidR="00AC2C4F" w:rsidRPr="00E41D3F" w:rsidRDefault="00AC2C4F" w:rsidP="005F2E4B">
            <w:pPr>
              <w:spacing w:line="276" w:lineRule="auto"/>
              <w:jc w:val="right"/>
              <w:rPr>
                <w:rFonts w:eastAsia="Calibri" w:cs="Arial"/>
                <w:sz w:val="20"/>
                <w:szCs w:val="20"/>
              </w:rPr>
            </w:pPr>
            <w:r w:rsidRPr="006461F0">
              <w:rPr>
                <w:rFonts w:cs="Arial"/>
                <w:sz w:val="20"/>
                <w:szCs w:val="20"/>
              </w:rPr>
              <w:t>0</w:t>
            </w:r>
          </w:p>
        </w:tc>
      </w:tr>
      <w:tr w:rsidR="00AC2C4F" w:rsidRPr="00053DB8" w14:paraId="34588BA7" w14:textId="77777777" w:rsidTr="005F2E4B">
        <w:trPr>
          <w:trHeight w:val="300"/>
        </w:trPr>
        <w:tc>
          <w:tcPr>
            <w:tcW w:w="1134" w:type="dxa"/>
            <w:tcBorders>
              <w:top w:val="single" w:sz="12" w:space="0" w:color="auto"/>
              <w:bottom w:val="single" w:sz="12" w:space="0" w:color="auto"/>
            </w:tcBorders>
            <w:shd w:val="clear" w:color="auto" w:fill="auto"/>
            <w:noWrap/>
            <w:hideMark/>
          </w:tcPr>
          <w:p w14:paraId="4F1575A6" w14:textId="77777777" w:rsidR="00AC2C4F" w:rsidRPr="003445C7" w:rsidRDefault="00AC2C4F" w:rsidP="005F2E4B">
            <w:pPr>
              <w:tabs>
                <w:tab w:val="left" w:pos="720"/>
              </w:tabs>
              <w:rPr>
                <w:rFonts w:cs="Arial"/>
                <w:b/>
                <w:bCs/>
                <w:sz w:val="20"/>
                <w:szCs w:val="20"/>
                <w:highlight w:val="yellow"/>
              </w:rPr>
            </w:pPr>
            <w:r w:rsidRPr="00875161">
              <w:rPr>
                <w:rFonts w:cs="Arial"/>
                <w:b/>
                <w:bCs/>
                <w:sz w:val="20"/>
                <w:szCs w:val="20"/>
              </w:rPr>
              <w:t>MZV</w:t>
            </w:r>
          </w:p>
        </w:tc>
        <w:tc>
          <w:tcPr>
            <w:tcW w:w="1843" w:type="dxa"/>
            <w:tcBorders>
              <w:top w:val="single" w:sz="12" w:space="0" w:color="auto"/>
              <w:bottom w:val="single" w:sz="12" w:space="0" w:color="auto"/>
            </w:tcBorders>
            <w:shd w:val="clear" w:color="auto" w:fill="auto"/>
            <w:noWrap/>
          </w:tcPr>
          <w:p w14:paraId="054F50E0" w14:textId="77777777" w:rsidR="00AC2C4F" w:rsidRPr="00875161" w:rsidRDefault="00AC2C4F" w:rsidP="005F2E4B">
            <w:pPr>
              <w:spacing w:line="252" w:lineRule="auto"/>
              <w:jc w:val="right"/>
              <w:rPr>
                <w:rFonts w:eastAsia="Calibri" w:cs="Arial"/>
                <w:sz w:val="20"/>
                <w:szCs w:val="20"/>
                <w:highlight w:val="yellow"/>
              </w:rPr>
            </w:pPr>
            <w:r w:rsidRPr="00875161">
              <w:rPr>
                <w:rFonts w:eastAsia="Calibri" w:cs="Arial"/>
                <w:sz w:val="20"/>
                <w:szCs w:val="20"/>
              </w:rPr>
              <w:t>1 856,19</w:t>
            </w:r>
          </w:p>
        </w:tc>
        <w:tc>
          <w:tcPr>
            <w:tcW w:w="1985" w:type="dxa"/>
            <w:tcBorders>
              <w:top w:val="single" w:sz="12" w:space="0" w:color="auto"/>
              <w:bottom w:val="single" w:sz="12" w:space="0" w:color="auto"/>
            </w:tcBorders>
            <w:shd w:val="clear" w:color="auto" w:fill="auto"/>
            <w:noWrap/>
          </w:tcPr>
          <w:p w14:paraId="4EDE669C" w14:textId="77777777" w:rsidR="00AC2C4F" w:rsidRPr="00875161" w:rsidRDefault="00AC2C4F" w:rsidP="005F2E4B">
            <w:pPr>
              <w:spacing w:line="252" w:lineRule="auto"/>
              <w:jc w:val="right"/>
              <w:rPr>
                <w:rFonts w:eastAsia="Calibri" w:cs="Arial"/>
                <w:sz w:val="20"/>
                <w:szCs w:val="20"/>
                <w:highlight w:val="yellow"/>
              </w:rPr>
            </w:pPr>
            <w:r w:rsidRPr="00875161">
              <w:rPr>
                <w:rFonts w:eastAsia="Calibri" w:cs="Arial"/>
                <w:sz w:val="20"/>
                <w:szCs w:val="20"/>
              </w:rPr>
              <w:t>74,24</w:t>
            </w:r>
          </w:p>
        </w:tc>
        <w:tc>
          <w:tcPr>
            <w:tcW w:w="1984" w:type="dxa"/>
            <w:tcBorders>
              <w:top w:val="single" w:sz="12" w:space="0" w:color="auto"/>
              <w:bottom w:val="single" w:sz="12" w:space="0" w:color="auto"/>
            </w:tcBorders>
            <w:shd w:val="clear" w:color="auto" w:fill="auto"/>
          </w:tcPr>
          <w:p w14:paraId="45134238" w14:textId="77777777" w:rsidR="00AC2C4F" w:rsidRPr="00875161" w:rsidRDefault="00AC2C4F" w:rsidP="005F2E4B">
            <w:pPr>
              <w:jc w:val="right"/>
              <w:rPr>
                <w:rFonts w:eastAsia="Calibri" w:cs="Arial"/>
                <w:sz w:val="20"/>
                <w:szCs w:val="20"/>
                <w:highlight w:val="yellow"/>
              </w:rPr>
            </w:pPr>
            <w:r w:rsidRPr="00875161">
              <w:rPr>
                <w:rFonts w:eastAsia="Calibri" w:cs="Arial"/>
                <w:sz w:val="20"/>
                <w:szCs w:val="20"/>
              </w:rPr>
              <w:t>12,31</w:t>
            </w:r>
          </w:p>
        </w:tc>
        <w:tc>
          <w:tcPr>
            <w:tcW w:w="1985" w:type="dxa"/>
            <w:tcBorders>
              <w:top w:val="single" w:sz="12" w:space="0" w:color="auto"/>
              <w:bottom w:val="single" w:sz="12" w:space="0" w:color="auto"/>
            </w:tcBorders>
            <w:shd w:val="clear" w:color="auto" w:fill="auto"/>
          </w:tcPr>
          <w:p w14:paraId="0EE02621" w14:textId="77777777" w:rsidR="00AC2C4F" w:rsidRPr="00875161" w:rsidRDefault="00AC2C4F" w:rsidP="005F2E4B">
            <w:pPr>
              <w:spacing w:line="252" w:lineRule="auto"/>
              <w:jc w:val="right"/>
              <w:rPr>
                <w:rFonts w:eastAsia="Calibri" w:cs="Arial"/>
                <w:sz w:val="20"/>
                <w:szCs w:val="20"/>
                <w:highlight w:val="yellow"/>
              </w:rPr>
            </w:pPr>
            <w:r w:rsidRPr="00875161">
              <w:rPr>
                <w:rFonts w:eastAsia="Calibri" w:cs="Arial"/>
                <w:sz w:val="20"/>
                <w:szCs w:val="20"/>
              </w:rPr>
              <w:t>12,41</w:t>
            </w:r>
          </w:p>
        </w:tc>
        <w:tc>
          <w:tcPr>
            <w:tcW w:w="1984" w:type="dxa"/>
            <w:tcBorders>
              <w:top w:val="single" w:sz="12" w:space="0" w:color="auto"/>
              <w:bottom w:val="single" w:sz="12" w:space="0" w:color="auto"/>
            </w:tcBorders>
            <w:shd w:val="clear" w:color="auto" w:fill="auto"/>
            <w:noWrap/>
          </w:tcPr>
          <w:p w14:paraId="482373EA" w14:textId="77777777" w:rsidR="00AC2C4F" w:rsidRPr="00875161" w:rsidRDefault="00AC2C4F" w:rsidP="005F2E4B">
            <w:pPr>
              <w:spacing w:line="252" w:lineRule="auto"/>
              <w:jc w:val="right"/>
              <w:rPr>
                <w:rFonts w:eastAsia="Calibri" w:cs="Arial"/>
                <w:sz w:val="20"/>
                <w:szCs w:val="20"/>
                <w:highlight w:val="yellow"/>
              </w:rPr>
            </w:pPr>
            <w:r w:rsidRPr="00875161">
              <w:rPr>
                <w:rFonts w:eastAsia="Calibri" w:cs="Arial"/>
                <w:sz w:val="20"/>
                <w:szCs w:val="20"/>
              </w:rPr>
              <w:t>49,52</w:t>
            </w:r>
          </w:p>
        </w:tc>
        <w:tc>
          <w:tcPr>
            <w:tcW w:w="1843" w:type="dxa"/>
            <w:tcBorders>
              <w:top w:val="single" w:sz="12" w:space="0" w:color="auto"/>
              <w:bottom w:val="single" w:sz="12" w:space="0" w:color="auto"/>
            </w:tcBorders>
            <w:shd w:val="clear" w:color="auto" w:fill="auto"/>
            <w:noWrap/>
          </w:tcPr>
          <w:p w14:paraId="1322AD21" w14:textId="77777777" w:rsidR="00AC2C4F" w:rsidRPr="00875161" w:rsidRDefault="00AC2C4F" w:rsidP="005F2E4B">
            <w:pPr>
              <w:spacing w:line="252" w:lineRule="auto"/>
              <w:jc w:val="right"/>
              <w:rPr>
                <w:rFonts w:eastAsia="Calibri" w:cs="Arial"/>
                <w:sz w:val="20"/>
                <w:szCs w:val="20"/>
                <w:highlight w:val="yellow"/>
              </w:rPr>
            </w:pPr>
            <w:r w:rsidRPr="00875161">
              <w:rPr>
                <w:rFonts w:eastAsia="Calibri" w:cs="Arial"/>
                <w:sz w:val="20"/>
                <w:szCs w:val="20"/>
              </w:rPr>
              <w:t>5 252 463</w:t>
            </w:r>
          </w:p>
        </w:tc>
      </w:tr>
      <w:tr w:rsidR="00AC2C4F" w:rsidRPr="00787270" w14:paraId="24A3B1AF" w14:textId="77777777" w:rsidTr="005F2E4B">
        <w:trPr>
          <w:trHeight w:val="315"/>
        </w:trPr>
        <w:tc>
          <w:tcPr>
            <w:tcW w:w="1134" w:type="dxa"/>
            <w:tcBorders>
              <w:top w:val="single" w:sz="12" w:space="0" w:color="auto"/>
              <w:bottom w:val="single" w:sz="12" w:space="0" w:color="auto"/>
            </w:tcBorders>
            <w:shd w:val="clear" w:color="auto" w:fill="auto"/>
            <w:noWrap/>
            <w:hideMark/>
          </w:tcPr>
          <w:p w14:paraId="43F25624" w14:textId="77777777" w:rsidR="00AC2C4F" w:rsidRPr="003445C7" w:rsidRDefault="00AC2C4F" w:rsidP="005F2E4B">
            <w:pPr>
              <w:tabs>
                <w:tab w:val="left" w:pos="720"/>
              </w:tabs>
              <w:rPr>
                <w:rFonts w:cs="Arial"/>
                <w:b/>
                <w:bCs/>
                <w:sz w:val="20"/>
                <w:szCs w:val="20"/>
                <w:highlight w:val="yellow"/>
              </w:rPr>
            </w:pPr>
            <w:r w:rsidRPr="00D37785">
              <w:rPr>
                <w:rFonts w:cs="Arial"/>
                <w:b/>
                <w:bCs/>
                <w:sz w:val="20"/>
                <w:szCs w:val="20"/>
              </w:rPr>
              <w:t>MŽP</w:t>
            </w:r>
          </w:p>
        </w:tc>
        <w:tc>
          <w:tcPr>
            <w:tcW w:w="1843" w:type="dxa"/>
            <w:tcBorders>
              <w:top w:val="single" w:sz="12" w:space="0" w:color="auto"/>
              <w:bottom w:val="single" w:sz="12" w:space="0" w:color="auto"/>
            </w:tcBorders>
            <w:shd w:val="clear" w:color="auto" w:fill="auto"/>
            <w:noWrap/>
          </w:tcPr>
          <w:p w14:paraId="42DF8010" w14:textId="77777777" w:rsidR="00AC2C4F" w:rsidRPr="000C0A35" w:rsidRDefault="00AC2C4F" w:rsidP="005F2E4B">
            <w:pPr>
              <w:tabs>
                <w:tab w:val="left" w:pos="720"/>
              </w:tabs>
              <w:jc w:val="right"/>
              <w:rPr>
                <w:rFonts w:cs="Arial"/>
                <w:bCs/>
                <w:sz w:val="20"/>
                <w:szCs w:val="20"/>
                <w:highlight w:val="yellow"/>
              </w:rPr>
            </w:pPr>
            <w:r w:rsidRPr="000C0A35">
              <w:rPr>
                <w:rFonts w:eastAsia="Calibri" w:cs="Arial"/>
                <w:sz w:val="20"/>
                <w:szCs w:val="20"/>
              </w:rPr>
              <w:t>586,61</w:t>
            </w:r>
          </w:p>
        </w:tc>
        <w:tc>
          <w:tcPr>
            <w:tcW w:w="1985" w:type="dxa"/>
            <w:tcBorders>
              <w:top w:val="single" w:sz="12" w:space="0" w:color="auto"/>
              <w:bottom w:val="single" w:sz="12" w:space="0" w:color="auto"/>
            </w:tcBorders>
            <w:shd w:val="clear" w:color="auto" w:fill="auto"/>
            <w:noWrap/>
          </w:tcPr>
          <w:p w14:paraId="1340CF9D" w14:textId="77777777" w:rsidR="00AC2C4F" w:rsidRPr="000C0A35" w:rsidRDefault="00AC2C4F" w:rsidP="005F2E4B">
            <w:pPr>
              <w:jc w:val="right"/>
              <w:rPr>
                <w:rFonts w:cs="Arial"/>
                <w:sz w:val="20"/>
                <w:szCs w:val="20"/>
                <w:highlight w:val="yellow"/>
              </w:rPr>
            </w:pPr>
            <w:r w:rsidRPr="000C0A35">
              <w:rPr>
                <w:rFonts w:eastAsia="Calibri" w:cs="Arial"/>
                <w:sz w:val="20"/>
                <w:szCs w:val="20"/>
              </w:rPr>
              <w:t>23,46</w:t>
            </w:r>
          </w:p>
        </w:tc>
        <w:tc>
          <w:tcPr>
            <w:tcW w:w="1984" w:type="dxa"/>
            <w:tcBorders>
              <w:top w:val="single" w:sz="12" w:space="0" w:color="auto"/>
              <w:bottom w:val="single" w:sz="12" w:space="0" w:color="auto"/>
            </w:tcBorders>
            <w:shd w:val="clear" w:color="auto" w:fill="auto"/>
          </w:tcPr>
          <w:p w14:paraId="38697FCB" w14:textId="77777777" w:rsidR="00AC2C4F" w:rsidRPr="000C0A35" w:rsidRDefault="00AC2C4F" w:rsidP="005F2E4B">
            <w:pPr>
              <w:jc w:val="right"/>
              <w:rPr>
                <w:rFonts w:cs="Arial"/>
                <w:sz w:val="20"/>
                <w:szCs w:val="20"/>
                <w:highlight w:val="yellow"/>
              </w:rPr>
            </w:pPr>
            <w:r w:rsidRPr="000C0A35">
              <w:rPr>
                <w:rFonts w:eastAsia="Calibri" w:cs="Arial"/>
                <w:sz w:val="20"/>
                <w:szCs w:val="20"/>
              </w:rPr>
              <w:t>11,37</w:t>
            </w:r>
          </w:p>
        </w:tc>
        <w:tc>
          <w:tcPr>
            <w:tcW w:w="1985" w:type="dxa"/>
            <w:tcBorders>
              <w:top w:val="single" w:sz="12" w:space="0" w:color="auto"/>
              <w:bottom w:val="single" w:sz="12" w:space="0" w:color="auto"/>
            </w:tcBorders>
            <w:shd w:val="clear" w:color="auto" w:fill="auto"/>
          </w:tcPr>
          <w:p w14:paraId="42586CB5" w14:textId="77777777" w:rsidR="00AC2C4F" w:rsidRPr="000C0A35" w:rsidRDefault="00AC2C4F" w:rsidP="005F2E4B">
            <w:pPr>
              <w:jc w:val="right"/>
              <w:rPr>
                <w:rFonts w:cs="Arial"/>
                <w:sz w:val="20"/>
                <w:szCs w:val="20"/>
              </w:rPr>
            </w:pPr>
            <w:r w:rsidRPr="000C0A35">
              <w:rPr>
                <w:rFonts w:cs="Arial"/>
                <w:sz w:val="20"/>
                <w:szCs w:val="20"/>
              </w:rPr>
              <w:t>0,00</w:t>
            </w:r>
          </w:p>
        </w:tc>
        <w:tc>
          <w:tcPr>
            <w:tcW w:w="1984" w:type="dxa"/>
            <w:tcBorders>
              <w:top w:val="single" w:sz="12" w:space="0" w:color="auto"/>
              <w:bottom w:val="single" w:sz="12" w:space="0" w:color="auto"/>
            </w:tcBorders>
            <w:shd w:val="clear" w:color="auto" w:fill="FFFFFF" w:themeFill="background1"/>
            <w:noWrap/>
          </w:tcPr>
          <w:p w14:paraId="554F2D0D" w14:textId="77777777" w:rsidR="00AC2C4F" w:rsidRPr="000C0A35" w:rsidRDefault="00AC2C4F" w:rsidP="005F2E4B">
            <w:pPr>
              <w:jc w:val="right"/>
              <w:rPr>
                <w:rFonts w:cs="Arial"/>
                <w:sz w:val="20"/>
                <w:szCs w:val="20"/>
              </w:rPr>
            </w:pPr>
            <w:r w:rsidRPr="000C0A35">
              <w:rPr>
                <w:rFonts w:eastAsia="Calibri" w:cs="Arial"/>
                <w:sz w:val="20"/>
                <w:szCs w:val="20"/>
              </w:rPr>
              <w:t>12,09</w:t>
            </w:r>
          </w:p>
        </w:tc>
        <w:tc>
          <w:tcPr>
            <w:tcW w:w="1843" w:type="dxa"/>
            <w:tcBorders>
              <w:top w:val="single" w:sz="12" w:space="0" w:color="auto"/>
              <w:bottom w:val="single" w:sz="12" w:space="0" w:color="auto"/>
            </w:tcBorders>
            <w:shd w:val="clear" w:color="auto" w:fill="auto"/>
            <w:noWrap/>
          </w:tcPr>
          <w:p w14:paraId="598028A2" w14:textId="77777777" w:rsidR="00AC2C4F" w:rsidRPr="000C0A35" w:rsidRDefault="00AC2C4F" w:rsidP="005F2E4B">
            <w:pPr>
              <w:jc w:val="right"/>
              <w:rPr>
                <w:rFonts w:cs="Arial"/>
                <w:sz w:val="20"/>
                <w:szCs w:val="20"/>
                <w:highlight w:val="yellow"/>
              </w:rPr>
            </w:pPr>
            <w:r w:rsidRPr="000C0A35">
              <w:rPr>
                <w:rFonts w:cs="Arial"/>
                <w:color w:val="000000"/>
                <w:sz w:val="20"/>
                <w:szCs w:val="20"/>
              </w:rPr>
              <w:t>1 282 357</w:t>
            </w:r>
          </w:p>
        </w:tc>
      </w:tr>
      <w:tr w:rsidR="00AC2C4F" w:rsidRPr="00787270" w14:paraId="0F62027D" w14:textId="77777777" w:rsidTr="005F2E4B">
        <w:trPr>
          <w:trHeight w:val="315"/>
        </w:trPr>
        <w:tc>
          <w:tcPr>
            <w:tcW w:w="1134" w:type="dxa"/>
            <w:tcBorders>
              <w:top w:val="single" w:sz="12" w:space="0" w:color="auto"/>
              <w:bottom w:val="single" w:sz="18" w:space="0" w:color="auto"/>
            </w:tcBorders>
            <w:shd w:val="clear" w:color="auto" w:fill="auto"/>
            <w:noWrap/>
          </w:tcPr>
          <w:p w14:paraId="36E45074" w14:textId="77777777" w:rsidR="00AC2C4F" w:rsidRPr="003445C7" w:rsidRDefault="00AC2C4F" w:rsidP="005F2E4B">
            <w:pPr>
              <w:tabs>
                <w:tab w:val="left" w:pos="720"/>
              </w:tabs>
              <w:rPr>
                <w:rFonts w:cs="Arial"/>
                <w:b/>
                <w:bCs/>
                <w:sz w:val="20"/>
                <w:szCs w:val="20"/>
                <w:highlight w:val="yellow"/>
              </w:rPr>
            </w:pPr>
            <w:r w:rsidRPr="00F25140">
              <w:rPr>
                <w:rFonts w:cs="Arial"/>
                <w:b/>
                <w:bCs/>
                <w:sz w:val="20"/>
                <w:szCs w:val="20"/>
              </w:rPr>
              <w:t>ÚV</w:t>
            </w:r>
          </w:p>
        </w:tc>
        <w:tc>
          <w:tcPr>
            <w:tcW w:w="1843" w:type="dxa"/>
            <w:tcBorders>
              <w:top w:val="single" w:sz="12" w:space="0" w:color="auto"/>
              <w:bottom w:val="single" w:sz="18" w:space="0" w:color="auto"/>
            </w:tcBorders>
            <w:shd w:val="clear" w:color="auto" w:fill="auto"/>
            <w:noWrap/>
          </w:tcPr>
          <w:p w14:paraId="6FEF4FB9"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550,92</w:t>
            </w:r>
          </w:p>
        </w:tc>
        <w:tc>
          <w:tcPr>
            <w:tcW w:w="1985" w:type="dxa"/>
            <w:tcBorders>
              <w:top w:val="single" w:sz="12" w:space="0" w:color="auto"/>
              <w:bottom w:val="single" w:sz="18" w:space="0" w:color="auto"/>
            </w:tcBorders>
            <w:shd w:val="clear" w:color="auto" w:fill="auto"/>
            <w:noWrap/>
          </w:tcPr>
          <w:p w14:paraId="4AD26764"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22,03</w:t>
            </w:r>
          </w:p>
        </w:tc>
        <w:tc>
          <w:tcPr>
            <w:tcW w:w="1984" w:type="dxa"/>
            <w:tcBorders>
              <w:top w:val="single" w:sz="12" w:space="0" w:color="auto"/>
              <w:bottom w:val="single" w:sz="18" w:space="0" w:color="auto"/>
            </w:tcBorders>
            <w:shd w:val="clear" w:color="auto" w:fill="auto"/>
          </w:tcPr>
          <w:p w14:paraId="04D5327C"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8,15</w:t>
            </w:r>
          </w:p>
        </w:tc>
        <w:tc>
          <w:tcPr>
            <w:tcW w:w="1985" w:type="dxa"/>
            <w:tcBorders>
              <w:top w:val="single" w:sz="12" w:space="0" w:color="auto"/>
              <w:bottom w:val="single" w:sz="18" w:space="0" w:color="auto"/>
            </w:tcBorders>
            <w:shd w:val="clear" w:color="auto" w:fill="auto"/>
          </w:tcPr>
          <w:p w14:paraId="01FE79A5" w14:textId="77777777" w:rsidR="00AC2C4F" w:rsidRPr="003445C7" w:rsidRDefault="00AC2C4F" w:rsidP="005F2E4B">
            <w:pPr>
              <w:spacing w:line="256" w:lineRule="auto"/>
              <w:jc w:val="right"/>
              <w:rPr>
                <w:rFonts w:eastAsia="Calibri" w:cs="Arial"/>
                <w:sz w:val="20"/>
                <w:szCs w:val="20"/>
                <w:highlight w:val="yellow"/>
              </w:rPr>
            </w:pPr>
            <w:r>
              <w:rPr>
                <w:rFonts w:eastAsia="Calibri" w:cs="Arial"/>
                <w:sz w:val="20"/>
                <w:szCs w:val="20"/>
              </w:rPr>
              <w:t>21,60</w:t>
            </w:r>
          </w:p>
        </w:tc>
        <w:tc>
          <w:tcPr>
            <w:tcW w:w="1984" w:type="dxa"/>
            <w:tcBorders>
              <w:top w:val="single" w:sz="12" w:space="0" w:color="auto"/>
              <w:bottom w:val="single" w:sz="18" w:space="0" w:color="auto"/>
            </w:tcBorders>
            <w:shd w:val="clear" w:color="auto" w:fill="auto"/>
            <w:noWrap/>
          </w:tcPr>
          <w:p w14:paraId="1A8D6411" w14:textId="77777777" w:rsidR="00AC2C4F" w:rsidRPr="00F25140" w:rsidRDefault="00AC2C4F" w:rsidP="005F2E4B">
            <w:pPr>
              <w:spacing w:line="256" w:lineRule="auto"/>
              <w:jc w:val="right"/>
              <w:rPr>
                <w:rFonts w:eastAsia="Calibri" w:cs="Arial"/>
                <w:sz w:val="20"/>
                <w:szCs w:val="20"/>
              </w:rPr>
            </w:pPr>
            <w:r w:rsidRPr="00F25140">
              <w:rPr>
                <w:rFonts w:eastAsia="Calibri" w:cs="Arial"/>
                <w:sz w:val="20"/>
                <w:szCs w:val="20"/>
              </w:rPr>
              <w:t>0,00</w:t>
            </w:r>
          </w:p>
        </w:tc>
        <w:tc>
          <w:tcPr>
            <w:tcW w:w="1843" w:type="dxa"/>
            <w:tcBorders>
              <w:top w:val="single" w:sz="12" w:space="0" w:color="auto"/>
              <w:bottom w:val="single" w:sz="18" w:space="0" w:color="auto"/>
            </w:tcBorders>
            <w:shd w:val="clear" w:color="auto" w:fill="auto"/>
            <w:noWrap/>
          </w:tcPr>
          <w:p w14:paraId="3D44B1B3" w14:textId="77777777" w:rsidR="00AC2C4F" w:rsidRPr="00F25140" w:rsidRDefault="00AC2C4F" w:rsidP="005F2E4B">
            <w:pPr>
              <w:spacing w:line="256" w:lineRule="auto"/>
              <w:jc w:val="right"/>
              <w:rPr>
                <w:rFonts w:eastAsia="Calibri" w:cs="Arial"/>
                <w:sz w:val="20"/>
                <w:szCs w:val="20"/>
              </w:rPr>
            </w:pPr>
            <w:r w:rsidRPr="00F25140">
              <w:rPr>
                <w:rFonts w:eastAsia="Calibri" w:cs="Arial"/>
                <w:sz w:val="20"/>
                <w:szCs w:val="20"/>
              </w:rPr>
              <w:t>0</w:t>
            </w:r>
          </w:p>
        </w:tc>
      </w:tr>
    </w:tbl>
    <w:p w14:paraId="3E061C73" w14:textId="77777777" w:rsidR="00AC2C4F" w:rsidRPr="001A3F70" w:rsidRDefault="00AC2C4F" w:rsidP="008236F9">
      <w:pPr>
        <w:tabs>
          <w:tab w:val="left" w:pos="9420"/>
        </w:tabs>
        <w:spacing w:after="0"/>
        <w:rPr>
          <w:rFonts w:cs="Arial"/>
          <w:sz w:val="20"/>
          <w:szCs w:val="20"/>
        </w:rPr>
      </w:pPr>
      <w:r w:rsidRPr="001A3F70">
        <w:rPr>
          <w:rFonts w:cs="Arial"/>
          <w:sz w:val="20"/>
          <w:szCs w:val="20"/>
        </w:rPr>
        <w:t xml:space="preserve">* Výpočet se provádí na dvě platná desetinná místa (příklad </w:t>
      </w:r>
      <w:proofErr w:type="gramStart"/>
      <w:r w:rsidRPr="001A3F70">
        <w:rPr>
          <w:rFonts w:cs="Arial"/>
          <w:sz w:val="20"/>
          <w:szCs w:val="20"/>
        </w:rPr>
        <w:t>xx,356</w:t>
      </w:r>
      <w:proofErr w:type="gramEnd"/>
      <w:r w:rsidRPr="001A3F70">
        <w:rPr>
          <w:rFonts w:cs="Arial"/>
          <w:sz w:val="20"/>
          <w:szCs w:val="20"/>
        </w:rPr>
        <w:t xml:space="preserve"> = xx,35).</w:t>
      </w:r>
    </w:p>
    <w:p w14:paraId="57AC741A" w14:textId="77777777" w:rsidR="008236F9" w:rsidRDefault="008236F9" w:rsidP="008236F9">
      <w:pPr>
        <w:spacing w:after="0"/>
        <w:rPr>
          <w:rFonts w:cs="Arial"/>
          <w:bCs/>
          <w:sz w:val="20"/>
          <w:szCs w:val="20"/>
        </w:rPr>
      </w:pPr>
    </w:p>
    <w:p w14:paraId="0B7E339C" w14:textId="4D0F1BDB" w:rsidR="00AC2C4F" w:rsidRPr="001A3F70" w:rsidRDefault="00AC2C4F" w:rsidP="008236F9">
      <w:pPr>
        <w:spacing w:after="0"/>
      </w:pPr>
      <w:r w:rsidRPr="001A3F70">
        <w:rPr>
          <w:rFonts w:cs="Arial"/>
          <w:bCs/>
          <w:sz w:val="20"/>
          <w:szCs w:val="20"/>
        </w:rPr>
        <w:t>ŘVC – Ředitelství vodních cest ČR, ŘLP – Řízení letového provozu ČR, SPS – Státní plavební správa, DÚ – Drážní úřad, ÚCL - Úřad pro civilní letectví, SFDI – Státní fond dopravní infrastruktury, CSPSD – Centrum služeb pro silniční dopravu, ŘSD – Ředitelství silnic a dálnic ČR, SŽ – Správa železnic</w:t>
      </w:r>
    </w:p>
    <w:p w14:paraId="038E9442" w14:textId="77777777" w:rsidR="00AC2C4F" w:rsidRPr="001A3F70" w:rsidRDefault="00AC2C4F" w:rsidP="008236F9">
      <w:pPr>
        <w:spacing w:after="0"/>
        <w:rPr>
          <w:rFonts w:eastAsia="Calibri" w:cs="Arial"/>
          <w:sz w:val="20"/>
          <w:szCs w:val="20"/>
        </w:rPr>
      </w:pPr>
    </w:p>
    <w:p w14:paraId="0FDA5E61" w14:textId="77777777" w:rsidR="00AC2C4F" w:rsidRPr="00C94AE1" w:rsidRDefault="00AC2C4F" w:rsidP="008236F9">
      <w:pPr>
        <w:spacing w:after="0"/>
        <w:rPr>
          <w:rFonts w:cs="Arial"/>
          <w:bCs/>
          <w:sz w:val="20"/>
          <w:szCs w:val="20"/>
        </w:rPr>
      </w:pPr>
      <w:r w:rsidRPr="00C94AE1">
        <w:rPr>
          <w:rFonts w:cs="Arial"/>
          <w:bCs/>
          <w:sz w:val="20"/>
          <w:szCs w:val="20"/>
        </w:rPr>
        <w:t>GŘC – Generální ředitelství cel, GFŘ – Generální finanční ředitelství, ÚZSVM – Úřad pro zastupování státu ve věcech majetkových, STC – Státní tiskárna cenin</w:t>
      </w:r>
    </w:p>
    <w:p w14:paraId="47635DC5" w14:textId="77777777" w:rsidR="00AC2C4F" w:rsidRPr="00456E71" w:rsidRDefault="00AC2C4F" w:rsidP="008236F9">
      <w:pPr>
        <w:spacing w:after="0"/>
        <w:rPr>
          <w:rFonts w:eastAsia="Calibri" w:cs="Arial"/>
          <w:sz w:val="20"/>
          <w:szCs w:val="20"/>
          <w:highlight w:val="yellow"/>
        </w:rPr>
      </w:pPr>
    </w:p>
    <w:p w14:paraId="4A1120B0" w14:textId="77777777" w:rsidR="00AC2C4F" w:rsidRPr="008B68C7" w:rsidRDefault="00AC2C4F" w:rsidP="008236F9">
      <w:pPr>
        <w:spacing w:after="0"/>
        <w:rPr>
          <w:rFonts w:cs="Arial"/>
          <w:sz w:val="20"/>
          <w:szCs w:val="20"/>
        </w:rPr>
      </w:pPr>
      <w:r w:rsidRPr="008B68C7">
        <w:rPr>
          <w:rFonts w:cs="Arial"/>
          <w:sz w:val="20"/>
          <w:szCs w:val="20"/>
        </w:rPr>
        <w:t>ND -</w:t>
      </w:r>
      <w:r w:rsidRPr="008B68C7">
        <w:rPr>
          <w:rFonts w:eastAsia="Calibri" w:cs="Arial"/>
          <w:sz w:val="20"/>
          <w:szCs w:val="20"/>
        </w:rPr>
        <w:t xml:space="preserve"> Národní divadlo</w:t>
      </w:r>
      <w:r w:rsidRPr="008B68C7">
        <w:rPr>
          <w:rFonts w:cs="Arial"/>
          <w:sz w:val="20"/>
          <w:szCs w:val="20"/>
        </w:rPr>
        <w:t xml:space="preserve">, ČF – Česká filharmonie, PFS – Pražský filharmonický sbor, IU-DÚ - Institut umění – Divadelní ústav, NK ČR – Národní knihovna ČR, MZK – Moravská zemská knihovna, KTN – Knihovna a tiskárna pro nevidomé K. E. Macana, NPÚ – Národní památkový ústav, NM – Národní muzeum, MZM – Moravské zemské muzeum, SZM – Slezské zemské muzeum, NGP – Národní galerie v Praze, MGB - Moravská galerie v Brně, MUO – Muzeum umění Olomouc, MSB – Muzeum skla a bižuterie v Jablonci nad Nisou, TMB – Technické muzeum v Brně, NMP – Národní muzeum v přírodě, HMT – Husitské muzeum v Táboře, </w:t>
      </w:r>
      <w:r w:rsidRPr="008B68C7">
        <w:rPr>
          <w:rFonts w:cs="Arial"/>
          <w:color w:val="000000"/>
          <w:sz w:val="20"/>
          <w:szCs w:val="20"/>
        </w:rPr>
        <w:t xml:space="preserve">NÚLK - </w:t>
      </w:r>
      <w:r w:rsidRPr="008B68C7">
        <w:rPr>
          <w:rFonts w:eastAsia="Calibri" w:cs="Arial"/>
          <w:sz w:val="20"/>
          <w:szCs w:val="20"/>
        </w:rPr>
        <w:t xml:space="preserve">Národní ústav lidové kultury ve Strážnici, NIPOS - </w:t>
      </w:r>
      <w:r w:rsidRPr="008B68C7">
        <w:rPr>
          <w:rFonts w:cs="Arial"/>
          <w:bCs/>
          <w:sz w:val="20"/>
          <w:szCs w:val="20"/>
        </w:rPr>
        <w:t>Národní informační a poradenské středisko pro kulturu, MJAK – Muzeum J. A. Komenského, MRK – Muzeum romské kultury, MLK – Muzeum loutkářských kultur</w:t>
      </w:r>
      <w:r w:rsidRPr="008B68C7">
        <w:rPr>
          <w:rFonts w:cs="Arial"/>
          <w:sz w:val="20"/>
          <w:szCs w:val="20"/>
        </w:rPr>
        <w:t xml:space="preserve">, </w:t>
      </w:r>
      <w:r w:rsidRPr="008B68C7">
        <w:rPr>
          <w:rFonts w:eastAsia="Calibri" w:cs="Arial"/>
          <w:sz w:val="20"/>
          <w:szCs w:val="20"/>
        </w:rPr>
        <w:t>PNP - Památník národního písemnictví, PT - Památník Terezín, PL - Památník Lidice, NTM – Národní technické muzeum, UMP - Uměleckoprůmyslové museum v Praze, NFA - Národní filmový archiv</w:t>
      </w:r>
    </w:p>
    <w:p w14:paraId="0E1FDCC7" w14:textId="77777777" w:rsidR="00AC2C4F" w:rsidRPr="00456E71" w:rsidRDefault="00AC2C4F" w:rsidP="008236F9">
      <w:pPr>
        <w:spacing w:after="0"/>
        <w:rPr>
          <w:rFonts w:eastAsia="Calibri" w:cs="Arial"/>
          <w:sz w:val="20"/>
          <w:szCs w:val="20"/>
          <w:highlight w:val="yellow"/>
        </w:rPr>
      </w:pPr>
    </w:p>
    <w:p w14:paraId="7E506316" w14:textId="2071AE72" w:rsidR="00AC2C4F" w:rsidRDefault="00AC2C4F" w:rsidP="008236F9">
      <w:pPr>
        <w:spacing w:after="0"/>
        <w:rPr>
          <w:rFonts w:eastAsia="Calibri" w:cs="Arial"/>
          <w:bCs/>
          <w:sz w:val="20"/>
          <w:szCs w:val="20"/>
        </w:rPr>
      </w:pPr>
      <w:r w:rsidRPr="00A779CE">
        <w:rPr>
          <w:rFonts w:eastAsia="Calibri" w:cs="Arial"/>
          <w:bCs/>
          <w:sz w:val="20"/>
          <w:szCs w:val="20"/>
        </w:rPr>
        <w:t xml:space="preserve">IKSP – Institut pro kriminologii a sociální prevenci, </w:t>
      </w:r>
      <w:r w:rsidRPr="000C5A47">
        <w:rPr>
          <w:rFonts w:eastAsia="Calibri" w:cs="Arial"/>
          <w:bCs/>
          <w:sz w:val="20"/>
          <w:szCs w:val="20"/>
        </w:rPr>
        <w:t xml:space="preserve">JA – Justiční </w:t>
      </w:r>
      <w:r w:rsidRPr="00777C81">
        <w:rPr>
          <w:rFonts w:eastAsia="Calibri" w:cs="Arial"/>
          <w:bCs/>
          <w:sz w:val="20"/>
          <w:szCs w:val="20"/>
        </w:rPr>
        <w:t>akademie, PMS – Probační a mediační služba</w:t>
      </w:r>
      <w:r w:rsidRPr="00842002">
        <w:rPr>
          <w:rFonts w:eastAsia="Calibri" w:cs="Arial"/>
          <w:bCs/>
          <w:sz w:val="20"/>
          <w:szCs w:val="20"/>
        </w:rPr>
        <w:t>, RT – Rejstřík trestů, VS ČR – Vězeňská služba ČR</w:t>
      </w:r>
    </w:p>
    <w:p w14:paraId="443E1345" w14:textId="77777777" w:rsidR="008236F9" w:rsidRDefault="008236F9" w:rsidP="008236F9">
      <w:pPr>
        <w:spacing w:after="0"/>
        <w:rPr>
          <w:rFonts w:eastAsia="Calibri" w:cs="Arial"/>
          <w:bCs/>
          <w:sz w:val="20"/>
          <w:szCs w:val="20"/>
        </w:rPr>
      </w:pPr>
    </w:p>
    <w:p w14:paraId="26AC58CE" w14:textId="424C1455" w:rsidR="00AE1B82" w:rsidRPr="00F873D1" w:rsidRDefault="00AC2C4F" w:rsidP="00AE1B82">
      <w:pPr>
        <w:rPr>
          <w:rFonts w:eastAsia="Calibri" w:cs="Arial"/>
          <w:bCs/>
          <w:sz w:val="20"/>
          <w:szCs w:val="20"/>
        </w:rPr>
      </w:pPr>
      <w:r w:rsidRPr="0052713F">
        <w:rPr>
          <w:rFonts w:eastAsia="Calibri" w:cs="Arial"/>
          <w:sz w:val="20"/>
          <w:szCs w:val="20"/>
        </w:rPr>
        <w:t>HZS ČR – Hasičský záchranný sbor České republiky, PČR – Policie České republiky</w:t>
      </w:r>
    </w:p>
    <w:p w14:paraId="16FCA1F4" w14:textId="785EED49" w:rsidR="00AE1B82" w:rsidRDefault="00AE1B82" w:rsidP="00316A32">
      <w:pPr>
        <w:spacing w:after="720"/>
        <w:rPr>
          <w:rFonts w:cs="Arial"/>
          <w:szCs w:val="20"/>
        </w:rPr>
      </w:pPr>
    </w:p>
    <w:p w14:paraId="1FD300AF" w14:textId="77777777" w:rsidR="000F0C18" w:rsidRDefault="000F0C18" w:rsidP="00316A32">
      <w:pPr>
        <w:spacing w:after="720"/>
        <w:rPr>
          <w:rFonts w:cs="Arial"/>
          <w:szCs w:val="20"/>
        </w:rPr>
        <w:sectPr w:rsidR="000F0C18" w:rsidSect="000F0C18">
          <w:pgSz w:w="16838" w:h="11906" w:orient="landscape"/>
          <w:pgMar w:top="1418" w:right="1417" w:bottom="1417" w:left="1417" w:header="708" w:footer="708" w:gutter="0"/>
          <w:cols w:space="708"/>
          <w:docGrid w:linePitch="360"/>
        </w:sectPr>
      </w:pPr>
    </w:p>
    <w:p w14:paraId="4CE6E5CA" w14:textId="77777777" w:rsidR="00C4104D" w:rsidRPr="00112232" w:rsidRDefault="00C4104D" w:rsidP="00C4104D">
      <w:pPr>
        <w:spacing w:before="120"/>
        <w:rPr>
          <w:rFonts w:cs="Arial"/>
          <w:b/>
          <w:sz w:val="20"/>
          <w:szCs w:val="20"/>
        </w:rPr>
      </w:pPr>
      <w:r>
        <w:rPr>
          <w:rFonts w:cs="Arial"/>
          <w:b/>
          <w:sz w:val="20"/>
          <w:szCs w:val="20"/>
        </w:rPr>
        <w:lastRenderedPageBreak/>
        <w:t>Přímé</w:t>
      </w:r>
      <w:r w:rsidRPr="0073498E">
        <w:rPr>
          <w:rFonts w:cs="Arial"/>
          <w:b/>
          <w:sz w:val="20"/>
          <w:szCs w:val="20"/>
        </w:rPr>
        <w:t xml:space="preserve"> zaměstnávání OZP</w:t>
      </w:r>
    </w:p>
    <w:tbl>
      <w:tblPr>
        <w:tblW w:w="9229" w:type="dxa"/>
        <w:tblInd w:w="55" w:type="dxa"/>
        <w:tblCellMar>
          <w:left w:w="70" w:type="dxa"/>
          <w:right w:w="70" w:type="dxa"/>
        </w:tblCellMar>
        <w:tblLook w:val="04A0" w:firstRow="1" w:lastRow="0" w:firstColumn="1" w:lastColumn="0" w:noHBand="0" w:noVBand="1"/>
      </w:tblPr>
      <w:tblGrid>
        <w:gridCol w:w="960"/>
        <w:gridCol w:w="960"/>
        <w:gridCol w:w="2020"/>
        <w:gridCol w:w="2738"/>
        <w:gridCol w:w="2551"/>
      </w:tblGrid>
      <w:tr w:rsidR="00C4104D" w:rsidRPr="005E4F6C" w14:paraId="0C90C73F" w14:textId="77777777" w:rsidTr="005F2E4B">
        <w:trPr>
          <w:trHeight w:val="780"/>
        </w:trPr>
        <w:tc>
          <w:tcPr>
            <w:tcW w:w="96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10A4FD9" w14:textId="77777777" w:rsidR="00C4104D" w:rsidRPr="005E4F6C" w:rsidRDefault="00C4104D" w:rsidP="005F2E4B">
            <w:pPr>
              <w:rPr>
                <w:rFonts w:cs="Arial"/>
                <w:b/>
                <w:bCs/>
                <w:color w:val="000000"/>
                <w:sz w:val="20"/>
                <w:szCs w:val="20"/>
              </w:rPr>
            </w:pPr>
            <w:r>
              <w:rPr>
                <w:rFonts w:cs="Arial"/>
                <w:b/>
                <w:bCs/>
                <w:color w:val="000000"/>
                <w:sz w:val="20"/>
                <w:szCs w:val="20"/>
              </w:rPr>
              <w:t>Res</w:t>
            </w:r>
            <w:r w:rsidRPr="005E4F6C">
              <w:rPr>
                <w:rFonts w:cs="Arial"/>
                <w:b/>
                <w:bCs/>
                <w:color w:val="000000"/>
                <w:sz w:val="20"/>
                <w:szCs w:val="20"/>
              </w:rPr>
              <w:t>ort</w:t>
            </w:r>
          </w:p>
        </w:tc>
        <w:tc>
          <w:tcPr>
            <w:tcW w:w="960" w:type="dxa"/>
            <w:tcBorders>
              <w:top w:val="single" w:sz="12" w:space="0" w:color="auto"/>
              <w:left w:val="nil"/>
              <w:bottom w:val="single" w:sz="12" w:space="0" w:color="auto"/>
              <w:right w:val="single" w:sz="4" w:space="0" w:color="auto"/>
            </w:tcBorders>
            <w:shd w:val="clear" w:color="auto" w:fill="auto"/>
            <w:vAlign w:val="center"/>
            <w:hideMark/>
          </w:tcPr>
          <w:p w14:paraId="13A60D07" w14:textId="77777777" w:rsidR="00C4104D" w:rsidRPr="005E4F6C" w:rsidRDefault="00C4104D" w:rsidP="005F2E4B">
            <w:pPr>
              <w:rPr>
                <w:rFonts w:cs="Arial"/>
                <w:b/>
                <w:bCs/>
                <w:color w:val="000000"/>
                <w:sz w:val="20"/>
                <w:szCs w:val="20"/>
              </w:rPr>
            </w:pPr>
            <w:r w:rsidRPr="005E4F6C">
              <w:rPr>
                <w:rFonts w:cs="Arial"/>
                <w:b/>
                <w:bCs/>
                <w:color w:val="000000"/>
                <w:sz w:val="20"/>
                <w:szCs w:val="20"/>
              </w:rPr>
              <w:t>Období</w:t>
            </w:r>
          </w:p>
        </w:tc>
        <w:tc>
          <w:tcPr>
            <w:tcW w:w="2020" w:type="dxa"/>
            <w:tcBorders>
              <w:top w:val="single" w:sz="12" w:space="0" w:color="auto"/>
              <w:left w:val="nil"/>
              <w:bottom w:val="single" w:sz="12" w:space="0" w:color="auto"/>
              <w:right w:val="single" w:sz="4" w:space="0" w:color="auto"/>
            </w:tcBorders>
            <w:shd w:val="clear" w:color="auto" w:fill="auto"/>
            <w:vAlign w:val="center"/>
            <w:hideMark/>
          </w:tcPr>
          <w:p w14:paraId="644E8D2C" w14:textId="77777777" w:rsidR="00C4104D" w:rsidRPr="005E4F6C" w:rsidRDefault="00C4104D" w:rsidP="005F2E4B">
            <w:pPr>
              <w:jc w:val="left"/>
              <w:rPr>
                <w:rFonts w:cs="Arial"/>
                <w:b/>
                <w:bCs/>
                <w:color w:val="000000"/>
                <w:sz w:val="20"/>
                <w:szCs w:val="20"/>
              </w:rPr>
            </w:pPr>
            <w:r w:rsidRPr="005E4F6C">
              <w:rPr>
                <w:rFonts w:cs="Arial"/>
                <w:b/>
                <w:bCs/>
                <w:color w:val="000000"/>
                <w:sz w:val="20"/>
                <w:szCs w:val="20"/>
              </w:rPr>
              <w:t>Skutečný počet zaměstnaných OZP</w:t>
            </w:r>
          </w:p>
        </w:tc>
        <w:tc>
          <w:tcPr>
            <w:tcW w:w="2738" w:type="dxa"/>
            <w:tcBorders>
              <w:top w:val="single" w:sz="12" w:space="0" w:color="auto"/>
              <w:left w:val="nil"/>
              <w:bottom w:val="single" w:sz="12" w:space="0" w:color="auto"/>
              <w:right w:val="single" w:sz="4" w:space="0" w:color="auto"/>
            </w:tcBorders>
            <w:shd w:val="clear" w:color="auto" w:fill="auto"/>
            <w:vAlign w:val="center"/>
            <w:hideMark/>
          </w:tcPr>
          <w:p w14:paraId="348AC3B3" w14:textId="77777777" w:rsidR="00C4104D" w:rsidRPr="005E4F6C" w:rsidRDefault="00C4104D" w:rsidP="005F2E4B">
            <w:pPr>
              <w:jc w:val="left"/>
              <w:rPr>
                <w:rFonts w:cs="Arial"/>
                <w:b/>
                <w:bCs/>
                <w:color w:val="000000"/>
                <w:sz w:val="20"/>
                <w:szCs w:val="20"/>
              </w:rPr>
            </w:pPr>
            <w:r w:rsidRPr="005E4F6C">
              <w:rPr>
                <w:rFonts w:cs="Arial"/>
                <w:b/>
                <w:bCs/>
                <w:color w:val="000000"/>
                <w:sz w:val="20"/>
                <w:szCs w:val="20"/>
              </w:rPr>
              <w:t>Skutečný počet zaměstnaných mužů se ZP</w:t>
            </w:r>
          </w:p>
        </w:tc>
        <w:tc>
          <w:tcPr>
            <w:tcW w:w="2551" w:type="dxa"/>
            <w:tcBorders>
              <w:top w:val="single" w:sz="12" w:space="0" w:color="auto"/>
              <w:left w:val="nil"/>
              <w:bottom w:val="single" w:sz="12" w:space="0" w:color="auto"/>
              <w:right w:val="single" w:sz="12" w:space="0" w:color="auto"/>
            </w:tcBorders>
            <w:shd w:val="clear" w:color="auto" w:fill="auto"/>
            <w:vAlign w:val="center"/>
            <w:hideMark/>
          </w:tcPr>
          <w:p w14:paraId="4A828763" w14:textId="77777777" w:rsidR="00C4104D" w:rsidRPr="005E4F6C" w:rsidRDefault="00C4104D" w:rsidP="005F2E4B">
            <w:pPr>
              <w:jc w:val="left"/>
              <w:rPr>
                <w:rFonts w:cs="Arial"/>
                <w:b/>
                <w:bCs/>
                <w:color w:val="000000"/>
                <w:sz w:val="20"/>
                <w:szCs w:val="20"/>
              </w:rPr>
            </w:pPr>
            <w:r w:rsidRPr="005E4F6C">
              <w:rPr>
                <w:rFonts w:cs="Arial"/>
                <w:b/>
                <w:bCs/>
                <w:color w:val="000000"/>
                <w:sz w:val="20"/>
                <w:szCs w:val="20"/>
              </w:rPr>
              <w:t>Skutečný počet zaměstnaných žen se ZP</w:t>
            </w:r>
          </w:p>
        </w:tc>
      </w:tr>
      <w:tr w:rsidR="00C4104D" w:rsidRPr="00094DA0" w14:paraId="5EC413EF" w14:textId="77777777" w:rsidTr="005F2E4B">
        <w:trPr>
          <w:trHeight w:val="300"/>
        </w:trPr>
        <w:tc>
          <w:tcPr>
            <w:tcW w:w="960"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14:paraId="29386D0B" w14:textId="77777777" w:rsidR="00C4104D" w:rsidRPr="00887F52" w:rsidRDefault="00C4104D" w:rsidP="005F2E4B">
            <w:pPr>
              <w:rPr>
                <w:rFonts w:cs="Arial"/>
                <w:b/>
                <w:bCs/>
                <w:color w:val="000000"/>
                <w:sz w:val="20"/>
                <w:szCs w:val="20"/>
              </w:rPr>
            </w:pPr>
            <w:r w:rsidRPr="00887F52">
              <w:rPr>
                <w:rFonts w:cs="Arial"/>
                <w:b/>
                <w:bCs/>
                <w:color w:val="000000"/>
                <w:sz w:val="20"/>
                <w:szCs w:val="20"/>
              </w:rPr>
              <w:t>MD</w:t>
            </w:r>
          </w:p>
        </w:tc>
        <w:tc>
          <w:tcPr>
            <w:tcW w:w="960" w:type="dxa"/>
            <w:tcBorders>
              <w:top w:val="single" w:sz="12" w:space="0" w:color="auto"/>
              <w:left w:val="nil"/>
              <w:bottom w:val="single" w:sz="4" w:space="0" w:color="auto"/>
              <w:right w:val="single" w:sz="4" w:space="0" w:color="auto"/>
            </w:tcBorders>
            <w:shd w:val="clear" w:color="auto" w:fill="auto"/>
            <w:vAlign w:val="center"/>
            <w:hideMark/>
          </w:tcPr>
          <w:p w14:paraId="74BBF877" w14:textId="77777777" w:rsidR="00C4104D" w:rsidRPr="00887F52" w:rsidRDefault="00C4104D" w:rsidP="005F2E4B">
            <w:pPr>
              <w:jc w:val="center"/>
              <w:rPr>
                <w:rFonts w:cs="Arial"/>
                <w:color w:val="000000"/>
                <w:sz w:val="20"/>
                <w:szCs w:val="20"/>
              </w:rPr>
            </w:pPr>
            <w:r w:rsidRPr="00887F52">
              <w:rPr>
                <w:rFonts w:cs="Arial"/>
                <w:color w:val="000000"/>
                <w:sz w:val="20"/>
                <w:szCs w:val="20"/>
              </w:rPr>
              <w:t>2022</w:t>
            </w:r>
          </w:p>
        </w:tc>
        <w:tc>
          <w:tcPr>
            <w:tcW w:w="2020" w:type="dxa"/>
            <w:tcBorders>
              <w:top w:val="single" w:sz="12" w:space="0" w:color="auto"/>
              <w:left w:val="nil"/>
              <w:bottom w:val="single" w:sz="4" w:space="0" w:color="auto"/>
              <w:right w:val="single" w:sz="4" w:space="0" w:color="auto"/>
            </w:tcBorders>
            <w:shd w:val="clear" w:color="auto" w:fill="auto"/>
            <w:vAlign w:val="center"/>
          </w:tcPr>
          <w:p w14:paraId="6A37D348" w14:textId="77777777" w:rsidR="00C4104D" w:rsidRPr="00477E18" w:rsidRDefault="00C4104D" w:rsidP="005F2E4B">
            <w:pPr>
              <w:jc w:val="center"/>
              <w:rPr>
                <w:rFonts w:eastAsia="Calibri" w:cs="Arial"/>
                <w:bCs/>
                <w:sz w:val="20"/>
                <w:szCs w:val="20"/>
                <w:highlight w:val="yellow"/>
              </w:rPr>
            </w:pPr>
            <w:r>
              <w:rPr>
                <w:rFonts w:eastAsia="Calibri" w:cs="Arial"/>
                <w:bCs/>
                <w:sz w:val="20"/>
                <w:szCs w:val="20"/>
              </w:rPr>
              <w:t>276,87</w:t>
            </w:r>
          </w:p>
        </w:tc>
        <w:tc>
          <w:tcPr>
            <w:tcW w:w="2738" w:type="dxa"/>
            <w:tcBorders>
              <w:top w:val="single" w:sz="12" w:space="0" w:color="auto"/>
              <w:left w:val="nil"/>
              <w:bottom w:val="single" w:sz="4" w:space="0" w:color="auto"/>
              <w:right w:val="single" w:sz="4" w:space="0" w:color="auto"/>
            </w:tcBorders>
            <w:shd w:val="clear" w:color="auto" w:fill="auto"/>
            <w:vAlign w:val="center"/>
          </w:tcPr>
          <w:p w14:paraId="7AB15A47" w14:textId="77777777" w:rsidR="00C4104D" w:rsidRPr="00477E18" w:rsidRDefault="00C4104D" w:rsidP="005F2E4B">
            <w:pPr>
              <w:jc w:val="center"/>
              <w:rPr>
                <w:rFonts w:eastAsia="Calibri" w:cs="Arial"/>
                <w:bCs/>
                <w:sz w:val="20"/>
                <w:szCs w:val="20"/>
                <w:highlight w:val="yellow"/>
              </w:rPr>
            </w:pPr>
            <w:r>
              <w:rPr>
                <w:rFonts w:eastAsia="Calibri" w:cs="Arial"/>
                <w:bCs/>
                <w:sz w:val="20"/>
                <w:szCs w:val="20"/>
              </w:rPr>
              <w:t>170,62</w:t>
            </w:r>
          </w:p>
        </w:tc>
        <w:tc>
          <w:tcPr>
            <w:tcW w:w="2551" w:type="dxa"/>
            <w:tcBorders>
              <w:top w:val="single" w:sz="12" w:space="0" w:color="auto"/>
              <w:left w:val="nil"/>
              <w:bottom w:val="single" w:sz="4" w:space="0" w:color="auto"/>
              <w:right w:val="single" w:sz="12" w:space="0" w:color="auto"/>
            </w:tcBorders>
            <w:shd w:val="clear" w:color="auto" w:fill="auto"/>
            <w:vAlign w:val="center"/>
          </w:tcPr>
          <w:p w14:paraId="00E14FEE" w14:textId="77777777" w:rsidR="00C4104D" w:rsidRPr="00477E18" w:rsidRDefault="00C4104D" w:rsidP="005F2E4B">
            <w:pPr>
              <w:jc w:val="center"/>
              <w:rPr>
                <w:rFonts w:eastAsia="Calibri" w:cs="Arial"/>
                <w:bCs/>
                <w:sz w:val="20"/>
                <w:szCs w:val="20"/>
                <w:highlight w:val="yellow"/>
              </w:rPr>
            </w:pPr>
            <w:r>
              <w:rPr>
                <w:rFonts w:eastAsia="Calibri" w:cs="Arial"/>
                <w:bCs/>
                <w:sz w:val="20"/>
                <w:szCs w:val="20"/>
              </w:rPr>
              <w:t>106,25</w:t>
            </w:r>
          </w:p>
        </w:tc>
      </w:tr>
      <w:tr w:rsidR="00C4104D" w:rsidRPr="00094DA0" w14:paraId="78CA6D51" w14:textId="77777777" w:rsidTr="005F2E4B">
        <w:trPr>
          <w:trHeight w:val="315"/>
        </w:trPr>
        <w:tc>
          <w:tcPr>
            <w:tcW w:w="960" w:type="dxa"/>
            <w:vMerge/>
            <w:tcBorders>
              <w:top w:val="nil"/>
              <w:left w:val="single" w:sz="12" w:space="0" w:color="auto"/>
              <w:bottom w:val="single" w:sz="12" w:space="0" w:color="auto"/>
              <w:right w:val="single" w:sz="4" w:space="0" w:color="auto"/>
            </w:tcBorders>
            <w:vAlign w:val="center"/>
            <w:hideMark/>
          </w:tcPr>
          <w:p w14:paraId="233D93B1" w14:textId="77777777" w:rsidR="00C4104D" w:rsidRPr="00887F52" w:rsidRDefault="00C4104D" w:rsidP="005F2E4B">
            <w:pPr>
              <w:rPr>
                <w:rFonts w:cs="Arial"/>
                <w:b/>
                <w:bCs/>
                <w:color w:val="000000"/>
                <w:sz w:val="20"/>
                <w:szCs w:val="20"/>
              </w:rPr>
            </w:pPr>
          </w:p>
        </w:tc>
        <w:tc>
          <w:tcPr>
            <w:tcW w:w="960" w:type="dxa"/>
            <w:tcBorders>
              <w:top w:val="nil"/>
              <w:left w:val="nil"/>
              <w:bottom w:val="single" w:sz="12" w:space="0" w:color="auto"/>
              <w:right w:val="single" w:sz="4" w:space="0" w:color="auto"/>
            </w:tcBorders>
            <w:shd w:val="clear" w:color="auto" w:fill="auto"/>
            <w:vAlign w:val="center"/>
            <w:hideMark/>
          </w:tcPr>
          <w:p w14:paraId="0C57A068" w14:textId="77777777" w:rsidR="00C4104D" w:rsidRPr="00887F52" w:rsidRDefault="00C4104D" w:rsidP="005F2E4B">
            <w:pPr>
              <w:jc w:val="center"/>
              <w:rPr>
                <w:rFonts w:cs="Arial"/>
                <w:color w:val="000000"/>
                <w:sz w:val="20"/>
                <w:szCs w:val="20"/>
              </w:rPr>
            </w:pPr>
            <w:r w:rsidRPr="00887F52">
              <w:rPr>
                <w:rFonts w:cs="Arial"/>
                <w:color w:val="000000"/>
                <w:sz w:val="20"/>
                <w:szCs w:val="20"/>
              </w:rPr>
              <w:t>2023</w:t>
            </w:r>
          </w:p>
        </w:tc>
        <w:tc>
          <w:tcPr>
            <w:tcW w:w="2020" w:type="dxa"/>
            <w:tcBorders>
              <w:top w:val="nil"/>
              <w:left w:val="nil"/>
              <w:bottom w:val="single" w:sz="12" w:space="0" w:color="auto"/>
              <w:right w:val="single" w:sz="4" w:space="0" w:color="auto"/>
            </w:tcBorders>
            <w:shd w:val="clear" w:color="auto" w:fill="auto"/>
            <w:vAlign w:val="center"/>
          </w:tcPr>
          <w:p w14:paraId="18B1649D" w14:textId="77777777" w:rsidR="00C4104D" w:rsidRPr="00477E18" w:rsidRDefault="00C4104D" w:rsidP="005F2E4B">
            <w:pPr>
              <w:jc w:val="center"/>
              <w:rPr>
                <w:rFonts w:eastAsia="Calibri" w:cs="Arial"/>
                <w:bCs/>
                <w:sz w:val="20"/>
                <w:szCs w:val="20"/>
                <w:highlight w:val="yellow"/>
              </w:rPr>
            </w:pPr>
            <w:r>
              <w:rPr>
                <w:rFonts w:eastAsia="Calibri" w:cs="Arial"/>
                <w:bCs/>
                <w:sz w:val="20"/>
                <w:szCs w:val="20"/>
              </w:rPr>
              <w:t>278,87</w:t>
            </w:r>
          </w:p>
        </w:tc>
        <w:tc>
          <w:tcPr>
            <w:tcW w:w="2738" w:type="dxa"/>
            <w:tcBorders>
              <w:top w:val="nil"/>
              <w:left w:val="nil"/>
              <w:bottom w:val="single" w:sz="12" w:space="0" w:color="auto"/>
              <w:right w:val="single" w:sz="4" w:space="0" w:color="auto"/>
            </w:tcBorders>
            <w:shd w:val="clear" w:color="auto" w:fill="auto"/>
            <w:vAlign w:val="center"/>
          </w:tcPr>
          <w:p w14:paraId="686DA2AA" w14:textId="77777777" w:rsidR="00C4104D" w:rsidRPr="00477E18" w:rsidRDefault="00C4104D" w:rsidP="005F2E4B">
            <w:pPr>
              <w:jc w:val="center"/>
              <w:rPr>
                <w:rFonts w:eastAsia="Calibri" w:cs="Arial"/>
                <w:bCs/>
                <w:sz w:val="20"/>
                <w:szCs w:val="20"/>
                <w:highlight w:val="yellow"/>
              </w:rPr>
            </w:pPr>
            <w:r>
              <w:rPr>
                <w:rFonts w:eastAsia="Calibri" w:cs="Arial"/>
                <w:bCs/>
                <w:sz w:val="20"/>
                <w:szCs w:val="20"/>
              </w:rPr>
              <w:t>171,87</w:t>
            </w:r>
          </w:p>
        </w:tc>
        <w:tc>
          <w:tcPr>
            <w:tcW w:w="2551" w:type="dxa"/>
            <w:tcBorders>
              <w:top w:val="nil"/>
              <w:left w:val="nil"/>
              <w:bottom w:val="single" w:sz="12" w:space="0" w:color="auto"/>
              <w:right w:val="single" w:sz="12" w:space="0" w:color="auto"/>
            </w:tcBorders>
            <w:shd w:val="clear" w:color="auto" w:fill="auto"/>
            <w:vAlign w:val="center"/>
          </w:tcPr>
          <w:p w14:paraId="51064679" w14:textId="77777777" w:rsidR="00C4104D" w:rsidRPr="00477E18" w:rsidRDefault="00C4104D" w:rsidP="005F2E4B">
            <w:pPr>
              <w:jc w:val="center"/>
              <w:rPr>
                <w:rFonts w:eastAsia="Calibri" w:cs="Arial"/>
                <w:bCs/>
                <w:sz w:val="20"/>
                <w:szCs w:val="20"/>
                <w:highlight w:val="yellow"/>
              </w:rPr>
            </w:pPr>
            <w:r>
              <w:rPr>
                <w:rFonts w:eastAsia="Calibri" w:cs="Arial"/>
                <w:bCs/>
                <w:sz w:val="20"/>
                <w:szCs w:val="20"/>
              </w:rPr>
              <w:t>107</w:t>
            </w:r>
          </w:p>
        </w:tc>
      </w:tr>
      <w:tr w:rsidR="00C4104D" w:rsidRPr="00094DA0" w14:paraId="13F93BCD" w14:textId="77777777" w:rsidTr="005F2E4B">
        <w:trPr>
          <w:trHeight w:val="300"/>
        </w:trPr>
        <w:tc>
          <w:tcPr>
            <w:tcW w:w="960" w:type="dxa"/>
            <w:vMerge w:val="restart"/>
            <w:tcBorders>
              <w:top w:val="single" w:sz="12" w:space="0" w:color="auto"/>
              <w:left w:val="single" w:sz="12" w:space="0" w:color="auto"/>
              <w:bottom w:val="double" w:sz="6" w:space="0" w:color="000000"/>
              <w:right w:val="single" w:sz="4" w:space="0" w:color="auto"/>
            </w:tcBorders>
            <w:shd w:val="clear" w:color="auto" w:fill="auto"/>
            <w:vAlign w:val="center"/>
            <w:hideMark/>
          </w:tcPr>
          <w:p w14:paraId="08D0A2B5" w14:textId="77777777" w:rsidR="00C4104D" w:rsidRPr="006D015D" w:rsidRDefault="00C4104D" w:rsidP="005F2E4B">
            <w:pPr>
              <w:rPr>
                <w:rFonts w:cs="Arial"/>
                <w:b/>
                <w:bCs/>
                <w:color w:val="000000"/>
                <w:sz w:val="20"/>
                <w:szCs w:val="20"/>
              </w:rPr>
            </w:pPr>
            <w:r w:rsidRPr="006D015D">
              <w:rPr>
                <w:rFonts w:cs="Arial"/>
                <w:b/>
                <w:bCs/>
                <w:color w:val="000000"/>
                <w:sz w:val="20"/>
                <w:szCs w:val="20"/>
              </w:rPr>
              <w:t>MF</w:t>
            </w:r>
          </w:p>
        </w:tc>
        <w:tc>
          <w:tcPr>
            <w:tcW w:w="960" w:type="dxa"/>
            <w:tcBorders>
              <w:top w:val="single" w:sz="12" w:space="0" w:color="auto"/>
              <w:left w:val="nil"/>
              <w:bottom w:val="single" w:sz="4" w:space="0" w:color="auto"/>
              <w:right w:val="single" w:sz="4" w:space="0" w:color="auto"/>
            </w:tcBorders>
            <w:shd w:val="clear" w:color="auto" w:fill="auto"/>
            <w:vAlign w:val="center"/>
            <w:hideMark/>
          </w:tcPr>
          <w:p w14:paraId="46FEAAFB" w14:textId="77777777" w:rsidR="00C4104D" w:rsidRPr="006D015D" w:rsidRDefault="00C4104D" w:rsidP="005F2E4B">
            <w:pPr>
              <w:jc w:val="center"/>
              <w:rPr>
                <w:rFonts w:cs="Arial"/>
                <w:color w:val="000000"/>
                <w:sz w:val="20"/>
                <w:szCs w:val="20"/>
              </w:rPr>
            </w:pPr>
            <w:r w:rsidRPr="006D015D">
              <w:rPr>
                <w:rFonts w:cs="Arial"/>
                <w:color w:val="000000"/>
                <w:sz w:val="20"/>
                <w:szCs w:val="20"/>
              </w:rPr>
              <w:t>2022</w:t>
            </w:r>
          </w:p>
        </w:tc>
        <w:tc>
          <w:tcPr>
            <w:tcW w:w="2020" w:type="dxa"/>
            <w:tcBorders>
              <w:top w:val="single" w:sz="12" w:space="0" w:color="auto"/>
              <w:left w:val="nil"/>
              <w:bottom w:val="single" w:sz="4" w:space="0" w:color="auto"/>
              <w:right w:val="single" w:sz="4" w:space="0" w:color="auto"/>
            </w:tcBorders>
            <w:shd w:val="clear" w:color="auto" w:fill="auto"/>
            <w:vAlign w:val="center"/>
          </w:tcPr>
          <w:p w14:paraId="32F245FD" w14:textId="77777777" w:rsidR="00C4104D" w:rsidRPr="006D015D" w:rsidRDefault="00C4104D" w:rsidP="005F2E4B">
            <w:pPr>
              <w:jc w:val="center"/>
              <w:rPr>
                <w:rFonts w:cs="Arial"/>
                <w:color w:val="000000"/>
                <w:sz w:val="20"/>
                <w:szCs w:val="20"/>
                <w:highlight w:val="yellow"/>
              </w:rPr>
            </w:pPr>
            <w:r w:rsidRPr="006D015D">
              <w:rPr>
                <w:rFonts w:cs="Arial"/>
                <w:bCs/>
                <w:sz w:val="20"/>
                <w:szCs w:val="20"/>
              </w:rPr>
              <w:t>21</w:t>
            </w:r>
          </w:p>
        </w:tc>
        <w:tc>
          <w:tcPr>
            <w:tcW w:w="2738" w:type="dxa"/>
            <w:tcBorders>
              <w:top w:val="single" w:sz="12" w:space="0" w:color="auto"/>
              <w:left w:val="nil"/>
              <w:bottom w:val="single" w:sz="4" w:space="0" w:color="auto"/>
              <w:right w:val="single" w:sz="4" w:space="0" w:color="auto"/>
            </w:tcBorders>
            <w:shd w:val="clear" w:color="auto" w:fill="auto"/>
            <w:vAlign w:val="center"/>
          </w:tcPr>
          <w:p w14:paraId="1373B67B" w14:textId="77777777" w:rsidR="00C4104D" w:rsidRPr="00773FB8" w:rsidRDefault="00C4104D" w:rsidP="005F2E4B">
            <w:pPr>
              <w:jc w:val="center"/>
              <w:rPr>
                <w:rFonts w:cs="Arial"/>
                <w:color w:val="000000"/>
                <w:sz w:val="20"/>
                <w:szCs w:val="20"/>
                <w:highlight w:val="yellow"/>
              </w:rPr>
            </w:pPr>
            <w:r w:rsidRPr="00773FB8">
              <w:rPr>
                <w:rFonts w:cs="Arial"/>
                <w:bCs/>
                <w:sz w:val="20"/>
                <w:szCs w:val="20"/>
              </w:rPr>
              <w:t>13</w:t>
            </w:r>
          </w:p>
        </w:tc>
        <w:tc>
          <w:tcPr>
            <w:tcW w:w="2551" w:type="dxa"/>
            <w:tcBorders>
              <w:top w:val="single" w:sz="12" w:space="0" w:color="auto"/>
              <w:left w:val="nil"/>
              <w:bottom w:val="single" w:sz="4" w:space="0" w:color="auto"/>
              <w:right w:val="single" w:sz="12" w:space="0" w:color="auto"/>
            </w:tcBorders>
            <w:shd w:val="clear" w:color="auto" w:fill="auto"/>
            <w:vAlign w:val="center"/>
          </w:tcPr>
          <w:p w14:paraId="592C4FAB" w14:textId="77777777" w:rsidR="00C4104D" w:rsidRPr="00773FB8" w:rsidRDefault="00C4104D" w:rsidP="005F2E4B">
            <w:pPr>
              <w:jc w:val="center"/>
              <w:rPr>
                <w:rFonts w:cs="Arial"/>
                <w:color w:val="000000"/>
                <w:sz w:val="20"/>
                <w:szCs w:val="20"/>
                <w:highlight w:val="yellow"/>
              </w:rPr>
            </w:pPr>
            <w:r w:rsidRPr="00773FB8">
              <w:rPr>
                <w:rFonts w:cs="Arial"/>
                <w:bCs/>
                <w:sz w:val="20"/>
                <w:szCs w:val="20"/>
              </w:rPr>
              <w:t>8</w:t>
            </w:r>
          </w:p>
        </w:tc>
      </w:tr>
      <w:tr w:rsidR="00C4104D" w:rsidRPr="00094DA0" w14:paraId="298AEADA" w14:textId="77777777" w:rsidTr="005F2E4B">
        <w:trPr>
          <w:trHeight w:val="315"/>
        </w:trPr>
        <w:tc>
          <w:tcPr>
            <w:tcW w:w="960" w:type="dxa"/>
            <w:vMerge/>
            <w:tcBorders>
              <w:top w:val="nil"/>
              <w:left w:val="single" w:sz="12" w:space="0" w:color="auto"/>
              <w:bottom w:val="double" w:sz="4" w:space="0" w:color="auto"/>
              <w:right w:val="single" w:sz="4" w:space="0" w:color="auto"/>
            </w:tcBorders>
            <w:vAlign w:val="center"/>
            <w:hideMark/>
          </w:tcPr>
          <w:p w14:paraId="5B77D16E" w14:textId="77777777" w:rsidR="00C4104D" w:rsidRPr="006D015D" w:rsidRDefault="00C4104D" w:rsidP="005F2E4B">
            <w:pPr>
              <w:rPr>
                <w:rFonts w:cs="Arial"/>
                <w:b/>
                <w:bCs/>
                <w:color w:val="000000"/>
                <w:sz w:val="20"/>
                <w:szCs w:val="20"/>
              </w:rPr>
            </w:pPr>
          </w:p>
        </w:tc>
        <w:tc>
          <w:tcPr>
            <w:tcW w:w="960" w:type="dxa"/>
            <w:tcBorders>
              <w:top w:val="nil"/>
              <w:left w:val="nil"/>
              <w:bottom w:val="double" w:sz="4" w:space="0" w:color="auto"/>
              <w:right w:val="single" w:sz="4" w:space="0" w:color="auto"/>
            </w:tcBorders>
            <w:shd w:val="clear" w:color="auto" w:fill="auto"/>
            <w:vAlign w:val="center"/>
            <w:hideMark/>
          </w:tcPr>
          <w:p w14:paraId="1EAA5E60" w14:textId="77777777" w:rsidR="00C4104D" w:rsidRPr="006D015D" w:rsidRDefault="00C4104D" w:rsidP="005F2E4B">
            <w:pPr>
              <w:jc w:val="center"/>
              <w:rPr>
                <w:rFonts w:cs="Arial"/>
                <w:color w:val="000000"/>
                <w:sz w:val="20"/>
                <w:szCs w:val="20"/>
              </w:rPr>
            </w:pPr>
            <w:r w:rsidRPr="006D015D">
              <w:rPr>
                <w:rFonts w:cs="Arial"/>
                <w:color w:val="000000"/>
                <w:sz w:val="20"/>
                <w:szCs w:val="20"/>
              </w:rPr>
              <w:t>2023</w:t>
            </w:r>
          </w:p>
        </w:tc>
        <w:tc>
          <w:tcPr>
            <w:tcW w:w="2020" w:type="dxa"/>
            <w:tcBorders>
              <w:top w:val="nil"/>
              <w:left w:val="nil"/>
              <w:bottom w:val="double" w:sz="4" w:space="0" w:color="auto"/>
              <w:right w:val="single" w:sz="4" w:space="0" w:color="auto"/>
            </w:tcBorders>
            <w:shd w:val="clear" w:color="auto" w:fill="auto"/>
            <w:vAlign w:val="center"/>
          </w:tcPr>
          <w:p w14:paraId="08F3548E" w14:textId="77777777" w:rsidR="00C4104D" w:rsidRPr="006D015D" w:rsidRDefault="00C4104D" w:rsidP="005F2E4B">
            <w:pPr>
              <w:spacing w:line="252" w:lineRule="auto"/>
              <w:jc w:val="center"/>
              <w:rPr>
                <w:rFonts w:cs="Arial"/>
                <w:bCs/>
                <w:sz w:val="20"/>
                <w:szCs w:val="20"/>
                <w:highlight w:val="yellow"/>
              </w:rPr>
            </w:pPr>
            <w:r w:rsidRPr="006D015D">
              <w:rPr>
                <w:rFonts w:cs="Arial"/>
                <w:bCs/>
                <w:sz w:val="20"/>
                <w:szCs w:val="20"/>
              </w:rPr>
              <w:t>18</w:t>
            </w:r>
          </w:p>
        </w:tc>
        <w:tc>
          <w:tcPr>
            <w:tcW w:w="2738" w:type="dxa"/>
            <w:tcBorders>
              <w:top w:val="nil"/>
              <w:left w:val="nil"/>
              <w:bottom w:val="double" w:sz="4" w:space="0" w:color="auto"/>
              <w:right w:val="single" w:sz="4" w:space="0" w:color="auto"/>
            </w:tcBorders>
            <w:shd w:val="clear" w:color="auto" w:fill="auto"/>
            <w:vAlign w:val="center"/>
          </w:tcPr>
          <w:p w14:paraId="79FF9097" w14:textId="77777777" w:rsidR="00C4104D" w:rsidRPr="00773FB8" w:rsidRDefault="00C4104D" w:rsidP="005F2E4B">
            <w:pPr>
              <w:spacing w:line="252" w:lineRule="auto"/>
              <w:jc w:val="center"/>
              <w:rPr>
                <w:rFonts w:cs="Arial"/>
                <w:bCs/>
                <w:sz w:val="20"/>
                <w:szCs w:val="20"/>
                <w:highlight w:val="yellow"/>
              </w:rPr>
            </w:pPr>
            <w:r w:rsidRPr="00773FB8">
              <w:rPr>
                <w:rFonts w:cs="Arial"/>
                <w:bCs/>
                <w:sz w:val="20"/>
                <w:szCs w:val="20"/>
              </w:rPr>
              <w:t>11</w:t>
            </w:r>
          </w:p>
        </w:tc>
        <w:tc>
          <w:tcPr>
            <w:tcW w:w="2551" w:type="dxa"/>
            <w:tcBorders>
              <w:top w:val="nil"/>
              <w:left w:val="nil"/>
              <w:bottom w:val="double" w:sz="4" w:space="0" w:color="auto"/>
              <w:right w:val="single" w:sz="12" w:space="0" w:color="auto"/>
            </w:tcBorders>
            <w:shd w:val="clear" w:color="auto" w:fill="auto"/>
            <w:vAlign w:val="center"/>
          </w:tcPr>
          <w:p w14:paraId="5C5AFC38" w14:textId="77777777" w:rsidR="00C4104D" w:rsidRPr="00773FB8" w:rsidRDefault="00C4104D" w:rsidP="005F2E4B">
            <w:pPr>
              <w:spacing w:line="252" w:lineRule="auto"/>
              <w:jc w:val="center"/>
              <w:rPr>
                <w:rFonts w:cs="Arial"/>
                <w:bCs/>
                <w:sz w:val="20"/>
                <w:szCs w:val="20"/>
                <w:highlight w:val="yellow"/>
              </w:rPr>
            </w:pPr>
            <w:r w:rsidRPr="00773FB8">
              <w:rPr>
                <w:rFonts w:cs="Arial"/>
                <w:bCs/>
                <w:sz w:val="20"/>
                <w:szCs w:val="20"/>
              </w:rPr>
              <w:t>7</w:t>
            </w:r>
          </w:p>
        </w:tc>
      </w:tr>
      <w:tr w:rsidR="00C4104D" w:rsidRPr="00094DA0" w14:paraId="1C693A55" w14:textId="77777777" w:rsidTr="005F2E4B">
        <w:trPr>
          <w:trHeight w:val="315"/>
        </w:trPr>
        <w:tc>
          <w:tcPr>
            <w:tcW w:w="960" w:type="dxa"/>
            <w:vMerge w:val="restart"/>
            <w:tcBorders>
              <w:top w:val="double" w:sz="4" w:space="0" w:color="auto"/>
              <w:left w:val="single" w:sz="12" w:space="0" w:color="auto"/>
              <w:bottom w:val="double" w:sz="6" w:space="0" w:color="000000"/>
              <w:right w:val="single" w:sz="4" w:space="0" w:color="auto"/>
            </w:tcBorders>
            <w:shd w:val="clear" w:color="auto" w:fill="auto"/>
            <w:vAlign w:val="center"/>
            <w:hideMark/>
          </w:tcPr>
          <w:p w14:paraId="5160865C" w14:textId="77777777" w:rsidR="00C4104D" w:rsidRPr="0033769E" w:rsidRDefault="00C4104D" w:rsidP="005F2E4B">
            <w:pPr>
              <w:rPr>
                <w:rFonts w:cs="Arial"/>
                <w:color w:val="000000"/>
                <w:sz w:val="20"/>
                <w:szCs w:val="20"/>
              </w:rPr>
            </w:pPr>
            <w:r w:rsidRPr="0033769E">
              <w:rPr>
                <w:rFonts w:cs="Arial"/>
                <w:color w:val="000000"/>
                <w:sz w:val="20"/>
                <w:szCs w:val="20"/>
              </w:rPr>
              <w:t>GŘC</w:t>
            </w:r>
          </w:p>
        </w:tc>
        <w:tc>
          <w:tcPr>
            <w:tcW w:w="960" w:type="dxa"/>
            <w:tcBorders>
              <w:top w:val="double" w:sz="4" w:space="0" w:color="auto"/>
              <w:left w:val="nil"/>
              <w:bottom w:val="single" w:sz="4" w:space="0" w:color="auto"/>
              <w:right w:val="single" w:sz="4" w:space="0" w:color="auto"/>
            </w:tcBorders>
            <w:shd w:val="clear" w:color="auto" w:fill="auto"/>
            <w:vAlign w:val="center"/>
            <w:hideMark/>
          </w:tcPr>
          <w:p w14:paraId="7F0F571A" w14:textId="77777777" w:rsidR="00C4104D" w:rsidRPr="0033769E" w:rsidRDefault="00C4104D" w:rsidP="005F2E4B">
            <w:pPr>
              <w:jc w:val="center"/>
              <w:rPr>
                <w:rFonts w:cs="Arial"/>
                <w:color w:val="000000"/>
                <w:sz w:val="20"/>
                <w:szCs w:val="20"/>
              </w:rPr>
            </w:pPr>
            <w:r w:rsidRPr="0033769E">
              <w:rPr>
                <w:rFonts w:cs="Arial"/>
                <w:color w:val="000000"/>
                <w:sz w:val="20"/>
                <w:szCs w:val="20"/>
              </w:rPr>
              <w:t>2022</w:t>
            </w:r>
          </w:p>
        </w:tc>
        <w:tc>
          <w:tcPr>
            <w:tcW w:w="2020" w:type="dxa"/>
            <w:tcBorders>
              <w:top w:val="double" w:sz="4" w:space="0" w:color="auto"/>
              <w:left w:val="nil"/>
              <w:bottom w:val="single" w:sz="4" w:space="0" w:color="auto"/>
              <w:right w:val="single" w:sz="4" w:space="0" w:color="auto"/>
            </w:tcBorders>
            <w:shd w:val="clear" w:color="auto" w:fill="auto"/>
            <w:vAlign w:val="center"/>
          </w:tcPr>
          <w:p w14:paraId="0A8D7EEE" w14:textId="77777777" w:rsidR="00C4104D" w:rsidRPr="008E6A4B" w:rsidRDefault="00C4104D" w:rsidP="005F2E4B">
            <w:pPr>
              <w:spacing w:line="252" w:lineRule="auto"/>
              <w:jc w:val="center"/>
              <w:rPr>
                <w:rFonts w:cs="Arial"/>
                <w:bCs/>
                <w:sz w:val="20"/>
                <w:szCs w:val="20"/>
                <w:highlight w:val="yellow"/>
              </w:rPr>
            </w:pPr>
            <w:r w:rsidRPr="008E6A4B">
              <w:rPr>
                <w:rFonts w:cs="Arial"/>
                <w:bCs/>
                <w:sz w:val="20"/>
                <w:szCs w:val="20"/>
              </w:rPr>
              <w:t>41,77</w:t>
            </w:r>
          </w:p>
        </w:tc>
        <w:tc>
          <w:tcPr>
            <w:tcW w:w="2738" w:type="dxa"/>
            <w:tcBorders>
              <w:top w:val="double" w:sz="4" w:space="0" w:color="auto"/>
              <w:left w:val="nil"/>
              <w:bottom w:val="single" w:sz="4" w:space="0" w:color="auto"/>
              <w:right w:val="single" w:sz="4" w:space="0" w:color="auto"/>
            </w:tcBorders>
            <w:shd w:val="clear" w:color="auto" w:fill="auto"/>
            <w:vAlign w:val="center"/>
          </w:tcPr>
          <w:p w14:paraId="714B14F3" w14:textId="77777777" w:rsidR="00C4104D" w:rsidRPr="008E6A4B" w:rsidRDefault="00C4104D" w:rsidP="005F2E4B">
            <w:pPr>
              <w:spacing w:line="252" w:lineRule="auto"/>
              <w:jc w:val="center"/>
              <w:rPr>
                <w:rFonts w:cs="Arial"/>
                <w:bCs/>
                <w:sz w:val="20"/>
                <w:szCs w:val="20"/>
                <w:highlight w:val="yellow"/>
              </w:rPr>
            </w:pPr>
            <w:r w:rsidRPr="008E6A4B">
              <w:rPr>
                <w:rFonts w:cs="Arial"/>
                <w:bCs/>
                <w:sz w:val="20"/>
                <w:szCs w:val="20"/>
              </w:rPr>
              <w:t>21,01</w:t>
            </w:r>
          </w:p>
        </w:tc>
        <w:tc>
          <w:tcPr>
            <w:tcW w:w="2551" w:type="dxa"/>
            <w:tcBorders>
              <w:top w:val="double" w:sz="4" w:space="0" w:color="auto"/>
              <w:left w:val="nil"/>
              <w:bottom w:val="single" w:sz="4" w:space="0" w:color="auto"/>
              <w:right w:val="single" w:sz="12" w:space="0" w:color="auto"/>
            </w:tcBorders>
            <w:shd w:val="clear" w:color="auto" w:fill="auto"/>
            <w:vAlign w:val="center"/>
          </w:tcPr>
          <w:p w14:paraId="686F99B9" w14:textId="77777777" w:rsidR="00C4104D" w:rsidRPr="008E6A4B" w:rsidRDefault="00C4104D" w:rsidP="005F2E4B">
            <w:pPr>
              <w:spacing w:line="252" w:lineRule="auto"/>
              <w:jc w:val="center"/>
              <w:rPr>
                <w:rFonts w:cs="Arial"/>
                <w:bCs/>
                <w:sz w:val="20"/>
                <w:szCs w:val="20"/>
                <w:highlight w:val="yellow"/>
              </w:rPr>
            </w:pPr>
            <w:r w:rsidRPr="008E6A4B">
              <w:rPr>
                <w:rFonts w:cs="Arial"/>
                <w:bCs/>
                <w:sz w:val="20"/>
                <w:szCs w:val="20"/>
              </w:rPr>
              <w:t>20,76</w:t>
            </w:r>
          </w:p>
        </w:tc>
      </w:tr>
      <w:tr w:rsidR="00C4104D" w:rsidRPr="00094DA0" w14:paraId="10A4D71C" w14:textId="77777777" w:rsidTr="005F2E4B">
        <w:trPr>
          <w:trHeight w:val="315"/>
        </w:trPr>
        <w:tc>
          <w:tcPr>
            <w:tcW w:w="960" w:type="dxa"/>
            <w:vMerge/>
            <w:tcBorders>
              <w:top w:val="nil"/>
              <w:left w:val="single" w:sz="12" w:space="0" w:color="auto"/>
              <w:bottom w:val="double" w:sz="6" w:space="0" w:color="000000"/>
              <w:right w:val="single" w:sz="4" w:space="0" w:color="auto"/>
            </w:tcBorders>
            <w:vAlign w:val="center"/>
            <w:hideMark/>
          </w:tcPr>
          <w:p w14:paraId="0BEF867B" w14:textId="77777777" w:rsidR="00C4104D" w:rsidRPr="0033769E" w:rsidRDefault="00C4104D" w:rsidP="005F2E4B">
            <w:pPr>
              <w:rPr>
                <w:rFonts w:cs="Arial"/>
                <w:color w:val="000000"/>
                <w:sz w:val="20"/>
                <w:szCs w:val="20"/>
              </w:rPr>
            </w:pPr>
          </w:p>
        </w:tc>
        <w:tc>
          <w:tcPr>
            <w:tcW w:w="960" w:type="dxa"/>
            <w:tcBorders>
              <w:top w:val="nil"/>
              <w:left w:val="nil"/>
              <w:bottom w:val="double" w:sz="6" w:space="0" w:color="auto"/>
              <w:right w:val="single" w:sz="4" w:space="0" w:color="auto"/>
            </w:tcBorders>
            <w:shd w:val="clear" w:color="auto" w:fill="auto"/>
            <w:vAlign w:val="center"/>
            <w:hideMark/>
          </w:tcPr>
          <w:p w14:paraId="7F06C79D" w14:textId="77777777" w:rsidR="00C4104D" w:rsidRPr="0033769E" w:rsidRDefault="00C4104D" w:rsidP="005F2E4B">
            <w:pPr>
              <w:jc w:val="center"/>
              <w:rPr>
                <w:rFonts w:cs="Arial"/>
                <w:color w:val="000000"/>
                <w:sz w:val="20"/>
                <w:szCs w:val="20"/>
              </w:rPr>
            </w:pPr>
            <w:r w:rsidRPr="0033769E">
              <w:rPr>
                <w:rFonts w:cs="Arial"/>
                <w:color w:val="000000"/>
                <w:sz w:val="20"/>
                <w:szCs w:val="20"/>
              </w:rPr>
              <w:t>2023</w:t>
            </w:r>
          </w:p>
        </w:tc>
        <w:tc>
          <w:tcPr>
            <w:tcW w:w="2020" w:type="dxa"/>
            <w:tcBorders>
              <w:top w:val="nil"/>
              <w:left w:val="nil"/>
              <w:bottom w:val="double" w:sz="6" w:space="0" w:color="auto"/>
              <w:right w:val="single" w:sz="4" w:space="0" w:color="auto"/>
            </w:tcBorders>
            <w:shd w:val="clear" w:color="auto" w:fill="auto"/>
            <w:vAlign w:val="center"/>
          </w:tcPr>
          <w:p w14:paraId="4224D54F" w14:textId="77777777" w:rsidR="00C4104D" w:rsidRPr="008E6A4B" w:rsidRDefault="00C4104D" w:rsidP="005F2E4B">
            <w:pPr>
              <w:spacing w:line="252" w:lineRule="auto"/>
              <w:jc w:val="center"/>
              <w:rPr>
                <w:rFonts w:cs="Arial"/>
                <w:bCs/>
                <w:sz w:val="20"/>
                <w:szCs w:val="20"/>
                <w:highlight w:val="yellow"/>
              </w:rPr>
            </w:pPr>
            <w:r w:rsidRPr="008E6A4B">
              <w:rPr>
                <w:rFonts w:cs="Arial"/>
                <w:bCs/>
                <w:sz w:val="20"/>
                <w:szCs w:val="20"/>
              </w:rPr>
              <w:t>43,91</w:t>
            </w:r>
          </w:p>
        </w:tc>
        <w:tc>
          <w:tcPr>
            <w:tcW w:w="2738" w:type="dxa"/>
            <w:tcBorders>
              <w:top w:val="nil"/>
              <w:left w:val="nil"/>
              <w:bottom w:val="double" w:sz="6" w:space="0" w:color="auto"/>
              <w:right w:val="single" w:sz="4" w:space="0" w:color="auto"/>
            </w:tcBorders>
            <w:shd w:val="clear" w:color="auto" w:fill="auto"/>
            <w:vAlign w:val="center"/>
          </w:tcPr>
          <w:p w14:paraId="1A181A88" w14:textId="77777777" w:rsidR="00C4104D" w:rsidRPr="008E6A4B" w:rsidRDefault="00C4104D" w:rsidP="005F2E4B">
            <w:pPr>
              <w:spacing w:line="252" w:lineRule="auto"/>
              <w:jc w:val="center"/>
              <w:rPr>
                <w:rFonts w:cs="Arial"/>
                <w:bCs/>
                <w:sz w:val="20"/>
                <w:szCs w:val="20"/>
                <w:highlight w:val="yellow"/>
              </w:rPr>
            </w:pPr>
            <w:r w:rsidRPr="008E6A4B">
              <w:rPr>
                <w:rFonts w:cs="Arial"/>
                <w:bCs/>
                <w:sz w:val="20"/>
                <w:szCs w:val="20"/>
              </w:rPr>
              <w:t>21,98</w:t>
            </w:r>
          </w:p>
        </w:tc>
        <w:tc>
          <w:tcPr>
            <w:tcW w:w="2551" w:type="dxa"/>
            <w:tcBorders>
              <w:top w:val="nil"/>
              <w:left w:val="nil"/>
              <w:bottom w:val="double" w:sz="6" w:space="0" w:color="auto"/>
              <w:right w:val="single" w:sz="12" w:space="0" w:color="auto"/>
            </w:tcBorders>
            <w:shd w:val="clear" w:color="auto" w:fill="auto"/>
            <w:vAlign w:val="center"/>
          </w:tcPr>
          <w:p w14:paraId="29BE9D4A" w14:textId="77777777" w:rsidR="00C4104D" w:rsidRPr="008E6A4B" w:rsidRDefault="00C4104D" w:rsidP="005F2E4B">
            <w:pPr>
              <w:spacing w:line="252" w:lineRule="auto"/>
              <w:jc w:val="center"/>
              <w:rPr>
                <w:rFonts w:cs="Arial"/>
                <w:bCs/>
                <w:sz w:val="20"/>
                <w:szCs w:val="20"/>
                <w:highlight w:val="yellow"/>
              </w:rPr>
            </w:pPr>
            <w:r w:rsidRPr="008E6A4B">
              <w:rPr>
                <w:rFonts w:cs="Arial"/>
                <w:bCs/>
                <w:sz w:val="20"/>
                <w:szCs w:val="20"/>
              </w:rPr>
              <w:t>21,93</w:t>
            </w:r>
          </w:p>
        </w:tc>
      </w:tr>
      <w:tr w:rsidR="00C4104D" w:rsidRPr="00094DA0" w14:paraId="607FF3F3" w14:textId="77777777" w:rsidTr="005F2E4B">
        <w:trPr>
          <w:trHeight w:val="315"/>
        </w:trPr>
        <w:tc>
          <w:tcPr>
            <w:tcW w:w="960" w:type="dxa"/>
            <w:vMerge w:val="restart"/>
            <w:tcBorders>
              <w:top w:val="nil"/>
              <w:left w:val="single" w:sz="12" w:space="0" w:color="auto"/>
              <w:bottom w:val="double" w:sz="6" w:space="0" w:color="000000"/>
              <w:right w:val="single" w:sz="4" w:space="0" w:color="auto"/>
            </w:tcBorders>
            <w:shd w:val="clear" w:color="auto" w:fill="auto"/>
            <w:vAlign w:val="center"/>
            <w:hideMark/>
          </w:tcPr>
          <w:p w14:paraId="1EDCFBA1" w14:textId="77777777" w:rsidR="00C4104D" w:rsidRPr="00692C5C" w:rsidRDefault="00C4104D" w:rsidP="005F2E4B">
            <w:pPr>
              <w:rPr>
                <w:rFonts w:cs="Arial"/>
                <w:color w:val="000000"/>
                <w:sz w:val="20"/>
                <w:szCs w:val="20"/>
              </w:rPr>
            </w:pPr>
            <w:r w:rsidRPr="00692C5C">
              <w:rPr>
                <w:rFonts w:cs="Arial"/>
                <w:color w:val="000000"/>
                <w:sz w:val="20"/>
                <w:szCs w:val="20"/>
              </w:rPr>
              <w:t>GFŘ</w:t>
            </w:r>
          </w:p>
        </w:tc>
        <w:tc>
          <w:tcPr>
            <w:tcW w:w="960" w:type="dxa"/>
            <w:tcBorders>
              <w:top w:val="nil"/>
              <w:left w:val="nil"/>
              <w:bottom w:val="single" w:sz="4" w:space="0" w:color="auto"/>
              <w:right w:val="single" w:sz="4" w:space="0" w:color="auto"/>
            </w:tcBorders>
            <w:shd w:val="clear" w:color="auto" w:fill="auto"/>
            <w:vAlign w:val="center"/>
            <w:hideMark/>
          </w:tcPr>
          <w:p w14:paraId="1EAE1AA5" w14:textId="77777777" w:rsidR="00C4104D" w:rsidRPr="00692C5C" w:rsidRDefault="00C4104D" w:rsidP="005F2E4B">
            <w:pPr>
              <w:jc w:val="center"/>
              <w:rPr>
                <w:rFonts w:cs="Arial"/>
                <w:color w:val="000000"/>
                <w:sz w:val="20"/>
                <w:szCs w:val="20"/>
              </w:rPr>
            </w:pPr>
            <w:r w:rsidRPr="00692C5C">
              <w:rPr>
                <w:rFonts w:cs="Arial"/>
                <w:color w:val="000000"/>
                <w:sz w:val="20"/>
                <w:szCs w:val="20"/>
              </w:rPr>
              <w:t>2022</w:t>
            </w:r>
          </w:p>
        </w:tc>
        <w:tc>
          <w:tcPr>
            <w:tcW w:w="2020" w:type="dxa"/>
            <w:tcBorders>
              <w:top w:val="nil"/>
              <w:left w:val="nil"/>
              <w:bottom w:val="single" w:sz="4" w:space="0" w:color="auto"/>
              <w:right w:val="single" w:sz="4" w:space="0" w:color="auto"/>
            </w:tcBorders>
            <w:shd w:val="clear" w:color="auto" w:fill="auto"/>
            <w:vAlign w:val="center"/>
          </w:tcPr>
          <w:p w14:paraId="1840E68A" w14:textId="77777777" w:rsidR="00C4104D" w:rsidRPr="007077E3" w:rsidRDefault="00C4104D" w:rsidP="005F2E4B">
            <w:pPr>
              <w:spacing w:line="252" w:lineRule="auto"/>
              <w:jc w:val="center"/>
              <w:rPr>
                <w:rFonts w:cs="Arial"/>
                <w:bCs/>
                <w:sz w:val="20"/>
                <w:szCs w:val="20"/>
                <w:highlight w:val="yellow"/>
              </w:rPr>
            </w:pPr>
            <w:r w:rsidRPr="007077E3">
              <w:rPr>
                <w:rFonts w:cs="Arial"/>
                <w:bCs/>
                <w:sz w:val="20"/>
                <w:szCs w:val="20"/>
              </w:rPr>
              <w:t>383,13</w:t>
            </w:r>
          </w:p>
        </w:tc>
        <w:tc>
          <w:tcPr>
            <w:tcW w:w="2738" w:type="dxa"/>
            <w:tcBorders>
              <w:top w:val="nil"/>
              <w:left w:val="nil"/>
              <w:bottom w:val="single" w:sz="4" w:space="0" w:color="auto"/>
              <w:right w:val="single" w:sz="4" w:space="0" w:color="auto"/>
            </w:tcBorders>
            <w:shd w:val="clear" w:color="auto" w:fill="auto"/>
            <w:vAlign w:val="center"/>
          </w:tcPr>
          <w:p w14:paraId="0CD8F143" w14:textId="77777777" w:rsidR="00C4104D" w:rsidRPr="007077E3" w:rsidRDefault="00C4104D" w:rsidP="005F2E4B">
            <w:pPr>
              <w:spacing w:line="252" w:lineRule="auto"/>
              <w:jc w:val="center"/>
              <w:rPr>
                <w:rFonts w:cs="Arial"/>
                <w:bCs/>
                <w:sz w:val="20"/>
                <w:szCs w:val="20"/>
                <w:highlight w:val="yellow"/>
              </w:rPr>
            </w:pPr>
            <w:r w:rsidRPr="007077E3">
              <w:rPr>
                <w:rFonts w:cs="Arial"/>
                <w:bCs/>
                <w:sz w:val="20"/>
                <w:szCs w:val="20"/>
              </w:rPr>
              <w:t>101</w:t>
            </w:r>
          </w:p>
        </w:tc>
        <w:tc>
          <w:tcPr>
            <w:tcW w:w="2551" w:type="dxa"/>
            <w:tcBorders>
              <w:top w:val="nil"/>
              <w:left w:val="nil"/>
              <w:bottom w:val="single" w:sz="4" w:space="0" w:color="auto"/>
              <w:right w:val="single" w:sz="12" w:space="0" w:color="auto"/>
            </w:tcBorders>
            <w:shd w:val="clear" w:color="auto" w:fill="auto"/>
            <w:vAlign w:val="center"/>
          </w:tcPr>
          <w:p w14:paraId="79AC427F" w14:textId="77777777" w:rsidR="00C4104D" w:rsidRPr="007077E3" w:rsidRDefault="00C4104D" w:rsidP="005F2E4B">
            <w:pPr>
              <w:spacing w:line="252" w:lineRule="auto"/>
              <w:jc w:val="center"/>
              <w:rPr>
                <w:rFonts w:cs="Arial"/>
                <w:bCs/>
                <w:sz w:val="20"/>
                <w:szCs w:val="20"/>
                <w:highlight w:val="yellow"/>
              </w:rPr>
            </w:pPr>
            <w:r w:rsidRPr="007077E3">
              <w:rPr>
                <w:rFonts w:cs="Arial"/>
                <w:bCs/>
                <w:sz w:val="20"/>
                <w:szCs w:val="20"/>
              </w:rPr>
              <w:t>282</w:t>
            </w:r>
          </w:p>
        </w:tc>
      </w:tr>
      <w:tr w:rsidR="00C4104D" w:rsidRPr="00094DA0" w14:paraId="1E4317FF" w14:textId="77777777" w:rsidTr="005F2E4B">
        <w:trPr>
          <w:trHeight w:val="315"/>
        </w:trPr>
        <w:tc>
          <w:tcPr>
            <w:tcW w:w="960" w:type="dxa"/>
            <w:vMerge/>
            <w:tcBorders>
              <w:top w:val="nil"/>
              <w:left w:val="single" w:sz="12" w:space="0" w:color="auto"/>
              <w:bottom w:val="double" w:sz="6" w:space="0" w:color="000000"/>
              <w:right w:val="single" w:sz="4" w:space="0" w:color="auto"/>
            </w:tcBorders>
            <w:vAlign w:val="center"/>
            <w:hideMark/>
          </w:tcPr>
          <w:p w14:paraId="27BEAE2F" w14:textId="77777777" w:rsidR="00C4104D" w:rsidRPr="00692C5C" w:rsidRDefault="00C4104D" w:rsidP="005F2E4B">
            <w:pPr>
              <w:rPr>
                <w:rFonts w:cs="Arial"/>
                <w:color w:val="000000"/>
                <w:sz w:val="20"/>
                <w:szCs w:val="20"/>
              </w:rPr>
            </w:pPr>
          </w:p>
        </w:tc>
        <w:tc>
          <w:tcPr>
            <w:tcW w:w="960" w:type="dxa"/>
            <w:tcBorders>
              <w:top w:val="nil"/>
              <w:left w:val="nil"/>
              <w:bottom w:val="double" w:sz="6" w:space="0" w:color="auto"/>
              <w:right w:val="single" w:sz="4" w:space="0" w:color="auto"/>
            </w:tcBorders>
            <w:shd w:val="clear" w:color="auto" w:fill="auto"/>
            <w:vAlign w:val="center"/>
            <w:hideMark/>
          </w:tcPr>
          <w:p w14:paraId="592D130B" w14:textId="77777777" w:rsidR="00C4104D" w:rsidRPr="00692C5C" w:rsidRDefault="00C4104D" w:rsidP="005F2E4B">
            <w:pPr>
              <w:jc w:val="center"/>
              <w:rPr>
                <w:rFonts w:cs="Arial"/>
                <w:color w:val="000000"/>
                <w:sz w:val="20"/>
                <w:szCs w:val="20"/>
              </w:rPr>
            </w:pPr>
            <w:r w:rsidRPr="00692C5C">
              <w:rPr>
                <w:rFonts w:cs="Arial"/>
                <w:color w:val="000000"/>
                <w:sz w:val="20"/>
                <w:szCs w:val="20"/>
              </w:rPr>
              <w:t>2023</w:t>
            </w:r>
          </w:p>
        </w:tc>
        <w:tc>
          <w:tcPr>
            <w:tcW w:w="2020" w:type="dxa"/>
            <w:tcBorders>
              <w:top w:val="nil"/>
              <w:left w:val="nil"/>
              <w:bottom w:val="double" w:sz="6" w:space="0" w:color="auto"/>
              <w:right w:val="single" w:sz="4" w:space="0" w:color="auto"/>
            </w:tcBorders>
            <w:shd w:val="clear" w:color="auto" w:fill="auto"/>
            <w:vAlign w:val="center"/>
          </w:tcPr>
          <w:p w14:paraId="31408243" w14:textId="77777777" w:rsidR="00C4104D" w:rsidRPr="007077E3" w:rsidRDefault="00C4104D" w:rsidP="005F2E4B">
            <w:pPr>
              <w:spacing w:line="252" w:lineRule="auto"/>
              <w:jc w:val="center"/>
              <w:rPr>
                <w:rFonts w:cs="Arial"/>
                <w:bCs/>
                <w:sz w:val="20"/>
                <w:szCs w:val="20"/>
                <w:highlight w:val="yellow"/>
              </w:rPr>
            </w:pPr>
            <w:r w:rsidRPr="007077E3">
              <w:rPr>
                <w:rFonts w:cs="Arial"/>
                <w:bCs/>
                <w:sz w:val="20"/>
                <w:szCs w:val="20"/>
              </w:rPr>
              <w:t>386,04</w:t>
            </w:r>
          </w:p>
        </w:tc>
        <w:tc>
          <w:tcPr>
            <w:tcW w:w="2738" w:type="dxa"/>
            <w:tcBorders>
              <w:top w:val="nil"/>
              <w:left w:val="nil"/>
              <w:bottom w:val="double" w:sz="6" w:space="0" w:color="auto"/>
              <w:right w:val="single" w:sz="4" w:space="0" w:color="auto"/>
            </w:tcBorders>
            <w:shd w:val="clear" w:color="auto" w:fill="auto"/>
            <w:vAlign w:val="center"/>
          </w:tcPr>
          <w:p w14:paraId="12D20215" w14:textId="77777777" w:rsidR="00C4104D" w:rsidRPr="007077E3" w:rsidRDefault="00C4104D" w:rsidP="005F2E4B">
            <w:pPr>
              <w:spacing w:line="252" w:lineRule="auto"/>
              <w:jc w:val="center"/>
              <w:rPr>
                <w:rFonts w:cs="Arial"/>
                <w:bCs/>
                <w:sz w:val="20"/>
                <w:szCs w:val="20"/>
                <w:highlight w:val="yellow"/>
              </w:rPr>
            </w:pPr>
            <w:r w:rsidRPr="007077E3">
              <w:rPr>
                <w:rFonts w:cs="Arial"/>
                <w:bCs/>
                <w:sz w:val="20"/>
                <w:szCs w:val="20"/>
              </w:rPr>
              <w:t>94</w:t>
            </w:r>
          </w:p>
        </w:tc>
        <w:tc>
          <w:tcPr>
            <w:tcW w:w="2551" w:type="dxa"/>
            <w:tcBorders>
              <w:top w:val="nil"/>
              <w:left w:val="nil"/>
              <w:bottom w:val="double" w:sz="6" w:space="0" w:color="auto"/>
              <w:right w:val="single" w:sz="12" w:space="0" w:color="auto"/>
            </w:tcBorders>
            <w:shd w:val="clear" w:color="auto" w:fill="auto"/>
            <w:vAlign w:val="center"/>
          </w:tcPr>
          <w:p w14:paraId="1DA6ACE2" w14:textId="77777777" w:rsidR="00C4104D" w:rsidRPr="007077E3" w:rsidRDefault="00C4104D" w:rsidP="005F2E4B">
            <w:pPr>
              <w:spacing w:line="252" w:lineRule="auto"/>
              <w:jc w:val="center"/>
              <w:rPr>
                <w:rFonts w:cs="Arial"/>
                <w:bCs/>
                <w:sz w:val="20"/>
                <w:szCs w:val="20"/>
                <w:highlight w:val="yellow"/>
              </w:rPr>
            </w:pPr>
            <w:r w:rsidRPr="007077E3">
              <w:rPr>
                <w:rFonts w:cs="Arial"/>
                <w:bCs/>
                <w:sz w:val="20"/>
                <w:szCs w:val="20"/>
              </w:rPr>
              <w:t>292</w:t>
            </w:r>
          </w:p>
        </w:tc>
      </w:tr>
      <w:tr w:rsidR="00C4104D" w:rsidRPr="00094DA0" w14:paraId="5BD65B0F" w14:textId="77777777" w:rsidTr="005F2E4B">
        <w:trPr>
          <w:trHeight w:val="315"/>
        </w:trPr>
        <w:tc>
          <w:tcPr>
            <w:tcW w:w="960" w:type="dxa"/>
            <w:vMerge w:val="restart"/>
            <w:tcBorders>
              <w:top w:val="nil"/>
              <w:left w:val="single" w:sz="12" w:space="0" w:color="auto"/>
              <w:bottom w:val="double" w:sz="6" w:space="0" w:color="000000"/>
              <w:right w:val="single" w:sz="4" w:space="0" w:color="auto"/>
            </w:tcBorders>
            <w:shd w:val="clear" w:color="auto" w:fill="auto"/>
            <w:vAlign w:val="center"/>
            <w:hideMark/>
          </w:tcPr>
          <w:p w14:paraId="0EFC4677" w14:textId="77777777" w:rsidR="00C4104D" w:rsidRPr="006A195B" w:rsidRDefault="00C4104D" w:rsidP="005F2E4B">
            <w:pPr>
              <w:rPr>
                <w:rFonts w:cs="Arial"/>
                <w:color w:val="000000"/>
                <w:sz w:val="20"/>
                <w:szCs w:val="20"/>
              </w:rPr>
            </w:pPr>
            <w:r w:rsidRPr="006A195B">
              <w:rPr>
                <w:rFonts w:cs="Arial"/>
                <w:color w:val="000000"/>
                <w:sz w:val="20"/>
                <w:szCs w:val="20"/>
              </w:rPr>
              <w:t>ÚZSVM</w:t>
            </w:r>
          </w:p>
        </w:tc>
        <w:tc>
          <w:tcPr>
            <w:tcW w:w="960" w:type="dxa"/>
            <w:tcBorders>
              <w:top w:val="nil"/>
              <w:left w:val="nil"/>
              <w:bottom w:val="single" w:sz="4" w:space="0" w:color="auto"/>
              <w:right w:val="single" w:sz="4" w:space="0" w:color="auto"/>
            </w:tcBorders>
            <w:shd w:val="clear" w:color="auto" w:fill="auto"/>
            <w:vAlign w:val="center"/>
            <w:hideMark/>
          </w:tcPr>
          <w:p w14:paraId="7F27F8E0" w14:textId="77777777" w:rsidR="00C4104D" w:rsidRPr="006A195B" w:rsidRDefault="00C4104D" w:rsidP="005F2E4B">
            <w:pPr>
              <w:jc w:val="center"/>
              <w:rPr>
                <w:rFonts w:cs="Arial"/>
                <w:color w:val="000000"/>
                <w:sz w:val="20"/>
                <w:szCs w:val="20"/>
              </w:rPr>
            </w:pPr>
            <w:r w:rsidRPr="006A195B">
              <w:rPr>
                <w:rFonts w:cs="Arial"/>
                <w:color w:val="000000"/>
                <w:sz w:val="20"/>
                <w:szCs w:val="20"/>
              </w:rPr>
              <w:t>2022</w:t>
            </w:r>
          </w:p>
        </w:tc>
        <w:tc>
          <w:tcPr>
            <w:tcW w:w="2020" w:type="dxa"/>
            <w:tcBorders>
              <w:top w:val="nil"/>
              <w:left w:val="nil"/>
              <w:bottom w:val="single" w:sz="4" w:space="0" w:color="auto"/>
              <w:right w:val="single" w:sz="4" w:space="0" w:color="auto"/>
            </w:tcBorders>
            <w:shd w:val="clear" w:color="auto" w:fill="auto"/>
            <w:vAlign w:val="center"/>
          </w:tcPr>
          <w:p w14:paraId="3B83ABAD" w14:textId="77777777" w:rsidR="00C4104D" w:rsidRPr="002B54F2" w:rsidRDefault="00C4104D" w:rsidP="005F2E4B">
            <w:pPr>
              <w:spacing w:line="252" w:lineRule="auto"/>
              <w:jc w:val="center"/>
              <w:rPr>
                <w:rFonts w:cs="Arial"/>
                <w:bCs/>
                <w:sz w:val="20"/>
                <w:szCs w:val="20"/>
                <w:highlight w:val="yellow"/>
              </w:rPr>
            </w:pPr>
            <w:r w:rsidRPr="002B54F2">
              <w:rPr>
                <w:rFonts w:cs="Arial"/>
                <w:bCs/>
                <w:sz w:val="20"/>
                <w:szCs w:val="20"/>
              </w:rPr>
              <w:t>50</w:t>
            </w:r>
          </w:p>
        </w:tc>
        <w:tc>
          <w:tcPr>
            <w:tcW w:w="2738" w:type="dxa"/>
            <w:tcBorders>
              <w:top w:val="nil"/>
              <w:left w:val="nil"/>
              <w:bottom w:val="single" w:sz="4" w:space="0" w:color="auto"/>
              <w:right w:val="single" w:sz="4" w:space="0" w:color="auto"/>
            </w:tcBorders>
            <w:shd w:val="clear" w:color="auto" w:fill="auto"/>
            <w:vAlign w:val="center"/>
          </w:tcPr>
          <w:p w14:paraId="455DE0E4" w14:textId="77777777" w:rsidR="00C4104D" w:rsidRPr="002B54F2" w:rsidRDefault="00C4104D" w:rsidP="005F2E4B">
            <w:pPr>
              <w:spacing w:line="252" w:lineRule="auto"/>
              <w:jc w:val="center"/>
              <w:rPr>
                <w:rFonts w:cs="Arial"/>
                <w:bCs/>
                <w:sz w:val="20"/>
                <w:szCs w:val="20"/>
                <w:highlight w:val="yellow"/>
              </w:rPr>
            </w:pPr>
            <w:r w:rsidRPr="002B54F2">
              <w:rPr>
                <w:rFonts w:cs="Arial"/>
                <w:bCs/>
                <w:sz w:val="20"/>
                <w:szCs w:val="20"/>
              </w:rPr>
              <w:t>17</w:t>
            </w:r>
          </w:p>
        </w:tc>
        <w:tc>
          <w:tcPr>
            <w:tcW w:w="2551" w:type="dxa"/>
            <w:tcBorders>
              <w:top w:val="nil"/>
              <w:left w:val="nil"/>
              <w:bottom w:val="single" w:sz="4" w:space="0" w:color="auto"/>
              <w:right w:val="single" w:sz="12" w:space="0" w:color="auto"/>
            </w:tcBorders>
            <w:shd w:val="clear" w:color="auto" w:fill="auto"/>
            <w:vAlign w:val="center"/>
          </w:tcPr>
          <w:p w14:paraId="3D896AE3" w14:textId="77777777" w:rsidR="00C4104D" w:rsidRPr="002B54F2" w:rsidRDefault="00C4104D" w:rsidP="005F2E4B">
            <w:pPr>
              <w:spacing w:line="252" w:lineRule="auto"/>
              <w:jc w:val="center"/>
              <w:rPr>
                <w:rFonts w:cs="Arial"/>
                <w:bCs/>
                <w:sz w:val="20"/>
                <w:szCs w:val="20"/>
                <w:highlight w:val="yellow"/>
              </w:rPr>
            </w:pPr>
            <w:r w:rsidRPr="002B54F2">
              <w:rPr>
                <w:rFonts w:cs="Arial"/>
                <w:bCs/>
                <w:sz w:val="20"/>
                <w:szCs w:val="20"/>
              </w:rPr>
              <w:t>33</w:t>
            </w:r>
          </w:p>
        </w:tc>
      </w:tr>
      <w:tr w:rsidR="00C4104D" w:rsidRPr="00094DA0" w14:paraId="376818D5" w14:textId="77777777" w:rsidTr="005F2E4B">
        <w:trPr>
          <w:trHeight w:val="315"/>
        </w:trPr>
        <w:tc>
          <w:tcPr>
            <w:tcW w:w="960" w:type="dxa"/>
            <w:vMerge/>
            <w:tcBorders>
              <w:top w:val="nil"/>
              <w:left w:val="single" w:sz="12" w:space="0" w:color="auto"/>
              <w:bottom w:val="double" w:sz="6" w:space="0" w:color="000000"/>
              <w:right w:val="single" w:sz="4" w:space="0" w:color="auto"/>
            </w:tcBorders>
            <w:vAlign w:val="center"/>
            <w:hideMark/>
          </w:tcPr>
          <w:p w14:paraId="49702B0F" w14:textId="77777777" w:rsidR="00C4104D" w:rsidRPr="006A195B" w:rsidRDefault="00C4104D" w:rsidP="005F2E4B">
            <w:pPr>
              <w:rPr>
                <w:rFonts w:cs="Arial"/>
                <w:color w:val="000000"/>
                <w:sz w:val="20"/>
                <w:szCs w:val="20"/>
              </w:rPr>
            </w:pPr>
          </w:p>
        </w:tc>
        <w:tc>
          <w:tcPr>
            <w:tcW w:w="960" w:type="dxa"/>
            <w:tcBorders>
              <w:top w:val="nil"/>
              <w:left w:val="nil"/>
              <w:bottom w:val="double" w:sz="6" w:space="0" w:color="auto"/>
              <w:right w:val="single" w:sz="4" w:space="0" w:color="auto"/>
            </w:tcBorders>
            <w:shd w:val="clear" w:color="auto" w:fill="auto"/>
            <w:vAlign w:val="center"/>
            <w:hideMark/>
          </w:tcPr>
          <w:p w14:paraId="6F30CBC4" w14:textId="77777777" w:rsidR="00C4104D" w:rsidRPr="006A195B" w:rsidRDefault="00C4104D" w:rsidP="005F2E4B">
            <w:pPr>
              <w:jc w:val="center"/>
              <w:rPr>
                <w:rFonts w:cs="Arial"/>
                <w:color w:val="000000"/>
                <w:sz w:val="20"/>
                <w:szCs w:val="20"/>
              </w:rPr>
            </w:pPr>
            <w:r w:rsidRPr="006A195B">
              <w:rPr>
                <w:rFonts w:cs="Arial"/>
                <w:color w:val="000000"/>
                <w:sz w:val="20"/>
                <w:szCs w:val="20"/>
              </w:rPr>
              <w:t>2023</w:t>
            </w:r>
          </w:p>
        </w:tc>
        <w:tc>
          <w:tcPr>
            <w:tcW w:w="2020" w:type="dxa"/>
            <w:tcBorders>
              <w:top w:val="nil"/>
              <w:left w:val="nil"/>
              <w:bottom w:val="double" w:sz="6" w:space="0" w:color="auto"/>
              <w:right w:val="single" w:sz="4" w:space="0" w:color="auto"/>
            </w:tcBorders>
            <w:shd w:val="clear" w:color="auto" w:fill="auto"/>
            <w:vAlign w:val="center"/>
          </w:tcPr>
          <w:p w14:paraId="3E061EEE" w14:textId="77777777" w:rsidR="00C4104D" w:rsidRPr="002B54F2" w:rsidRDefault="00C4104D" w:rsidP="005F2E4B">
            <w:pPr>
              <w:spacing w:line="252" w:lineRule="auto"/>
              <w:jc w:val="center"/>
              <w:rPr>
                <w:rFonts w:cs="Arial"/>
                <w:bCs/>
                <w:sz w:val="20"/>
                <w:szCs w:val="20"/>
                <w:highlight w:val="yellow"/>
              </w:rPr>
            </w:pPr>
            <w:r w:rsidRPr="002B54F2">
              <w:rPr>
                <w:rFonts w:cs="Arial"/>
                <w:bCs/>
                <w:sz w:val="20"/>
                <w:szCs w:val="20"/>
              </w:rPr>
              <w:t>52</w:t>
            </w:r>
          </w:p>
        </w:tc>
        <w:tc>
          <w:tcPr>
            <w:tcW w:w="2738" w:type="dxa"/>
            <w:tcBorders>
              <w:top w:val="nil"/>
              <w:left w:val="nil"/>
              <w:bottom w:val="double" w:sz="6" w:space="0" w:color="auto"/>
              <w:right w:val="single" w:sz="4" w:space="0" w:color="auto"/>
            </w:tcBorders>
            <w:shd w:val="clear" w:color="auto" w:fill="auto"/>
            <w:vAlign w:val="center"/>
          </w:tcPr>
          <w:p w14:paraId="0BDD6CB4" w14:textId="77777777" w:rsidR="00C4104D" w:rsidRPr="002B54F2" w:rsidRDefault="00C4104D" w:rsidP="005F2E4B">
            <w:pPr>
              <w:spacing w:line="252" w:lineRule="auto"/>
              <w:jc w:val="center"/>
              <w:rPr>
                <w:rFonts w:cs="Arial"/>
                <w:bCs/>
                <w:sz w:val="20"/>
                <w:szCs w:val="20"/>
                <w:highlight w:val="yellow"/>
              </w:rPr>
            </w:pPr>
            <w:r w:rsidRPr="002B54F2">
              <w:rPr>
                <w:rFonts w:cs="Arial"/>
                <w:bCs/>
                <w:sz w:val="20"/>
                <w:szCs w:val="20"/>
              </w:rPr>
              <w:t>17</w:t>
            </w:r>
          </w:p>
        </w:tc>
        <w:tc>
          <w:tcPr>
            <w:tcW w:w="2551" w:type="dxa"/>
            <w:tcBorders>
              <w:top w:val="nil"/>
              <w:left w:val="nil"/>
              <w:bottom w:val="double" w:sz="6" w:space="0" w:color="auto"/>
              <w:right w:val="single" w:sz="12" w:space="0" w:color="auto"/>
            </w:tcBorders>
            <w:shd w:val="clear" w:color="auto" w:fill="auto"/>
            <w:vAlign w:val="center"/>
          </w:tcPr>
          <w:p w14:paraId="489FD982" w14:textId="77777777" w:rsidR="00C4104D" w:rsidRPr="002B54F2" w:rsidRDefault="00C4104D" w:rsidP="005F2E4B">
            <w:pPr>
              <w:spacing w:line="252" w:lineRule="auto"/>
              <w:jc w:val="center"/>
              <w:rPr>
                <w:rFonts w:cs="Arial"/>
                <w:bCs/>
                <w:sz w:val="20"/>
                <w:szCs w:val="20"/>
                <w:highlight w:val="yellow"/>
              </w:rPr>
            </w:pPr>
            <w:r w:rsidRPr="002B54F2">
              <w:rPr>
                <w:rFonts w:cs="Arial"/>
                <w:bCs/>
                <w:sz w:val="20"/>
                <w:szCs w:val="20"/>
              </w:rPr>
              <w:t>35</w:t>
            </w:r>
          </w:p>
        </w:tc>
      </w:tr>
      <w:tr w:rsidR="00C4104D" w:rsidRPr="00094DA0" w14:paraId="095D5062" w14:textId="77777777" w:rsidTr="005F2E4B">
        <w:trPr>
          <w:trHeight w:val="315"/>
        </w:trPr>
        <w:tc>
          <w:tcPr>
            <w:tcW w:w="960"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2F8D7D98" w14:textId="77777777" w:rsidR="00C4104D" w:rsidRPr="002C75A9" w:rsidRDefault="00C4104D" w:rsidP="005F2E4B">
            <w:pPr>
              <w:rPr>
                <w:rFonts w:cs="Arial"/>
                <w:color w:val="000000"/>
                <w:sz w:val="20"/>
                <w:szCs w:val="20"/>
              </w:rPr>
            </w:pPr>
            <w:r w:rsidRPr="002C75A9">
              <w:rPr>
                <w:rFonts w:cs="Arial"/>
                <w:color w:val="000000"/>
                <w:sz w:val="20"/>
                <w:szCs w:val="20"/>
              </w:rPr>
              <w:t>STC</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217FE5E" w14:textId="77777777" w:rsidR="00C4104D" w:rsidRPr="002C75A9" w:rsidRDefault="00C4104D" w:rsidP="005F2E4B">
            <w:pPr>
              <w:jc w:val="center"/>
              <w:rPr>
                <w:rFonts w:cs="Arial"/>
                <w:color w:val="000000"/>
                <w:sz w:val="20"/>
                <w:szCs w:val="20"/>
              </w:rPr>
            </w:pPr>
            <w:r w:rsidRPr="002C75A9">
              <w:rPr>
                <w:rFonts w:cs="Arial"/>
                <w:color w:val="000000"/>
                <w:sz w:val="20"/>
                <w:szCs w:val="20"/>
              </w:rPr>
              <w:t>2022</w:t>
            </w:r>
          </w:p>
        </w:tc>
        <w:tc>
          <w:tcPr>
            <w:tcW w:w="2020" w:type="dxa"/>
            <w:tcBorders>
              <w:top w:val="single" w:sz="4" w:space="0" w:color="auto"/>
              <w:left w:val="nil"/>
              <w:bottom w:val="single" w:sz="4" w:space="0" w:color="auto"/>
              <w:right w:val="single" w:sz="4" w:space="0" w:color="auto"/>
            </w:tcBorders>
            <w:shd w:val="clear" w:color="auto" w:fill="auto"/>
            <w:vAlign w:val="center"/>
          </w:tcPr>
          <w:p w14:paraId="4D86474C" w14:textId="77777777" w:rsidR="00C4104D" w:rsidRPr="00241989" w:rsidRDefault="00C4104D" w:rsidP="005F2E4B">
            <w:pPr>
              <w:spacing w:line="252" w:lineRule="auto"/>
              <w:jc w:val="center"/>
              <w:rPr>
                <w:rFonts w:cs="Arial"/>
                <w:bCs/>
                <w:sz w:val="20"/>
                <w:szCs w:val="20"/>
                <w:highlight w:val="yellow"/>
              </w:rPr>
            </w:pPr>
            <w:r w:rsidRPr="00241989">
              <w:rPr>
                <w:rFonts w:cs="Arial"/>
                <w:bCs/>
                <w:sz w:val="20"/>
                <w:szCs w:val="20"/>
              </w:rPr>
              <w:t>9</w:t>
            </w:r>
          </w:p>
        </w:tc>
        <w:tc>
          <w:tcPr>
            <w:tcW w:w="2738" w:type="dxa"/>
            <w:tcBorders>
              <w:top w:val="single" w:sz="4" w:space="0" w:color="auto"/>
              <w:left w:val="nil"/>
              <w:bottom w:val="single" w:sz="4" w:space="0" w:color="auto"/>
              <w:right w:val="single" w:sz="4" w:space="0" w:color="auto"/>
            </w:tcBorders>
            <w:shd w:val="clear" w:color="auto" w:fill="auto"/>
            <w:vAlign w:val="center"/>
          </w:tcPr>
          <w:p w14:paraId="3369FEB5" w14:textId="77777777" w:rsidR="00C4104D" w:rsidRPr="00241989" w:rsidRDefault="00C4104D" w:rsidP="005F2E4B">
            <w:pPr>
              <w:spacing w:line="252" w:lineRule="auto"/>
              <w:jc w:val="center"/>
              <w:rPr>
                <w:rFonts w:cs="Arial"/>
                <w:bCs/>
                <w:sz w:val="20"/>
                <w:szCs w:val="20"/>
                <w:highlight w:val="yellow"/>
              </w:rPr>
            </w:pPr>
            <w:r w:rsidRPr="00241989">
              <w:rPr>
                <w:rFonts w:cs="Arial"/>
                <w:bCs/>
                <w:sz w:val="20"/>
                <w:szCs w:val="20"/>
              </w:rPr>
              <w:t>6</w:t>
            </w:r>
          </w:p>
        </w:tc>
        <w:tc>
          <w:tcPr>
            <w:tcW w:w="2551" w:type="dxa"/>
            <w:tcBorders>
              <w:top w:val="single" w:sz="4" w:space="0" w:color="auto"/>
              <w:left w:val="nil"/>
              <w:bottom w:val="single" w:sz="4" w:space="0" w:color="auto"/>
              <w:right w:val="single" w:sz="12" w:space="0" w:color="auto"/>
            </w:tcBorders>
            <w:shd w:val="clear" w:color="auto" w:fill="auto"/>
            <w:vAlign w:val="center"/>
          </w:tcPr>
          <w:p w14:paraId="045D4644" w14:textId="77777777" w:rsidR="00C4104D" w:rsidRPr="00241989" w:rsidRDefault="00C4104D" w:rsidP="005F2E4B">
            <w:pPr>
              <w:spacing w:line="252" w:lineRule="auto"/>
              <w:jc w:val="center"/>
              <w:rPr>
                <w:rFonts w:cs="Arial"/>
                <w:bCs/>
                <w:sz w:val="20"/>
                <w:szCs w:val="20"/>
                <w:highlight w:val="yellow"/>
              </w:rPr>
            </w:pPr>
            <w:r w:rsidRPr="00241989">
              <w:rPr>
                <w:rFonts w:cs="Arial"/>
                <w:bCs/>
                <w:sz w:val="20"/>
                <w:szCs w:val="20"/>
              </w:rPr>
              <w:t>3</w:t>
            </w:r>
          </w:p>
        </w:tc>
      </w:tr>
      <w:tr w:rsidR="00C4104D" w:rsidRPr="00094DA0" w14:paraId="38A98209" w14:textId="77777777" w:rsidTr="005F2E4B">
        <w:trPr>
          <w:trHeight w:val="315"/>
        </w:trPr>
        <w:tc>
          <w:tcPr>
            <w:tcW w:w="960" w:type="dxa"/>
            <w:vMerge/>
            <w:tcBorders>
              <w:top w:val="single" w:sz="4" w:space="0" w:color="auto"/>
              <w:left w:val="single" w:sz="12" w:space="0" w:color="auto"/>
              <w:bottom w:val="single" w:sz="12" w:space="0" w:color="auto"/>
              <w:right w:val="single" w:sz="4" w:space="0" w:color="auto"/>
            </w:tcBorders>
            <w:vAlign w:val="center"/>
            <w:hideMark/>
          </w:tcPr>
          <w:p w14:paraId="5BE1837C" w14:textId="77777777" w:rsidR="00C4104D" w:rsidRPr="002C75A9" w:rsidRDefault="00C4104D" w:rsidP="005F2E4B">
            <w:pPr>
              <w:rPr>
                <w:rFonts w:cs="Arial"/>
                <w:color w:val="000000"/>
                <w:sz w:val="20"/>
                <w:szCs w:val="20"/>
              </w:rPr>
            </w:pPr>
          </w:p>
        </w:tc>
        <w:tc>
          <w:tcPr>
            <w:tcW w:w="960" w:type="dxa"/>
            <w:tcBorders>
              <w:top w:val="single" w:sz="4" w:space="0" w:color="auto"/>
              <w:left w:val="nil"/>
              <w:bottom w:val="single" w:sz="12" w:space="0" w:color="auto"/>
              <w:right w:val="single" w:sz="4" w:space="0" w:color="auto"/>
            </w:tcBorders>
            <w:shd w:val="clear" w:color="auto" w:fill="auto"/>
            <w:vAlign w:val="center"/>
            <w:hideMark/>
          </w:tcPr>
          <w:p w14:paraId="757E1B9D" w14:textId="77777777" w:rsidR="00C4104D" w:rsidRPr="002C75A9" w:rsidRDefault="00C4104D" w:rsidP="005F2E4B">
            <w:pPr>
              <w:jc w:val="center"/>
              <w:rPr>
                <w:rFonts w:cs="Arial"/>
                <w:color w:val="000000"/>
                <w:sz w:val="20"/>
                <w:szCs w:val="20"/>
              </w:rPr>
            </w:pPr>
            <w:r w:rsidRPr="002C75A9">
              <w:rPr>
                <w:rFonts w:cs="Arial"/>
                <w:color w:val="000000"/>
                <w:sz w:val="20"/>
                <w:szCs w:val="20"/>
              </w:rPr>
              <w:t>2023</w:t>
            </w:r>
          </w:p>
        </w:tc>
        <w:tc>
          <w:tcPr>
            <w:tcW w:w="2020" w:type="dxa"/>
            <w:tcBorders>
              <w:top w:val="single" w:sz="4" w:space="0" w:color="auto"/>
              <w:left w:val="nil"/>
              <w:bottom w:val="single" w:sz="12" w:space="0" w:color="auto"/>
              <w:right w:val="single" w:sz="4" w:space="0" w:color="auto"/>
            </w:tcBorders>
            <w:shd w:val="clear" w:color="auto" w:fill="auto"/>
            <w:vAlign w:val="center"/>
          </w:tcPr>
          <w:p w14:paraId="01F641A3" w14:textId="77777777" w:rsidR="00C4104D" w:rsidRPr="00241989" w:rsidRDefault="00C4104D" w:rsidP="005F2E4B">
            <w:pPr>
              <w:spacing w:line="252" w:lineRule="auto"/>
              <w:jc w:val="center"/>
              <w:rPr>
                <w:rFonts w:cs="Arial"/>
                <w:bCs/>
                <w:sz w:val="20"/>
                <w:szCs w:val="20"/>
                <w:highlight w:val="yellow"/>
              </w:rPr>
            </w:pPr>
            <w:r w:rsidRPr="00241989">
              <w:rPr>
                <w:rFonts w:cs="Arial"/>
                <w:bCs/>
                <w:sz w:val="20"/>
                <w:szCs w:val="20"/>
              </w:rPr>
              <w:t>9</w:t>
            </w:r>
          </w:p>
        </w:tc>
        <w:tc>
          <w:tcPr>
            <w:tcW w:w="2738" w:type="dxa"/>
            <w:tcBorders>
              <w:top w:val="single" w:sz="4" w:space="0" w:color="auto"/>
              <w:left w:val="nil"/>
              <w:bottom w:val="single" w:sz="12" w:space="0" w:color="auto"/>
              <w:right w:val="single" w:sz="4" w:space="0" w:color="auto"/>
            </w:tcBorders>
            <w:shd w:val="clear" w:color="auto" w:fill="auto"/>
            <w:vAlign w:val="center"/>
          </w:tcPr>
          <w:p w14:paraId="5F40B765" w14:textId="77777777" w:rsidR="00C4104D" w:rsidRPr="00241989" w:rsidRDefault="00C4104D" w:rsidP="005F2E4B">
            <w:pPr>
              <w:spacing w:line="252" w:lineRule="auto"/>
              <w:jc w:val="center"/>
              <w:rPr>
                <w:rFonts w:cs="Arial"/>
                <w:bCs/>
                <w:sz w:val="20"/>
                <w:szCs w:val="20"/>
                <w:highlight w:val="yellow"/>
              </w:rPr>
            </w:pPr>
            <w:r w:rsidRPr="00241989">
              <w:rPr>
                <w:rFonts w:cs="Arial"/>
                <w:bCs/>
                <w:sz w:val="20"/>
                <w:szCs w:val="20"/>
              </w:rPr>
              <w:t>7</w:t>
            </w:r>
          </w:p>
        </w:tc>
        <w:tc>
          <w:tcPr>
            <w:tcW w:w="2551" w:type="dxa"/>
            <w:tcBorders>
              <w:top w:val="single" w:sz="4" w:space="0" w:color="auto"/>
              <w:left w:val="nil"/>
              <w:bottom w:val="single" w:sz="12" w:space="0" w:color="auto"/>
              <w:right w:val="single" w:sz="12" w:space="0" w:color="auto"/>
            </w:tcBorders>
            <w:shd w:val="clear" w:color="auto" w:fill="auto"/>
            <w:vAlign w:val="center"/>
          </w:tcPr>
          <w:p w14:paraId="50C88BD6" w14:textId="77777777" w:rsidR="00C4104D" w:rsidRPr="00241989" w:rsidRDefault="00C4104D" w:rsidP="005F2E4B">
            <w:pPr>
              <w:spacing w:line="252" w:lineRule="auto"/>
              <w:jc w:val="center"/>
              <w:rPr>
                <w:rFonts w:cs="Arial"/>
                <w:bCs/>
                <w:sz w:val="20"/>
                <w:szCs w:val="20"/>
                <w:highlight w:val="yellow"/>
              </w:rPr>
            </w:pPr>
            <w:r w:rsidRPr="00241989">
              <w:rPr>
                <w:rFonts w:cs="Arial"/>
                <w:bCs/>
                <w:sz w:val="20"/>
                <w:szCs w:val="20"/>
              </w:rPr>
              <w:t>2</w:t>
            </w:r>
          </w:p>
        </w:tc>
      </w:tr>
      <w:tr w:rsidR="00C4104D" w:rsidRPr="00094DA0" w14:paraId="72BF7123" w14:textId="77777777" w:rsidTr="005F2E4B">
        <w:trPr>
          <w:trHeight w:val="300"/>
        </w:trPr>
        <w:tc>
          <w:tcPr>
            <w:tcW w:w="960" w:type="dxa"/>
            <w:vMerge w:val="restart"/>
            <w:tcBorders>
              <w:top w:val="single" w:sz="12" w:space="0" w:color="auto"/>
              <w:left w:val="single" w:sz="12" w:space="0" w:color="auto"/>
              <w:bottom w:val="double" w:sz="6" w:space="0" w:color="000000"/>
              <w:right w:val="single" w:sz="4" w:space="0" w:color="auto"/>
            </w:tcBorders>
            <w:shd w:val="clear" w:color="auto" w:fill="auto"/>
            <w:vAlign w:val="center"/>
            <w:hideMark/>
          </w:tcPr>
          <w:p w14:paraId="59EE5F52" w14:textId="77777777" w:rsidR="00C4104D" w:rsidRPr="00DC2DCC" w:rsidRDefault="00C4104D" w:rsidP="005F2E4B">
            <w:pPr>
              <w:rPr>
                <w:rFonts w:cs="Arial"/>
                <w:b/>
                <w:bCs/>
                <w:color w:val="000000"/>
                <w:sz w:val="20"/>
                <w:szCs w:val="20"/>
              </w:rPr>
            </w:pPr>
            <w:r w:rsidRPr="00DC2DCC">
              <w:rPr>
                <w:rFonts w:cs="Arial"/>
                <w:b/>
                <w:bCs/>
                <w:color w:val="000000"/>
                <w:sz w:val="20"/>
                <w:szCs w:val="20"/>
              </w:rPr>
              <w:t>MK</w:t>
            </w:r>
          </w:p>
        </w:tc>
        <w:tc>
          <w:tcPr>
            <w:tcW w:w="960" w:type="dxa"/>
            <w:tcBorders>
              <w:top w:val="single" w:sz="12" w:space="0" w:color="auto"/>
              <w:left w:val="nil"/>
              <w:bottom w:val="single" w:sz="4" w:space="0" w:color="auto"/>
              <w:right w:val="single" w:sz="4" w:space="0" w:color="auto"/>
            </w:tcBorders>
            <w:shd w:val="clear" w:color="auto" w:fill="auto"/>
            <w:vAlign w:val="center"/>
            <w:hideMark/>
          </w:tcPr>
          <w:p w14:paraId="28CBB4A4" w14:textId="77777777" w:rsidR="00C4104D" w:rsidRPr="00DC2DCC" w:rsidRDefault="00C4104D" w:rsidP="005F2E4B">
            <w:pPr>
              <w:jc w:val="center"/>
              <w:rPr>
                <w:rFonts w:eastAsia="Calibri" w:cs="Arial"/>
                <w:bCs/>
                <w:sz w:val="20"/>
                <w:szCs w:val="20"/>
              </w:rPr>
            </w:pPr>
            <w:r w:rsidRPr="00DC2DCC">
              <w:rPr>
                <w:rFonts w:eastAsia="Calibri" w:cs="Arial"/>
                <w:bCs/>
                <w:sz w:val="20"/>
                <w:szCs w:val="20"/>
              </w:rPr>
              <w:t>2022</w:t>
            </w:r>
          </w:p>
        </w:tc>
        <w:tc>
          <w:tcPr>
            <w:tcW w:w="2020" w:type="dxa"/>
            <w:tcBorders>
              <w:top w:val="single" w:sz="12" w:space="0" w:color="auto"/>
              <w:left w:val="nil"/>
              <w:bottom w:val="single" w:sz="4" w:space="0" w:color="auto"/>
              <w:right w:val="single" w:sz="4" w:space="0" w:color="auto"/>
            </w:tcBorders>
            <w:shd w:val="clear" w:color="auto" w:fill="auto"/>
            <w:vAlign w:val="center"/>
          </w:tcPr>
          <w:p w14:paraId="29DDC7FA" w14:textId="77777777" w:rsidR="00C4104D" w:rsidRPr="00FA4A73" w:rsidRDefault="00C4104D" w:rsidP="005F2E4B">
            <w:pPr>
              <w:spacing w:line="256" w:lineRule="auto"/>
              <w:jc w:val="center"/>
              <w:rPr>
                <w:rFonts w:eastAsia="Calibri" w:cs="Arial"/>
                <w:bCs/>
                <w:sz w:val="20"/>
                <w:szCs w:val="20"/>
                <w:highlight w:val="yellow"/>
              </w:rPr>
            </w:pPr>
            <w:r w:rsidRPr="00FA4A73">
              <w:rPr>
                <w:rFonts w:eastAsia="Calibri"/>
                <w:bCs/>
                <w:sz w:val="20"/>
                <w:szCs w:val="20"/>
              </w:rPr>
              <w:t>3,75</w:t>
            </w:r>
          </w:p>
        </w:tc>
        <w:tc>
          <w:tcPr>
            <w:tcW w:w="2738" w:type="dxa"/>
            <w:tcBorders>
              <w:top w:val="single" w:sz="12" w:space="0" w:color="auto"/>
              <w:left w:val="nil"/>
              <w:bottom w:val="single" w:sz="4" w:space="0" w:color="auto"/>
              <w:right w:val="single" w:sz="4" w:space="0" w:color="auto"/>
            </w:tcBorders>
            <w:shd w:val="clear" w:color="auto" w:fill="auto"/>
            <w:vAlign w:val="center"/>
          </w:tcPr>
          <w:p w14:paraId="3C4D97D7" w14:textId="77777777" w:rsidR="00C4104D" w:rsidRPr="00FA4A73" w:rsidRDefault="00C4104D" w:rsidP="005F2E4B">
            <w:pPr>
              <w:spacing w:line="256" w:lineRule="auto"/>
              <w:jc w:val="center"/>
              <w:rPr>
                <w:rFonts w:eastAsia="Calibri" w:cs="Arial"/>
                <w:bCs/>
                <w:sz w:val="20"/>
                <w:szCs w:val="20"/>
                <w:highlight w:val="yellow"/>
              </w:rPr>
            </w:pPr>
            <w:r w:rsidRPr="00FA4A73">
              <w:rPr>
                <w:rFonts w:eastAsia="Calibri"/>
                <w:bCs/>
                <w:sz w:val="20"/>
                <w:szCs w:val="20"/>
              </w:rPr>
              <w:t>0,40</w:t>
            </w:r>
          </w:p>
        </w:tc>
        <w:tc>
          <w:tcPr>
            <w:tcW w:w="2551" w:type="dxa"/>
            <w:tcBorders>
              <w:top w:val="single" w:sz="12" w:space="0" w:color="auto"/>
              <w:left w:val="nil"/>
              <w:bottom w:val="single" w:sz="4" w:space="0" w:color="auto"/>
              <w:right w:val="single" w:sz="12" w:space="0" w:color="auto"/>
            </w:tcBorders>
            <w:shd w:val="clear" w:color="auto" w:fill="auto"/>
            <w:vAlign w:val="center"/>
          </w:tcPr>
          <w:p w14:paraId="07C6DAAA" w14:textId="77777777" w:rsidR="00C4104D" w:rsidRPr="00FA4A73" w:rsidRDefault="00C4104D" w:rsidP="005F2E4B">
            <w:pPr>
              <w:spacing w:line="256" w:lineRule="auto"/>
              <w:jc w:val="center"/>
              <w:rPr>
                <w:rFonts w:eastAsia="Calibri" w:cs="Arial"/>
                <w:bCs/>
                <w:sz w:val="20"/>
                <w:szCs w:val="20"/>
                <w:highlight w:val="yellow"/>
              </w:rPr>
            </w:pPr>
            <w:r w:rsidRPr="00FA4A73">
              <w:rPr>
                <w:rFonts w:eastAsia="Calibri"/>
                <w:bCs/>
                <w:sz w:val="20"/>
                <w:szCs w:val="20"/>
              </w:rPr>
              <w:t>3,35</w:t>
            </w:r>
          </w:p>
        </w:tc>
      </w:tr>
      <w:tr w:rsidR="00C4104D" w:rsidRPr="00094DA0" w14:paraId="17133143" w14:textId="77777777" w:rsidTr="005F2E4B">
        <w:trPr>
          <w:trHeight w:val="315"/>
        </w:trPr>
        <w:tc>
          <w:tcPr>
            <w:tcW w:w="960" w:type="dxa"/>
            <w:vMerge/>
            <w:tcBorders>
              <w:top w:val="single" w:sz="8" w:space="0" w:color="auto"/>
              <w:left w:val="single" w:sz="12" w:space="0" w:color="auto"/>
              <w:bottom w:val="double" w:sz="4" w:space="0" w:color="auto"/>
              <w:right w:val="single" w:sz="4" w:space="0" w:color="auto"/>
            </w:tcBorders>
            <w:shd w:val="clear" w:color="auto" w:fill="auto"/>
            <w:vAlign w:val="center"/>
            <w:hideMark/>
          </w:tcPr>
          <w:p w14:paraId="35645390" w14:textId="77777777" w:rsidR="00C4104D" w:rsidRPr="00DC2DCC" w:rsidRDefault="00C4104D" w:rsidP="005F2E4B">
            <w:pPr>
              <w:rPr>
                <w:rFonts w:cs="Arial"/>
                <w:b/>
                <w:bCs/>
                <w:color w:val="000000"/>
                <w:sz w:val="20"/>
                <w:szCs w:val="20"/>
              </w:rPr>
            </w:pPr>
          </w:p>
        </w:tc>
        <w:tc>
          <w:tcPr>
            <w:tcW w:w="960" w:type="dxa"/>
            <w:tcBorders>
              <w:top w:val="nil"/>
              <w:left w:val="nil"/>
              <w:bottom w:val="double" w:sz="4" w:space="0" w:color="auto"/>
              <w:right w:val="single" w:sz="4" w:space="0" w:color="auto"/>
            </w:tcBorders>
            <w:shd w:val="clear" w:color="auto" w:fill="auto"/>
            <w:vAlign w:val="center"/>
            <w:hideMark/>
          </w:tcPr>
          <w:p w14:paraId="64E67AED" w14:textId="77777777" w:rsidR="00C4104D" w:rsidRPr="00DC2DCC" w:rsidRDefault="00C4104D" w:rsidP="005F2E4B">
            <w:pPr>
              <w:jc w:val="center"/>
              <w:rPr>
                <w:rFonts w:eastAsia="Calibri" w:cs="Arial"/>
                <w:bCs/>
                <w:sz w:val="20"/>
                <w:szCs w:val="20"/>
              </w:rPr>
            </w:pPr>
            <w:r w:rsidRPr="00DC2DCC">
              <w:rPr>
                <w:rFonts w:eastAsia="Calibri" w:cs="Arial"/>
                <w:bCs/>
                <w:sz w:val="20"/>
                <w:szCs w:val="20"/>
              </w:rPr>
              <w:t>2023</w:t>
            </w:r>
          </w:p>
        </w:tc>
        <w:tc>
          <w:tcPr>
            <w:tcW w:w="2020" w:type="dxa"/>
            <w:tcBorders>
              <w:top w:val="nil"/>
              <w:left w:val="nil"/>
              <w:bottom w:val="double" w:sz="4" w:space="0" w:color="auto"/>
              <w:right w:val="single" w:sz="4" w:space="0" w:color="auto"/>
            </w:tcBorders>
            <w:shd w:val="clear" w:color="auto" w:fill="auto"/>
            <w:vAlign w:val="center"/>
          </w:tcPr>
          <w:p w14:paraId="7906B81A" w14:textId="77777777" w:rsidR="00C4104D" w:rsidRPr="00DC2DCC" w:rsidRDefault="00C4104D" w:rsidP="005F2E4B">
            <w:pPr>
              <w:spacing w:line="256" w:lineRule="auto"/>
              <w:jc w:val="center"/>
              <w:rPr>
                <w:rFonts w:eastAsia="Calibri" w:cs="Arial"/>
                <w:bCs/>
                <w:sz w:val="20"/>
                <w:szCs w:val="20"/>
              </w:rPr>
            </w:pPr>
            <w:r w:rsidRPr="00DC2DCC">
              <w:rPr>
                <w:rFonts w:eastAsia="Calibri"/>
                <w:bCs/>
                <w:sz w:val="20"/>
                <w:szCs w:val="20"/>
              </w:rPr>
              <w:t>3,68</w:t>
            </w:r>
          </w:p>
        </w:tc>
        <w:tc>
          <w:tcPr>
            <w:tcW w:w="2738" w:type="dxa"/>
            <w:tcBorders>
              <w:top w:val="nil"/>
              <w:left w:val="nil"/>
              <w:bottom w:val="double" w:sz="4" w:space="0" w:color="auto"/>
              <w:right w:val="single" w:sz="4" w:space="0" w:color="auto"/>
            </w:tcBorders>
            <w:shd w:val="clear" w:color="auto" w:fill="auto"/>
            <w:vAlign w:val="center"/>
          </w:tcPr>
          <w:p w14:paraId="11D1ADC4" w14:textId="77777777" w:rsidR="00C4104D" w:rsidRPr="00DC2DCC" w:rsidRDefault="00C4104D" w:rsidP="005F2E4B">
            <w:pPr>
              <w:spacing w:line="256" w:lineRule="auto"/>
              <w:jc w:val="center"/>
              <w:rPr>
                <w:rFonts w:eastAsia="Calibri" w:cs="Arial"/>
                <w:bCs/>
                <w:sz w:val="20"/>
                <w:szCs w:val="20"/>
              </w:rPr>
            </w:pPr>
            <w:r w:rsidRPr="00DC2DCC">
              <w:rPr>
                <w:rFonts w:eastAsia="Calibri" w:cs="Arial"/>
                <w:bCs/>
                <w:sz w:val="20"/>
                <w:szCs w:val="20"/>
              </w:rPr>
              <w:t>0,00</w:t>
            </w:r>
          </w:p>
        </w:tc>
        <w:tc>
          <w:tcPr>
            <w:tcW w:w="2551" w:type="dxa"/>
            <w:tcBorders>
              <w:top w:val="nil"/>
              <w:left w:val="nil"/>
              <w:bottom w:val="double" w:sz="4" w:space="0" w:color="auto"/>
              <w:right w:val="single" w:sz="12" w:space="0" w:color="auto"/>
            </w:tcBorders>
            <w:shd w:val="clear" w:color="auto" w:fill="auto"/>
            <w:vAlign w:val="center"/>
          </w:tcPr>
          <w:p w14:paraId="3403F678" w14:textId="77777777" w:rsidR="00C4104D" w:rsidRPr="00DC2DCC" w:rsidRDefault="00C4104D" w:rsidP="005F2E4B">
            <w:pPr>
              <w:spacing w:line="256" w:lineRule="auto"/>
              <w:jc w:val="center"/>
              <w:rPr>
                <w:rFonts w:eastAsia="Calibri" w:cs="Arial"/>
                <w:bCs/>
                <w:sz w:val="20"/>
                <w:szCs w:val="20"/>
              </w:rPr>
            </w:pPr>
            <w:r w:rsidRPr="00DC2DCC">
              <w:rPr>
                <w:rFonts w:eastAsia="Calibri"/>
                <w:bCs/>
                <w:sz w:val="20"/>
                <w:szCs w:val="20"/>
              </w:rPr>
              <w:t>3,68</w:t>
            </w:r>
          </w:p>
        </w:tc>
      </w:tr>
      <w:tr w:rsidR="00C4104D" w:rsidRPr="00094DA0" w14:paraId="41CE909C" w14:textId="77777777" w:rsidTr="005F2E4B">
        <w:trPr>
          <w:trHeight w:val="315"/>
        </w:trPr>
        <w:tc>
          <w:tcPr>
            <w:tcW w:w="960" w:type="dxa"/>
            <w:vMerge w:val="restart"/>
            <w:tcBorders>
              <w:top w:val="single" w:sz="8" w:space="0" w:color="auto"/>
              <w:left w:val="single" w:sz="12" w:space="0" w:color="auto"/>
              <w:right w:val="single" w:sz="4" w:space="0" w:color="auto"/>
            </w:tcBorders>
            <w:shd w:val="clear" w:color="auto" w:fill="auto"/>
            <w:vAlign w:val="center"/>
          </w:tcPr>
          <w:p w14:paraId="56559EBF" w14:textId="77777777" w:rsidR="00C4104D" w:rsidRPr="006C4AC3" w:rsidRDefault="00C4104D" w:rsidP="005F2E4B">
            <w:pPr>
              <w:rPr>
                <w:rFonts w:cs="Arial"/>
                <w:bCs/>
                <w:color w:val="000000"/>
                <w:sz w:val="20"/>
                <w:szCs w:val="20"/>
              </w:rPr>
            </w:pPr>
            <w:r w:rsidRPr="006C4AC3">
              <w:rPr>
                <w:rFonts w:cs="Arial"/>
                <w:bCs/>
                <w:color w:val="000000"/>
                <w:sz w:val="20"/>
                <w:szCs w:val="20"/>
              </w:rPr>
              <w:t>ND</w:t>
            </w:r>
          </w:p>
        </w:tc>
        <w:tc>
          <w:tcPr>
            <w:tcW w:w="960" w:type="dxa"/>
            <w:tcBorders>
              <w:top w:val="nil"/>
              <w:left w:val="nil"/>
              <w:bottom w:val="single" w:sz="4" w:space="0" w:color="auto"/>
              <w:right w:val="single" w:sz="4" w:space="0" w:color="auto"/>
            </w:tcBorders>
            <w:shd w:val="clear" w:color="auto" w:fill="auto"/>
            <w:vAlign w:val="center"/>
          </w:tcPr>
          <w:p w14:paraId="2DB7E333" w14:textId="77777777" w:rsidR="00C4104D" w:rsidRPr="006C4AC3" w:rsidRDefault="00C4104D" w:rsidP="005F2E4B">
            <w:pPr>
              <w:jc w:val="center"/>
              <w:rPr>
                <w:rFonts w:eastAsia="Calibri" w:cs="Arial"/>
                <w:bCs/>
                <w:sz w:val="20"/>
                <w:szCs w:val="20"/>
              </w:rPr>
            </w:pPr>
            <w:r w:rsidRPr="006C4AC3">
              <w:rPr>
                <w:rFonts w:eastAsia="Calibri" w:cs="Arial"/>
                <w:bCs/>
                <w:sz w:val="20"/>
                <w:szCs w:val="20"/>
              </w:rPr>
              <w:t>2022</w:t>
            </w:r>
          </w:p>
        </w:tc>
        <w:tc>
          <w:tcPr>
            <w:tcW w:w="2020" w:type="dxa"/>
            <w:tcBorders>
              <w:top w:val="nil"/>
              <w:left w:val="nil"/>
              <w:bottom w:val="single" w:sz="4" w:space="0" w:color="auto"/>
              <w:right w:val="single" w:sz="4" w:space="0" w:color="auto"/>
            </w:tcBorders>
            <w:shd w:val="clear" w:color="auto" w:fill="auto"/>
            <w:vAlign w:val="center"/>
          </w:tcPr>
          <w:p w14:paraId="0293DEE4" w14:textId="77777777" w:rsidR="00C4104D" w:rsidRPr="006C4AC3" w:rsidRDefault="00C4104D" w:rsidP="005F2E4B">
            <w:pPr>
              <w:spacing w:line="256" w:lineRule="auto"/>
              <w:jc w:val="center"/>
              <w:rPr>
                <w:rFonts w:eastAsia="Calibri" w:cs="Arial"/>
                <w:bCs/>
                <w:sz w:val="20"/>
                <w:szCs w:val="20"/>
              </w:rPr>
            </w:pPr>
            <w:r w:rsidRPr="006C4AC3">
              <w:rPr>
                <w:rFonts w:cs="Arial"/>
                <w:sz w:val="20"/>
                <w:szCs w:val="20"/>
              </w:rPr>
              <w:t>17</w:t>
            </w:r>
          </w:p>
        </w:tc>
        <w:tc>
          <w:tcPr>
            <w:tcW w:w="2738" w:type="dxa"/>
            <w:tcBorders>
              <w:top w:val="nil"/>
              <w:left w:val="nil"/>
              <w:bottom w:val="single" w:sz="4" w:space="0" w:color="auto"/>
              <w:right w:val="single" w:sz="4" w:space="0" w:color="auto"/>
            </w:tcBorders>
            <w:shd w:val="clear" w:color="auto" w:fill="auto"/>
            <w:vAlign w:val="center"/>
          </w:tcPr>
          <w:p w14:paraId="7DDA8F9D" w14:textId="77777777" w:rsidR="00C4104D" w:rsidRPr="006C4AC3" w:rsidRDefault="00C4104D" w:rsidP="005F2E4B">
            <w:pPr>
              <w:spacing w:line="256" w:lineRule="auto"/>
              <w:jc w:val="center"/>
              <w:rPr>
                <w:rFonts w:eastAsia="Calibri" w:cs="Arial"/>
                <w:bCs/>
                <w:sz w:val="20"/>
                <w:szCs w:val="20"/>
              </w:rPr>
            </w:pPr>
            <w:r w:rsidRPr="006C4AC3">
              <w:rPr>
                <w:rFonts w:cs="Arial"/>
                <w:sz w:val="20"/>
                <w:szCs w:val="20"/>
              </w:rPr>
              <w:t>9</w:t>
            </w:r>
          </w:p>
        </w:tc>
        <w:tc>
          <w:tcPr>
            <w:tcW w:w="2551" w:type="dxa"/>
            <w:tcBorders>
              <w:top w:val="nil"/>
              <w:left w:val="nil"/>
              <w:bottom w:val="single" w:sz="4" w:space="0" w:color="auto"/>
              <w:right w:val="single" w:sz="12" w:space="0" w:color="auto"/>
            </w:tcBorders>
            <w:shd w:val="clear" w:color="auto" w:fill="auto"/>
            <w:vAlign w:val="center"/>
          </w:tcPr>
          <w:p w14:paraId="44C4827B" w14:textId="77777777" w:rsidR="00C4104D" w:rsidRPr="006C4AC3" w:rsidRDefault="00C4104D" w:rsidP="005F2E4B">
            <w:pPr>
              <w:spacing w:line="256" w:lineRule="auto"/>
              <w:jc w:val="center"/>
              <w:rPr>
                <w:rFonts w:eastAsia="Calibri" w:cs="Arial"/>
                <w:bCs/>
                <w:sz w:val="20"/>
                <w:szCs w:val="20"/>
              </w:rPr>
            </w:pPr>
            <w:r w:rsidRPr="006C4AC3">
              <w:rPr>
                <w:rFonts w:cs="Arial"/>
                <w:sz w:val="20"/>
                <w:szCs w:val="20"/>
              </w:rPr>
              <w:t>8</w:t>
            </w:r>
          </w:p>
        </w:tc>
      </w:tr>
      <w:tr w:rsidR="00C4104D" w:rsidRPr="00094DA0" w14:paraId="5DE5C485" w14:textId="77777777" w:rsidTr="005F2E4B">
        <w:trPr>
          <w:trHeight w:val="315"/>
        </w:trPr>
        <w:tc>
          <w:tcPr>
            <w:tcW w:w="960" w:type="dxa"/>
            <w:vMerge/>
            <w:tcBorders>
              <w:left w:val="single" w:sz="12" w:space="0" w:color="auto"/>
              <w:bottom w:val="double" w:sz="4" w:space="0" w:color="auto"/>
              <w:right w:val="single" w:sz="4" w:space="0" w:color="auto"/>
            </w:tcBorders>
            <w:shd w:val="clear" w:color="auto" w:fill="auto"/>
            <w:vAlign w:val="center"/>
          </w:tcPr>
          <w:p w14:paraId="2C8E880A" w14:textId="77777777" w:rsidR="00C4104D" w:rsidRPr="006C4AC3" w:rsidRDefault="00C4104D" w:rsidP="005F2E4B">
            <w:pPr>
              <w:rPr>
                <w:rFonts w:cs="Arial"/>
                <w:b/>
                <w:bCs/>
                <w:color w:val="000000"/>
                <w:sz w:val="20"/>
                <w:szCs w:val="20"/>
              </w:rPr>
            </w:pPr>
          </w:p>
        </w:tc>
        <w:tc>
          <w:tcPr>
            <w:tcW w:w="960" w:type="dxa"/>
            <w:tcBorders>
              <w:top w:val="single" w:sz="4" w:space="0" w:color="auto"/>
              <w:left w:val="nil"/>
              <w:bottom w:val="double" w:sz="4" w:space="0" w:color="auto"/>
              <w:right w:val="single" w:sz="4" w:space="0" w:color="auto"/>
            </w:tcBorders>
            <w:shd w:val="clear" w:color="auto" w:fill="auto"/>
            <w:vAlign w:val="center"/>
          </w:tcPr>
          <w:p w14:paraId="7305B987" w14:textId="77777777" w:rsidR="00C4104D" w:rsidRPr="006C4AC3" w:rsidRDefault="00C4104D" w:rsidP="005F2E4B">
            <w:pPr>
              <w:jc w:val="center"/>
              <w:rPr>
                <w:rFonts w:eastAsia="Calibri" w:cs="Arial"/>
                <w:bCs/>
                <w:sz w:val="20"/>
                <w:szCs w:val="20"/>
              </w:rPr>
            </w:pPr>
            <w:r w:rsidRPr="006C4AC3">
              <w:rPr>
                <w:rFonts w:eastAsia="Calibri" w:cs="Arial"/>
                <w:bCs/>
                <w:sz w:val="20"/>
                <w:szCs w:val="20"/>
              </w:rPr>
              <w:t>2023</w:t>
            </w:r>
          </w:p>
        </w:tc>
        <w:tc>
          <w:tcPr>
            <w:tcW w:w="2020" w:type="dxa"/>
            <w:tcBorders>
              <w:top w:val="single" w:sz="4" w:space="0" w:color="auto"/>
              <w:left w:val="nil"/>
              <w:bottom w:val="double" w:sz="4" w:space="0" w:color="auto"/>
              <w:right w:val="single" w:sz="4" w:space="0" w:color="auto"/>
            </w:tcBorders>
            <w:shd w:val="clear" w:color="auto" w:fill="auto"/>
            <w:vAlign w:val="center"/>
          </w:tcPr>
          <w:p w14:paraId="3DAB5E56" w14:textId="77777777" w:rsidR="00C4104D" w:rsidRPr="006C4AC3" w:rsidRDefault="00C4104D" w:rsidP="005F2E4B">
            <w:pPr>
              <w:spacing w:line="256" w:lineRule="auto"/>
              <w:jc w:val="center"/>
              <w:rPr>
                <w:rFonts w:eastAsia="Calibri" w:cs="Arial"/>
                <w:bCs/>
                <w:sz w:val="20"/>
                <w:szCs w:val="20"/>
              </w:rPr>
            </w:pPr>
            <w:r w:rsidRPr="006C4AC3">
              <w:rPr>
                <w:rFonts w:cs="Arial"/>
                <w:sz w:val="20"/>
                <w:szCs w:val="20"/>
              </w:rPr>
              <w:t>19</w:t>
            </w:r>
          </w:p>
        </w:tc>
        <w:tc>
          <w:tcPr>
            <w:tcW w:w="2738" w:type="dxa"/>
            <w:tcBorders>
              <w:top w:val="single" w:sz="4" w:space="0" w:color="auto"/>
              <w:left w:val="nil"/>
              <w:bottom w:val="double" w:sz="4" w:space="0" w:color="auto"/>
              <w:right w:val="single" w:sz="4" w:space="0" w:color="auto"/>
            </w:tcBorders>
            <w:shd w:val="clear" w:color="auto" w:fill="auto"/>
            <w:vAlign w:val="center"/>
          </w:tcPr>
          <w:p w14:paraId="724EF177" w14:textId="77777777" w:rsidR="00C4104D" w:rsidRPr="006C4AC3" w:rsidRDefault="00C4104D" w:rsidP="005F2E4B">
            <w:pPr>
              <w:spacing w:line="256" w:lineRule="auto"/>
              <w:jc w:val="center"/>
              <w:rPr>
                <w:rFonts w:eastAsia="Calibri" w:cs="Arial"/>
                <w:bCs/>
                <w:sz w:val="20"/>
                <w:szCs w:val="20"/>
              </w:rPr>
            </w:pPr>
            <w:r w:rsidRPr="006C4AC3">
              <w:rPr>
                <w:rFonts w:cs="Arial"/>
                <w:sz w:val="20"/>
                <w:szCs w:val="20"/>
              </w:rPr>
              <w:t>9</w:t>
            </w:r>
          </w:p>
        </w:tc>
        <w:tc>
          <w:tcPr>
            <w:tcW w:w="2551" w:type="dxa"/>
            <w:tcBorders>
              <w:top w:val="single" w:sz="4" w:space="0" w:color="auto"/>
              <w:left w:val="nil"/>
              <w:bottom w:val="double" w:sz="4" w:space="0" w:color="auto"/>
              <w:right w:val="single" w:sz="12" w:space="0" w:color="auto"/>
            </w:tcBorders>
            <w:shd w:val="clear" w:color="auto" w:fill="auto"/>
            <w:vAlign w:val="center"/>
          </w:tcPr>
          <w:p w14:paraId="59925578" w14:textId="77777777" w:rsidR="00C4104D" w:rsidRPr="006C4AC3" w:rsidRDefault="00C4104D" w:rsidP="005F2E4B">
            <w:pPr>
              <w:spacing w:line="256" w:lineRule="auto"/>
              <w:jc w:val="center"/>
              <w:rPr>
                <w:rFonts w:eastAsia="Calibri" w:cs="Arial"/>
                <w:bCs/>
                <w:sz w:val="20"/>
                <w:szCs w:val="20"/>
              </w:rPr>
            </w:pPr>
            <w:r w:rsidRPr="006C4AC3">
              <w:rPr>
                <w:rFonts w:cs="Arial"/>
                <w:sz w:val="20"/>
                <w:szCs w:val="20"/>
              </w:rPr>
              <w:t>10</w:t>
            </w:r>
          </w:p>
        </w:tc>
      </w:tr>
      <w:tr w:rsidR="00C4104D" w:rsidRPr="00094DA0" w14:paraId="1A642621" w14:textId="77777777" w:rsidTr="005F2E4B">
        <w:trPr>
          <w:trHeight w:val="315"/>
        </w:trPr>
        <w:tc>
          <w:tcPr>
            <w:tcW w:w="960" w:type="dxa"/>
            <w:vMerge w:val="restart"/>
            <w:tcBorders>
              <w:left w:val="single" w:sz="12" w:space="0" w:color="auto"/>
              <w:right w:val="single" w:sz="4" w:space="0" w:color="auto"/>
            </w:tcBorders>
            <w:shd w:val="clear" w:color="auto" w:fill="auto"/>
            <w:vAlign w:val="center"/>
          </w:tcPr>
          <w:p w14:paraId="52B0F9AF" w14:textId="77777777" w:rsidR="00C4104D" w:rsidRPr="006304FB" w:rsidRDefault="00C4104D" w:rsidP="005F2E4B">
            <w:pPr>
              <w:rPr>
                <w:rFonts w:cs="Arial"/>
                <w:bCs/>
                <w:color w:val="000000"/>
                <w:sz w:val="20"/>
                <w:szCs w:val="20"/>
              </w:rPr>
            </w:pPr>
            <w:r w:rsidRPr="006304FB">
              <w:rPr>
                <w:rFonts w:cs="Arial"/>
                <w:bCs/>
                <w:color w:val="000000"/>
                <w:sz w:val="20"/>
                <w:szCs w:val="20"/>
              </w:rPr>
              <w:t>ČF</w:t>
            </w:r>
          </w:p>
        </w:tc>
        <w:tc>
          <w:tcPr>
            <w:tcW w:w="960" w:type="dxa"/>
            <w:tcBorders>
              <w:top w:val="single" w:sz="4" w:space="0" w:color="auto"/>
              <w:left w:val="nil"/>
              <w:bottom w:val="single" w:sz="4" w:space="0" w:color="auto"/>
              <w:right w:val="single" w:sz="4" w:space="0" w:color="auto"/>
            </w:tcBorders>
            <w:shd w:val="clear" w:color="auto" w:fill="auto"/>
            <w:vAlign w:val="center"/>
          </w:tcPr>
          <w:p w14:paraId="6A678078" w14:textId="77777777" w:rsidR="00C4104D" w:rsidRPr="006304FB" w:rsidRDefault="00C4104D" w:rsidP="005F2E4B">
            <w:pPr>
              <w:jc w:val="center"/>
              <w:rPr>
                <w:rFonts w:eastAsia="Calibri" w:cs="Arial"/>
                <w:bCs/>
                <w:sz w:val="20"/>
                <w:szCs w:val="20"/>
              </w:rPr>
            </w:pPr>
            <w:r w:rsidRPr="006304FB">
              <w:rPr>
                <w:rFonts w:eastAsia="Calibri" w:cs="Arial"/>
                <w:bCs/>
                <w:sz w:val="20"/>
                <w:szCs w:val="20"/>
              </w:rPr>
              <w:t>2022</w:t>
            </w:r>
          </w:p>
        </w:tc>
        <w:tc>
          <w:tcPr>
            <w:tcW w:w="2020" w:type="dxa"/>
            <w:tcBorders>
              <w:top w:val="single" w:sz="4" w:space="0" w:color="auto"/>
              <w:left w:val="nil"/>
              <w:bottom w:val="single" w:sz="4" w:space="0" w:color="auto"/>
              <w:right w:val="single" w:sz="4" w:space="0" w:color="auto"/>
            </w:tcBorders>
            <w:shd w:val="clear" w:color="auto" w:fill="auto"/>
            <w:vAlign w:val="center"/>
          </w:tcPr>
          <w:p w14:paraId="1FB869E4" w14:textId="77777777" w:rsidR="00C4104D" w:rsidRPr="00EA7FF1" w:rsidRDefault="00C4104D" w:rsidP="005F2E4B">
            <w:pPr>
              <w:spacing w:line="256" w:lineRule="auto"/>
              <w:jc w:val="center"/>
              <w:rPr>
                <w:rFonts w:cs="Arial"/>
                <w:sz w:val="20"/>
                <w:szCs w:val="20"/>
              </w:rPr>
            </w:pPr>
            <w:r w:rsidRPr="00EA7FF1">
              <w:rPr>
                <w:rFonts w:cs="Arial"/>
                <w:sz w:val="20"/>
                <w:szCs w:val="20"/>
              </w:rPr>
              <w:t>1</w:t>
            </w:r>
          </w:p>
        </w:tc>
        <w:tc>
          <w:tcPr>
            <w:tcW w:w="2738" w:type="dxa"/>
            <w:tcBorders>
              <w:top w:val="single" w:sz="4" w:space="0" w:color="auto"/>
              <w:left w:val="nil"/>
              <w:bottom w:val="single" w:sz="4" w:space="0" w:color="auto"/>
              <w:right w:val="single" w:sz="4" w:space="0" w:color="auto"/>
            </w:tcBorders>
            <w:shd w:val="clear" w:color="auto" w:fill="auto"/>
            <w:vAlign w:val="center"/>
          </w:tcPr>
          <w:p w14:paraId="00C311B2" w14:textId="77777777" w:rsidR="00C4104D" w:rsidRPr="00EA7FF1" w:rsidRDefault="00C4104D" w:rsidP="005F2E4B">
            <w:pPr>
              <w:spacing w:line="256" w:lineRule="auto"/>
              <w:jc w:val="center"/>
              <w:rPr>
                <w:rFonts w:cs="Arial"/>
                <w:sz w:val="20"/>
                <w:szCs w:val="20"/>
              </w:rPr>
            </w:pPr>
            <w:r w:rsidRPr="00EA7FF1">
              <w:rPr>
                <w:rFonts w:cs="Arial"/>
                <w:sz w:val="20"/>
                <w:szCs w:val="20"/>
              </w:rPr>
              <w:t>1</w:t>
            </w:r>
          </w:p>
        </w:tc>
        <w:tc>
          <w:tcPr>
            <w:tcW w:w="2551" w:type="dxa"/>
            <w:tcBorders>
              <w:top w:val="single" w:sz="4" w:space="0" w:color="auto"/>
              <w:left w:val="nil"/>
              <w:bottom w:val="single" w:sz="4" w:space="0" w:color="auto"/>
              <w:right w:val="single" w:sz="12" w:space="0" w:color="auto"/>
            </w:tcBorders>
            <w:shd w:val="clear" w:color="auto" w:fill="auto"/>
            <w:vAlign w:val="center"/>
          </w:tcPr>
          <w:p w14:paraId="568A802D" w14:textId="77777777" w:rsidR="00C4104D" w:rsidRPr="00EA7FF1" w:rsidRDefault="00C4104D" w:rsidP="005F2E4B">
            <w:pPr>
              <w:spacing w:line="256" w:lineRule="auto"/>
              <w:jc w:val="center"/>
              <w:rPr>
                <w:rFonts w:cs="Arial"/>
                <w:sz w:val="20"/>
                <w:szCs w:val="20"/>
              </w:rPr>
            </w:pPr>
            <w:r w:rsidRPr="00EA7FF1">
              <w:rPr>
                <w:rFonts w:cs="Arial"/>
                <w:sz w:val="20"/>
                <w:szCs w:val="20"/>
              </w:rPr>
              <w:t>0</w:t>
            </w:r>
          </w:p>
        </w:tc>
      </w:tr>
      <w:tr w:rsidR="00C4104D" w:rsidRPr="00094DA0" w14:paraId="1661FE5A" w14:textId="77777777" w:rsidTr="005F2E4B">
        <w:trPr>
          <w:trHeight w:val="315"/>
        </w:trPr>
        <w:tc>
          <w:tcPr>
            <w:tcW w:w="960" w:type="dxa"/>
            <w:vMerge/>
            <w:tcBorders>
              <w:left w:val="single" w:sz="12" w:space="0" w:color="auto"/>
              <w:bottom w:val="double" w:sz="4" w:space="0" w:color="auto"/>
              <w:right w:val="single" w:sz="4" w:space="0" w:color="auto"/>
            </w:tcBorders>
            <w:shd w:val="clear" w:color="auto" w:fill="auto"/>
            <w:vAlign w:val="center"/>
          </w:tcPr>
          <w:p w14:paraId="0F176E86" w14:textId="77777777" w:rsidR="00C4104D" w:rsidRPr="006304FB" w:rsidRDefault="00C4104D" w:rsidP="005F2E4B">
            <w:pPr>
              <w:rPr>
                <w:rFonts w:cs="Arial"/>
                <w:b/>
                <w:bCs/>
                <w:color w:val="000000"/>
                <w:sz w:val="20"/>
                <w:szCs w:val="20"/>
              </w:rPr>
            </w:pPr>
          </w:p>
        </w:tc>
        <w:tc>
          <w:tcPr>
            <w:tcW w:w="960" w:type="dxa"/>
            <w:tcBorders>
              <w:top w:val="single" w:sz="4" w:space="0" w:color="auto"/>
              <w:left w:val="nil"/>
              <w:bottom w:val="double" w:sz="4" w:space="0" w:color="auto"/>
              <w:right w:val="single" w:sz="4" w:space="0" w:color="auto"/>
            </w:tcBorders>
            <w:shd w:val="clear" w:color="auto" w:fill="auto"/>
            <w:vAlign w:val="center"/>
          </w:tcPr>
          <w:p w14:paraId="10F7B671" w14:textId="77777777" w:rsidR="00C4104D" w:rsidRPr="006304FB" w:rsidRDefault="00C4104D" w:rsidP="005F2E4B">
            <w:pPr>
              <w:jc w:val="center"/>
              <w:rPr>
                <w:rFonts w:eastAsia="Calibri" w:cs="Arial"/>
                <w:bCs/>
                <w:sz w:val="20"/>
                <w:szCs w:val="20"/>
              </w:rPr>
            </w:pPr>
            <w:r w:rsidRPr="006304FB">
              <w:rPr>
                <w:rFonts w:eastAsia="Calibri" w:cs="Arial"/>
                <w:bCs/>
                <w:sz w:val="20"/>
                <w:szCs w:val="20"/>
              </w:rPr>
              <w:t>2023</w:t>
            </w:r>
          </w:p>
        </w:tc>
        <w:tc>
          <w:tcPr>
            <w:tcW w:w="2020" w:type="dxa"/>
            <w:tcBorders>
              <w:top w:val="single" w:sz="4" w:space="0" w:color="auto"/>
              <w:left w:val="nil"/>
              <w:bottom w:val="double" w:sz="4" w:space="0" w:color="auto"/>
              <w:right w:val="single" w:sz="4" w:space="0" w:color="auto"/>
            </w:tcBorders>
            <w:shd w:val="clear" w:color="auto" w:fill="auto"/>
            <w:vAlign w:val="center"/>
          </w:tcPr>
          <w:p w14:paraId="0A1EC387" w14:textId="77777777" w:rsidR="00C4104D" w:rsidRPr="00EA7FF1" w:rsidRDefault="00C4104D" w:rsidP="005F2E4B">
            <w:pPr>
              <w:spacing w:line="256" w:lineRule="auto"/>
              <w:jc w:val="center"/>
              <w:rPr>
                <w:rFonts w:cs="Arial"/>
                <w:sz w:val="20"/>
                <w:szCs w:val="20"/>
              </w:rPr>
            </w:pPr>
            <w:r w:rsidRPr="00EA7FF1">
              <w:rPr>
                <w:rFonts w:cs="Arial"/>
                <w:sz w:val="20"/>
                <w:szCs w:val="20"/>
              </w:rPr>
              <w:t>1</w:t>
            </w:r>
          </w:p>
        </w:tc>
        <w:tc>
          <w:tcPr>
            <w:tcW w:w="2738" w:type="dxa"/>
            <w:tcBorders>
              <w:top w:val="single" w:sz="4" w:space="0" w:color="auto"/>
              <w:left w:val="nil"/>
              <w:bottom w:val="double" w:sz="4" w:space="0" w:color="auto"/>
              <w:right w:val="single" w:sz="4" w:space="0" w:color="auto"/>
            </w:tcBorders>
            <w:shd w:val="clear" w:color="auto" w:fill="auto"/>
            <w:vAlign w:val="center"/>
          </w:tcPr>
          <w:p w14:paraId="593FC78A" w14:textId="77777777" w:rsidR="00C4104D" w:rsidRPr="00EA7FF1" w:rsidRDefault="00C4104D" w:rsidP="005F2E4B">
            <w:pPr>
              <w:spacing w:line="256" w:lineRule="auto"/>
              <w:jc w:val="center"/>
              <w:rPr>
                <w:rFonts w:cs="Arial"/>
                <w:sz w:val="20"/>
                <w:szCs w:val="20"/>
              </w:rPr>
            </w:pPr>
            <w:r w:rsidRPr="00EA7FF1">
              <w:rPr>
                <w:rFonts w:cs="Arial"/>
                <w:sz w:val="20"/>
                <w:szCs w:val="20"/>
              </w:rPr>
              <w:t>1</w:t>
            </w:r>
          </w:p>
        </w:tc>
        <w:tc>
          <w:tcPr>
            <w:tcW w:w="2551" w:type="dxa"/>
            <w:tcBorders>
              <w:top w:val="single" w:sz="4" w:space="0" w:color="auto"/>
              <w:left w:val="nil"/>
              <w:bottom w:val="double" w:sz="4" w:space="0" w:color="auto"/>
              <w:right w:val="single" w:sz="12" w:space="0" w:color="auto"/>
            </w:tcBorders>
            <w:shd w:val="clear" w:color="auto" w:fill="auto"/>
            <w:vAlign w:val="center"/>
          </w:tcPr>
          <w:p w14:paraId="7ED6ED7E" w14:textId="77777777" w:rsidR="00C4104D" w:rsidRPr="00EA7FF1" w:rsidRDefault="00C4104D" w:rsidP="005F2E4B">
            <w:pPr>
              <w:spacing w:line="256" w:lineRule="auto"/>
              <w:jc w:val="center"/>
              <w:rPr>
                <w:rFonts w:cs="Arial"/>
                <w:sz w:val="20"/>
                <w:szCs w:val="20"/>
              </w:rPr>
            </w:pPr>
            <w:r w:rsidRPr="00EA7FF1">
              <w:rPr>
                <w:rFonts w:cs="Arial"/>
                <w:sz w:val="20"/>
                <w:szCs w:val="20"/>
              </w:rPr>
              <w:t>0</w:t>
            </w:r>
          </w:p>
        </w:tc>
      </w:tr>
      <w:tr w:rsidR="00C4104D" w:rsidRPr="00094DA0" w14:paraId="35D7719C" w14:textId="77777777" w:rsidTr="005F2E4B">
        <w:trPr>
          <w:trHeight w:val="315"/>
        </w:trPr>
        <w:tc>
          <w:tcPr>
            <w:tcW w:w="960" w:type="dxa"/>
            <w:vMerge w:val="restart"/>
            <w:tcBorders>
              <w:left w:val="single" w:sz="12" w:space="0" w:color="auto"/>
              <w:right w:val="single" w:sz="4" w:space="0" w:color="auto"/>
            </w:tcBorders>
            <w:shd w:val="clear" w:color="auto" w:fill="auto"/>
            <w:vAlign w:val="center"/>
          </w:tcPr>
          <w:p w14:paraId="486774AC" w14:textId="77777777" w:rsidR="00C4104D" w:rsidRPr="0018429F" w:rsidRDefault="00C4104D" w:rsidP="005F2E4B">
            <w:pPr>
              <w:rPr>
                <w:rFonts w:cs="Arial"/>
                <w:b/>
                <w:bCs/>
                <w:color w:val="000000"/>
                <w:sz w:val="20"/>
                <w:szCs w:val="20"/>
              </w:rPr>
            </w:pPr>
            <w:r w:rsidRPr="0018429F">
              <w:rPr>
                <w:rFonts w:cs="Arial"/>
                <w:sz w:val="20"/>
                <w:szCs w:val="20"/>
              </w:rPr>
              <w:t>IU-DÚ</w:t>
            </w:r>
          </w:p>
        </w:tc>
        <w:tc>
          <w:tcPr>
            <w:tcW w:w="960" w:type="dxa"/>
            <w:tcBorders>
              <w:top w:val="single" w:sz="4" w:space="0" w:color="auto"/>
              <w:left w:val="nil"/>
              <w:bottom w:val="single" w:sz="4" w:space="0" w:color="auto"/>
              <w:right w:val="single" w:sz="4" w:space="0" w:color="auto"/>
            </w:tcBorders>
            <w:shd w:val="clear" w:color="auto" w:fill="auto"/>
            <w:vAlign w:val="center"/>
          </w:tcPr>
          <w:p w14:paraId="43F3CA3E" w14:textId="77777777" w:rsidR="00C4104D" w:rsidRPr="00593570" w:rsidRDefault="00C4104D" w:rsidP="005F2E4B">
            <w:pPr>
              <w:jc w:val="center"/>
              <w:rPr>
                <w:rFonts w:eastAsia="Calibri" w:cs="Arial"/>
                <w:bCs/>
                <w:sz w:val="20"/>
                <w:szCs w:val="20"/>
              </w:rPr>
            </w:pPr>
            <w:r w:rsidRPr="00593570">
              <w:rPr>
                <w:rFonts w:eastAsia="Calibri" w:cs="Arial"/>
                <w:bCs/>
                <w:sz w:val="20"/>
                <w:szCs w:val="20"/>
              </w:rPr>
              <w:t>2022</w:t>
            </w:r>
          </w:p>
        </w:tc>
        <w:tc>
          <w:tcPr>
            <w:tcW w:w="2020" w:type="dxa"/>
            <w:tcBorders>
              <w:top w:val="single" w:sz="4" w:space="0" w:color="auto"/>
              <w:left w:val="nil"/>
              <w:bottom w:val="single" w:sz="4" w:space="0" w:color="auto"/>
              <w:right w:val="single" w:sz="4" w:space="0" w:color="auto"/>
            </w:tcBorders>
            <w:shd w:val="clear" w:color="auto" w:fill="auto"/>
            <w:vAlign w:val="center"/>
          </w:tcPr>
          <w:p w14:paraId="7AA28B9B" w14:textId="77777777" w:rsidR="00C4104D" w:rsidRPr="00593570" w:rsidRDefault="00C4104D" w:rsidP="005F2E4B">
            <w:pPr>
              <w:spacing w:line="256" w:lineRule="auto"/>
              <w:jc w:val="center"/>
              <w:rPr>
                <w:rFonts w:cs="Arial"/>
                <w:sz w:val="20"/>
                <w:szCs w:val="20"/>
              </w:rPr>
            </w:pPr>
            <w:r w:rsidRPr="00593570">
              <w:rPr>
                <w:rFonts w:cs="Arial"/>
                <w:sz w:val="20"/>
                <w:szCs w:val="20"/>
              </w:rPr>
              <w:t>2</w:t>
            </w:r>
          </w:p>
        </w:tc>
        <w:tc>
          <w:tcPr>
            <w:tcW w:w="2738" w:type="dxa"/>
            <w:tcBorders>
              <w:top w:val="single" w:sz="4" w:space="0" w:color="auto"/>
              <w:left w:val="nil"/>
              <w:bottom w:val="single" w:sz="4" w:space="0" w:color="auto"/>
              <w:right w:val="single" w:sz="4" w:space="0" w:color="auto"/>
            </w:tcBorders>
            <w:shd w:val="clear" w:color="auto" w:fill="auto"/>
            <w:vAlign w:val="center"/>
          </w:tcPr>
          <w:p w14:paraId="48D2A667" w14:textId="77777777" w:rsidR="00C4104D" w:rsidRPr="00593570" w:rsidRDefault="00C4104D" w:rsidP="005F2E4B">
            <w:pPr>
              <w:spacing w:line="256" w:lineRule="auto"/>
              <w:jc w:val="center"/>
              <w:rPr>
                <w:rFonts w:cs="Arial"/>
                <w:sz w:val="20"/>
                <w:szCs w:val="20"/>
              </w:rPr>
            </w:pPr>
            <w:r w:rsidRPr="00593570">
              <w:rPr>
                <w:rFonts w:cs="Arial"/>
                <w:sz w:val="20"/>
                <w:szCs w:val="20"/>
              </w:rPr>
              <w:t>0</w:t>
            </w:r>
          </w:p>
        </w:tc>
        <w:tc>
          <w:tcPr>
            <w:tcW w:w="2551" w:type="dxa"/>
            <w:tcBorders>
              <w:top w:val="single" w:sz="4" w:space="0" w:color="auto"/>
              <w:left w:val="nil"/>
              <w:bottom w:val="single" w:sz="4" w:space="0" w:color="auto"/>
              <w:right w:val="single" w:sz="12" w:space="0" w:color="auto"/>
            </w:tcBorders>
            <w:shd w:val="clear" w:color="auto" w:fill="auto"/>
            <w:vAlign w:val="center"/>
          </w:tcPr>
          <w:p w14:paraId="5446A93D" w14:textId="77777777" w:rsidR="00C4104D" w:rsidRPr="00593570" w:rsidRDefault="00C4104D" w:rsidP="005F2E4B">
            <w:pPr>
              <w:spacing w:line="256" w:lineRule="auto"/>
              <w:jc w:val="center"/>
              <w:rPr>
                <w:rFonts w:cs="Arial"/>
                <w:sz w:val="20"/>
                <w:szCs w:val="20"/>
              </w:rPr>
            </w:pPr>
            <w:r w:rsidRPr="00593570">
              <w:rPr>
                <w:rFonts w:cs="Arial"/>
                <w:sz w:val="20"/>
                <w:szCs w:val="20"/>
              </w:rPr>
              <w:t>2</w:t>
            </w:r>
          </w:p>
        </w:tc>
      </w:tr>
      <w:tr w:rsidR="00C4104D" w:rsidRPr="00094DA0" w14:paraId="0C607B42" w14:textId="77777777" w:rsidTr="005F2E4B">
        <w:trPr>
          <w:trHeight w:val="315"/>
        </w:trPr>
        <w:tc>
          <w:tcPr>
            <w:tcW w:w="960" w:type="dxa"/>
            <w:vMerge/>
            <w:tcBorders>
              <w:left w:val="single" w:sz="12" w:space="0" w:color="auto"/>
              <w:bottom w:val="double" w:sz="4" w:space="0" w:color="auto"/>
              <w:right w:val="single" w:sz="4" w:space="0" w:color="auto"/>
            </w:tcBorders>
            <w:shd w:val="clear" w:color="auto" w:fill="auto"/>
            <w:vAlign w:val="center"/>
          </w:tcPr>
          <w:p w14:paraId="252E4F75" w14:textId="77777777" w:rsidR="00C4104D" w:rsidRPr="0018429F" w:rsidRDefault="00C4104D" w:rsidP="005F2E4B">
            <w:pPr>
              <w:rPr>
                <w:rFonts w:cs="Arial"/>
                <w:b/>
                <w:bCs/>
                <w:color w:val="000000"/>
                <w:sz w:val="20"/>
                <w:szCs w:val="20"/>
              </w:rPr>
            </w:pPr>
          </w:p>
        </w:tc>
        <w:tc>
          <w:tcPr>
            <w:tcW w:w="960" w:type="dxa"/>
            <w:tcBorders>
              <w:top w:val="single" w:sz="4" w:space="0" w:color="auto"/>
              <w:left w:val="nil"/>
              <w:bottom w:val="double" w:sz="4" w:space="0" w:color="auto"/>
              <w:right w:val="single" w:sz="4" w:space="0" w:color="auto"/>
            </w:tcBorders>
            <w:shd w:val="clear" w:color="auto" w:fill="auto"/>
            <w:vAlign w:val="center"/>
          </w:tcPr>
          <w:p w14:paraId="7CAAF08D" w14:textId="77777777" w:rsidR="00C4104D" w:rsidRPr="00593570" w:rsidRDefault="00C4104D" w:rsidP="005F2E4B">
            <w:pPr>
              <w:jc w:val="center"/>
              <w:rPr>
                <w:rFonts w:eastAsia="Calibri" w:cs="Arial"/>
                <w:bCs/>
                <w:sz w:val="20"/>
                <w:szCs w:val="20"/>
              </w:rPr>
            </w:pPr>
            <w:r w:rsidRPr="00593570">
              <w:rPr>
                <w:rFonts w:eastAsia="Calibri" w:cs="Arial"/>
                <w:bCs/>
                <w:sz w:val="20"/>
                <w:szCs w:val="20"/>
              </w:rPr>
              <w:t>2023</w:t>
            </w:r>
          </w:p>
        </w:tc>
        <w:tc>
          <w:tcPr>
            <w:tcW w:w="2020" w:type="dxa"/>
            <w:tcBorders>
              <w:top w:val="single" w:sz="4" w:space="0" w:color="auto"/>
              <w:left w:val="nil"/>
              <w:bottom w:val="double" w:sz="4" w:space="0" w:color="auto"/>
              <w:right w:val="single" w:sz="4" w:space="0" w:color="auto"/>
            </w:tcBorders>
            <w:shd w:val="clear" w:color="auto" w:fill="auto"/>
            <w:vAlign w:val="center"/>
          </w:tcPr>
          <w:p w14:paraId="44DB4224" w14:textId="77777777" w:rsidR="00C4104D" w:rsidRPr="00593570" w:rsidRDefault="00C4104D" w:rsidP="005F2E4B">
            <w:pPr>
              <w:spacing w:line="256" w:lineRule="auto"/>
              <w:jc w:val="center"/>
              <w:rPr>
                <w:rFonts w:cs="Arial"/>
                <w:sz w:val="20"/>
                <w:szCs w:val="20"/>
              </w:rPr>
            </w:pPr>
            <w:r w:rsidRPr="00593570">
              <w:rPr>
                <w:rFonts w:cs="Arial"/>
                <w:sz w:val="20"/>
                <w:szCs w:val="20"/>
              </w:rPr>
              <w:t>2,06</w:t>
            </w:r>
          </w:p>
        </w:tc>
        <w:tc>
          <w:tcPr>
            <w:tcW w:w="2738" w:type="dxa"/>
            <w:tcBorders>
              <w:top w:val="single" w:sz="4" w:space="0" w:color="auto"/>
              <w:left w:val="nil"/>
              <w:bottom w:val="double" w:sz="4" w:space="0" w:color="auto"/>
              <w:right w:val="single" w:sz="4" w:space="0" w:color="auto"/>
            </w:tcBorders>
            <w:shd w:val="clear" w:color="auto" w:fill="auto"/>
            <w:vAlign w:val="center"/>
          </w:tcPr>
          <w:p w14:paraId="2A852EBB" w14:textId="77777777" w:rsidR="00C4104D" w:rsidRPr="00593570" w:rsidRDefault="00C4104D" w:rsidP="005F2E4B">
            <w:pPr>
              <w:spacing w:line="256" w:lineRule="auto"/>
              <w:jc w:val="center"/>
              <w:rPr>
                <w:rFonts w:cs="Arial"/>
                <w:sz w:val="20"/>
                <w:szCs w:val="20"/>
              </w:rPr>
            </w:pPr>
            <w:r w:rsidRPr="00593570">
              <w:rPr>
                <w:rFonts w:cs="Arial"/>
                <w:sz w:val="20"/>
                <w:szCs w:val="20"/>
              </w:rPr>
              <w:t>0</w:t>
            </w:r>
          </w:p>
        </w:tc>
        <w:tc>
          <w:tcPr>
            <w:tcW w:w="2551" w:type="dxa"/>
            <w:tcBorders>
              <w:top w:val="single" w:sz="4" w:space="0" w:color="auto"/>
              <w:left w:val="nil"/>
              <w:bottom w:val="double" w:sz="4" w:space="0" w:color="auto"/>
              <w:right w:val="single" w:sz="12" w:space="0" w:color="auto"/>
            </w:tcBorders>
            <w:shd w:val="clear" w:color="auto" w:fill="auto"/>
            <w:vAlign w:val="center"/>
          </w:tcPr>
          <w:p w14:paraId="525E72A1" w14:textId="77777777" w:rsidR="00C4104D" w:rsidRPr="00593570" w:rsidRDefault="00C4104D" w:rsidP="005F2E4B">
            <w:pPr>
              <w:spacing w:line="256" w:lineRule="auto"/>
              <w:jc w:val="center"/>
              <w:rPr>
                <w:rFonts w:cs="Arial"/>
                <w:sz w:val="20"/>
                <w:szCs w:val="20"/>
              </w:rPr>
            </w:pPr>
            <w:r w:rsidRPr="00593570">
              <w:rPr>
                <w:rFonts w:cs="Arial"/>
                <w:sz w:val="20"/>
                <w:szCs w:val="20"/>
              </w:rPr>
              <w:t>2,06</w:t>
            </w:r>
          </w:p>
        </w:tc>
      </w:tr>
      <w:tr w:rsidR="00C4104D" w:rsidRPr="00094DA0" w14:paraId="6484D3A8" w14:textId="77777777" w:rsidTr="005F2E4B">
        <w:trPr>
          <w:trHeight w:val="315"/>
        </w:trPr>
        <w:tc>
          <w:tcPr>
            <w:tcW w:w="960" w:type="dxa"/>
            <w:vMerge w:val="restart"/>
            <w:tcBorders>
              <w:top w:val="double" w:sz="4" w:space="0" w:color="auto"/>
              <w:left w:val="single" w:sz="12" w:space="0" w:color="auto"/>
              <w:right w:val="single" w:sz="4" w:space="0" w:color="auto"/>
            </w:tcBorders>
            <w:shd w:val="clear" w:color="auto" w:fill="auto"/>
            <w:vAlign w:val="center"/>
          </w:tcPr>
          <w:p w14:paraId="6C65549D" w14:textId="77777777" w:rsidR="00C4104D" w:rsidRPr="009D17A6" w:rsidRDefault="00C4104D" w:rsidP="005F2E4B">
            <w:pPr>
              <w:rPr>
                <w:rFonts w:cs="Arial"/>
                <w:color w:val="000000"/>
                <w:sz w:val="20"/>
                <w:szCs w:val="20"/>
              </w:rPr>
            </w:pPr>
            <w:r w:rsidRPr="009D17A6">
              <w:rPr>
                <w:rFonts w:eastAsia="Calibri" w:cs="Arial"/>
                <w:sz w:val="20"/>
                <w:szCs w:val="20"/>
              </w:rPr>
              <w:t>NK ČR</w:t>
            </w:r>
          </w:p>
        </w:tc>
        <w:tc>
          <w:tcPr>
            <w:tcW w:w="960" w:type="dxa"/>
            <w:tcBorders>
              <w:top w:val="double" w:sz="4" w:space="0" w:color="auto"/>
              <w:left w:val="nil"/>
              <w:bottom w:val="single" w:sz="4" w:space="0" w:color="auto"/>
              <w:right w:val="single" w:sz="4" w:space="0" w:color="auto"/>
            </w:tcBorders>
            <w:shd w:val="clear" w:color="auto" w:fill="auto"/>
            <w:vAlign w:val="center"/>
          </w:tcPr>
          <w:p w14:paraId="066BE960" w14:textId="77777777" w:rsidR="00C4104D" w:rsidRPr="009D17A6" w:rsidRDefault="00C4104D" w:rsidP="005F2E4B">
            <w:pPr>
              <w:jc w:val="center"/>
              <w:rPr>
                <w:rFonts w:eastAsia="Calibri" w:cs="Arial"/>
                <w:bCs/>
                <w:sz w:val="20"/>
                <w:szCs w:val="20"/>
              </w:rPr>
            </w:pPr>
            <w:r w:rsidRPr="009D17A6">
              <w:rPr>
                <w:rFonts w:eastAsia="Calibri" w:cs="Arial"/>
                <w:bCs/>
                <w:sz w:val="20"/>
                <w:szCs w:val="20"/>
              </w:rPr>
              <w:t>2022</w:t>
            </w:r>
          </w:p>
        </w:tc>
        <w:tc>
          <w:tcPr>
            <w:tcW w:w="2020" w:type="dxa"/>
            <w:tcBorders>
              <w:top w:val="double" w:sz="4" w:space="0" w:color="auto"/>
              <w:left w:val="nil"/>
              <w:bottom w:val="single" w:sz="4" w:space="0" w:color="auto"/>
              <w:right w:val="single" w:sz="4" w:space="0" w:color="auto"/>
            </w:tcBorders>
            <w:shd w:val="clear" w:color="auto" w:fill="auto"/>
            <w:vAlign w:val="center"/>
          </w:tcPr>
          <w:p w14:paraId="74E4AF5C" w14:textId="77777777" w:rsidR="00C4104D" w:rsidRPr="009D17A6" w:rsidRDefault="00C4104D" w:rsidP="005F2E4B">
            <w:pPr>
              <w:spacing w:line="256" w:lineRule="auto"/>
              <w:jc w:val="center"/>
              <w:rPr>
                <w:rFonts w:eastAsia="Calibri" w:cs="Arial"/>
                <w:bCs/>
                <w:sz w:val="20"/>
                <w:szCs w:val="20"/>
              </w:rPr>
            </w:pPr>
            <w:r w:rsidRPr="009D17A6">
              <w:rPr>
                <w:sz w:val="20"/>
                <w:szCs w:val="20"/>
              </w:rPr>
              <w:t>6,67</w:t>
            </w:r>
          </w:p>
        </w:tc>
        <w:tc>
          <w:tcPr>
            <w:tcW w:w="2738" w:type="dxa"/>
            <w:tcBorders>
              <w:top w:val="double" w:sz="4" w:space="0" w:color="auto"/>
              <w:left w:val="nil"/>
              <w:bottom w:val="single" w:sz="4" w:space="0" w:color="auto"/>
              <w:right w:val="single" w:sz="4" w:space="0" w:color="auto"/>
            </w:tcBorders>
            <w:shd w:val="clear" w:color="auto" w:fill="auto"/>
            <w:vAlign w:val="center"/>
          </w:tcPr>
          <w:p w14:paraId="04285210" w14:textId="77777777" w:rsidR="00C4104D" w:rsidRPr="009D17A6" w:rsidRDefault="00C4104D" w:rsidP="005F2E4B">
            <w:pPr>
              <w:spacing w:line="256" w:lineRule="auto"/>
              <w:jc w:val="center"/>
              <w:rPr>
                <w:rFonts w:eastAsia="Calibri" w:cs="Arial"/>
                <w:bCs/>
                <w:sz w:val="20"/>
                <w:szCs w:val="20"/>
              </w:rPr>
            </w:pPr>
            <w:r w:rsidRPr="009D17A6">
              <w:rPr>
                <w:sz w:val="20"/>
                <w:szCs w:val="20"/>
              </w:rPr>
              <w:t>2,11</w:t>
            </w:r>
          </w:p>
        </w:tc>
        <w:tc>
          <w:tcPr>
            <w:tcW w:w="2551" w:type="dxa"/>
            <w:tcBorders>
              <w:top w:val="double" w:sz="4" w:space="0" w:color="auto"/>
              <w:left w:val="nil"/>
              <w:bottom w:val="single" w:sz="4" w:space="0" w:color="auto"/>
              <w:right w:val="single" w:sz="12" w:space="0" w:color="auto"/>
            </w:tcBorders>
            <w:shd w:val="clear" w:color="auto" w:fill="auto"/>
            <w:vAlign w:val="center"/>
          </w:tcPr>
          <w:p w14:paraId="19E0EA2F" w14:textId="77777777" w:rsidR="00C4104D" w:rsidRPr="009D17A6" w:rsidRDefault="00C4104D" w:rsidP="005F2E4B">
            <w:pPr>
              <w:spacing w:line="256" w:lineRule="auto"/>
              <w:jc w:val="center"/>
              <w:rPr>
                <w:rFonts w:eastAsia="Calibri" w:cs="Arial"/>
                <w:bCs/>
                <w:sz w:val="20"/>
                <w:szCs w:val="20"/>
              </w:rPr>
            </w:pPr>
            <w:r w:rsidRPr="009D17A6">
              <w:rPr>
                <w:sz w:val="20"/>
                <w:szCs w:val="20"/>
              </w:rPr>
              <w:t>4,56</w:t>
            </w:r>
          </w:p>
        </w:tc>
      </w:tr>
      <w:tr w:rsidR="00C4104D" w:rsidRPr="00094DA0" w14:paraId="5828CD67" w14:textId="77777777" w:rsidTr="005F2E4B">
        <w:trPr>
          <w:trHeight w:val="315"/>
        </w:trPr>
        <w:tc>
          <w:tcPr>
            <w:tcW w:w="960" w:type="dxa"/>
            <w:vMerge/>
            <w:tcBorders>
              <w:left w:val="single" w:sz="12" w:space="0" w:color="auto"/>
              <w:bottom w:val="double" w:sz="6" w:space="0" w:color="000000"/>
              <w:right w:val="single" w:sz="4" w:space="0" w:color="auto"/>
            </w:tcBorders>
            <w:shd w:val="clear" w:color="auto" w:fill="auto"/>
            <w:vAlign w:val="center"/>
          </w:tcPr>
          <w:p w14:paraId="56B8B1EA" w14:textId="77777777" w:rsidR="00C4104D" w:rsidRPr="009D17A6" w:rsidRDefault="00C4104D" w:rsidP="005F2E4B">
            <w:pPr>
              <w:rPr>
                <w:rFonts w:eastAsia="Calibri" w:cs="Arial"/>
                <w:bCs/>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068E4EB4" w14:textId="77777777" w:rsidR="00C4104D" w:rsidRPr="009D17A6" w:rsidRDefault="00C4104D" w:rsidP="005F2E4B">
            <w:pPr>
              <w:jc w:val="center"/>
              <w:rPr>
                <w:rFonts w:eastAsia="Calibri" w:cs="Arial"/>
                <w:bCs/>
                <w:sz w:val="20"/>
                <w:szCs w:val="20"/>
              </w:rPr>
            </w:pPr>
            <w:r w:rsidRPr="009D17A6">
              <w:rPr>
                <w:rFonts w:eastAsia="Calibri" w:cs="Arial"/>
                <w:bCs/>
                <w:sz w:val="20"/>
                <w:szCs w:val="20"/>
              </w:rPr>
              <w:t>2023</w:t>
            </w:r>
          </w:p>
        </w:tc>
        <w:tc>
          <w:tcPr>
            <w:tcW w:w="2020" w:type="dxa"/>
            <w:tcBorders>
              <w:top w:val="single" w:sz="4" w:space="0" w:color="auto"/>
              <w:left w:val="nil"/>
              <w:bottom w:val="single" w:sz="4" w:space="0" w:color="auto"/>
              <w:right w:val="single" w:sz="4" w:space="0" w:color="auto"/>
            </w:tcBorders>
            <w:shd w:val="clear" w:color="auto" w:fill="auto"/>
            <w:vAlign w:val="center"/>
          </w:tcPr>
          <w:p w14:paraId="1C6E0A10" w14:textId="77777777" w:rsidR="00C4104D" w:rsidRPr="009D17A6" w:rsidRDefault="00C4104D" w:rsidP="005F2E4B">
            <w:pPr>
              <w:spacing w:line="256" w:lineRule="auto"/>
              <w:jc w:val="center"/>
              <w:rPr>
                <w:rFonts w:cs="Arial"/>
                <w:bCs/>
                <w:sz w:val="20"/>
                <w:szCs w:val="20"/>
              </w:rPr>
            </w:pPr>
            <w:r w:rsidRPr="009D17A6">
              <w:rPr>
                <w:sz w:val="20"/>
                <w:szCs w:val="20"/>
              </w:rPr>
              <w:t>11</w:t>
            </w:r>
          </w:p>
        </w:tc>
        <w:tc>
          <w:tcPr>
            <w:tcW w:w="2738" w:type="dxa"/>
            <w:tcBorders>
              <w:top w:val="single" w:sz="4" w:space="0" w:color="auto"/>
              <w:left w:val="nil"/>
              <w:bottom w:val="single" w:sz="4" w:space="0" w:color="auto"/>
              <w:right w:val="single" w:sz="4" w:space="0" w:color="auto"/>
            </w:tcBorders>
            <w:shd w:val="clear" w:color="auto" w:fill="auto"/>
            <w:vAlign w:val="center"/>
          </w:tcPr>
          <w:p w14:paraId="4484C3E8" w14:textId="77777777" w:rsidR="00C4104D" w:rsidRPr="009D17A6" w:rsidRDefault="00C4104D" w:rsidP="005F2E4B">
            <w:pPr>
              <w:spacing w:line="256" w:lineRule="auto"/>
              <w:jc w:val="center"/>
              <w:rPr>
                <w:rFonts w:cs="Arial"/>
                <w:bCs/>
                <w:sz w:val="20"/>
                <w:szCs w:val="20"/>
              </w:rPr>
            </w:pPr>
            <w:r w:rsidRPr="009D17A6">
              <w:rPr>
                <w:sz w:val="20"/>
                <w:szCs w:val="20"/>
              </w:rPr>
              <w:t>5</w:t>
            </w:r>
          </w:p>
        </w:tc>
        <w:tc>
          <w:tcPr>
            <w:tcW w:w="2551" w:type="dxa"/>
            <w:tcBorders>
              <w:top w:val="single" w:sz="4" w:space="0" w:color="auto"/>
              <w:left w:val="nil"/>
              <w:bottom w:val="single" w:sz="4" w:space="0" w:color="auto"/>
              <w:right w:val="single" w:sz="12" w:space="0" w:color="auto"/>
            </w:tcBorders>
            <w:shd w:val="clear" w:color="auto" w:fill="auto"/>
            <w:vAlign w:val="center"/>
          </w:tcPr>
          <w:p w14:paraId="345C68AF" w14:textId="77777777" w:rsidR="00C4104D" w:rsidRPr="009D17A6" w:rsidRDefault="00C4104D" w:rsidP="005F2E4B">
            <w:pPr>
              <w:spacing w:line="256" w:lineRule="auto"/>
              <w:jc w:val="center"/>
              <w:rPr>
                <w:rFonts w:cs="Arial"/>
                <w:bCs/>
                <w:sz w:val="20"/>
                <w:szCs w:val="20"/>
              </w:rPr>
            </w:pPr>
            <w:r w:rsidRPr="009D17A6">
              <w:rPr>
                <w:sz w:val="20"/>
                <w:szCs w:val="20"/>
              </w:rPr>
              <w:t>6</w:t>
            </w:r>
          </w:p>
        </w:tc>
      </w:tr>
      <w:tr w:rsidR="00C4104D" w:rsidRPr="00094DA0" w14:paraId="7646A29A" w14:textId="77777777" w:rsidTr="005F2E4B">
        <w:trPr>
          <w:trHeight w:val="315"/>
        </w:trPr>
        <w:tc>
          <w:tcPr>
            <w:tcW w:w="960" w:type="dxa"/>
            <w:vMerge w:val="restart"/>
            <w:tcBorders>
              <w:top w:val="double" w:sz="4" w:space="0" w:color="auto"/>
              <w:left w:val="single" w:sz="12" w:space="0" w:color="auto"/>
              <w:bottom w:val="double" w:sz="6" w:space="0" w:color="000000"/>
              <w:right w:val="single" w:sz="4" w:space="0" w:color="auto"/>
            </w:tcBorders>
            <w:shd w:val="clear" w:color="auto" w:fill="auto"/>
            <w:vAlign w:val="center"/>
          </w:tcPr>
          <w:p w14:paraId="305CBB5D" w14:textId="77777777" w:rsidR="00C4104D" w:rsidRPr="00F1436D" w:rsidRDefault="00C4104D" w:rsidP="005F2E4B">
            <w:pPr>
              <w:rPr>
                <w:rFonts w:cs="Arial"/>
                <w:color w:val="000000"/>
                <w:sz w:val="20"/>
                <w:szCs w:val="20"/>
              </w:rPr>
            </w:pPr>
            <w:r w:rsidRPr="00F1436D">
              <w:rPr>
                <w:rFonts w:cs="Arial"/>
                <w:sz w:val="20"/>
                <w:szCs w:val="20"/>
              </w:rPr>
              <w:t>MZK</w:t>
            </w:r>
          </w:p>
        </w:tc>
        <w:tc>
          <w:tcPr>
            <w:tcW w:w="960" w:type="dxa"/>
            <w:tcBorders>
              <w:top w:val="double" w:sz="4" w:space="0" w:color="auto"/>
              <w:left w:val="nil"/>
              <w:bottom w:val="single" w:sz="4" w:space="0" w:color="auto"/>
              <w:right w:val="single" w:sz="4" w:space="0" w:color="auto"/>
            </w:tcBorders>
            <w:shd w:val="clear" w:color="auto" w:fill="auto"/>
            <w:vAlign w:val="center"/>
          </w:tcPr>
          <w:p w14:paraId="708CBB8B" w14:textId="77777777" w:rsidR="00C4104D" w:rsidRPr="00F1436D" w:rsidRDefault="00C4104D" w:rsidP="005F2E4B">
            <w:pPr>
              <w:jc w:val="center"/>
              <w:rPr>
                <w:rFonts w:eastAsia="Calibri" w:cs="Arial"/>
                <w:bCs/>
                <w:sz w:val="20"/>
                <w:szCs w:val="20"/>
              </w:rPr>
            </w:pPr>
            <w:r w:rsidRPr="00F1436D">
              <w:rPr>
                <w:rFonts w:eastAsia="Calibri" w:cs="Arial"/>
                <w:bCs/>
                <w:sz w:val="20"/>
                <w:szCs w:val="20"/>
              </w:rPr>
              <w:t>2022</w:t>
            </w:r>
          </w:p>
        </w:tc>
        <w:tc>
          <w:tcPr>
            <w:tcW w:w="2020" w:type="dxa"/>
            <w:tcBorders>
              <w:top w:val="double" w:sz="4" w:space="0" w:color="auto"/>
              <w:left w:val="nil"/>
              <w:bottom w:val="single" w:sz="4" w:space="0" w:color="auto"/>
              <w:right w:val="single" w:sz="4" w:space="0" w:color="auto"/>
            </w:tcBorders>
            <w:shd w:val="clear" w:color="auto" w:fill="auto"/>
            <w:vAlign w:val="center"/>
          </w:tcPr>
          <w:p w14:paraId="6203BEC0" w14:textId="77777777" w:rsidR="00C4104D" w:rsidRPr="00F1436D" w:rsidRDefault="00C4104D" w:rsidP="005F2E4B">
            <w:pPr>
              <w:spacing w:line="256" w:lineRule="auto"/>
              <w:jc w:val="center"/>
              <w:rPr>
                <w:rFonts w:eastAsia="Calibri" w:cs="Arial"/>
                <w:bCs/>
                <w:sz w:val="20"/>
                <w:szCs w:val="20"/>
              </w:rPr>
            </w:pPr>
            <w:r w:rsidRPr="00F1436D">
              <w:rPr>
                <w:rFonts w:eastAsia="Calibri" w:cs="Arial"/>
                <w:bCs/>
                <w:sz w:val="20"/>
                <w:szCs w:val="20"/>
              </w:rPr>
              <w:t>11</w:t>
            </w:r>
          </w:p>
        </w:tc>
        <w:tc>
          <w:tcPr>
            <w:tcW w:w="2738" w:type="dxa"/>
            <w:tcBorders>
              <w:top w:val="double" w:sz="4" w:space="0" w:color="auto"/>
              <w:left w:val="nil"/>
              <w:bottom w:val="single" w:sz="4" w:space="0" w:color="auto"/>
              <w:right w:val="single" w:sz="4" w:space="0" w:color="auto"/>
            </w:tcBorders>
            <w:shd w:val="clear" w:color="auto" w:fill="auto"/>
            <w:vAlign w:val="center"/>
          </w:tcPr>
          <w:p w14:paraId="44B9C44F" w14:textId="77777777" w:rsidR="00C4104D" w:rsidRPr="00F1436D" w:rsidRDefault="00C4104D" w:rsidP="005F2E4B">
            <w:pPr>
              <w:spacing w:line="256" w:lineRule="auto"/>
              <w:jc w:val="center"/>
              <w:rPr>
                <w:rFonts w:eastAsia="Calibri" w:cs="Arial"/>
                <w:bCs/>
                <w:sz w:val="20"/>
                <w:szCs w:val="20"/>
              </w:rPr>
            </w:pPr>
            <w:r w:rsidRPr="00F1436D">
              <w:rPr>
                <w:rFonts w:eastAsia="Calibri" w:cs="Arial"/>
                <w:bCs/>
                <w:sz w:val="20"/>
                <w:szCs w:val="20"/>
              </w:rPr>
              <w:t>6</w:t>
            </w:r>
          </w:p>
        </w:tc>
        <w:tc>
          <w:tcPr>
            <w:tcW w:w="2551" w:type="dxa"/>
            <w:tcBorders>
              <w:top w:val="double" w:sz="4" w:space="0" w:color="auto"/>
              <w:left w:val="nil"/>
              <w:bottom w:val="single" w:sz="4" w:space="0" w:color="auto"/>
              <w:right w:val="single" w:sz="12" w:space="0" w:color="auto"/>
            </w:tcBorders>
            <w:shd w:val="clear" w:color="auto" w:fill="auto"/>
            <w:vAlign w:val="center"/>
          </w:tcPr>
          <w:p w14:paraId="25ACEE81" w14:textId="77777777" w:rsidR="00C4104D" w:rsidRPr="00F1436D" w:rsidRDefault="00C4104D" w:rsidP="005F2E4B">
            <w:pPr>
              <w:spacing w:line="256" w:lineRule="auto"/>
              <w:jc w:val="center"/>
              <w:rPr>
                <w:rFonts w:eastAsia="Calibri" w:cs="Arial"/>
                <w:bCs/>
                <w:sz w:val="20"/>
                <w:szCs w:val="20"/>
              </w:rPr>
            </w:pPr>
            <w:r w:rsidRPr="00F1436D">
              <w:rPr>
                <w:rFonts w:eastAsia="Calibri" w:cs="Arial"/>
                <w:bCs/>
                <w:sz w:val="20"/>
                <w:szCs w:val="20"/>
              </w:rPr>
              <w:t>5</w:t>
            </w:r>
          </w:p>
        </w:tc>
      </w:tr>
      <w:tr w:rsidR="00C4104D" w:rsidRPr="00094DA0" w14:paraId="370C083D" w14:textId="77777777" w:rsidTr="005F2E4B">
        <w:trPr>
          <w:trHeight w:val="315"/>
        </w:trPr>
        <w:tc>
          <w:tcPr>
            <w:tcW w:w="960" w:type="dxa"/>
            <w:vMerge/>
            <w:tcBorders>
              <w:top w:val="nil"/>
              <w:left w:val="single" w:sz="12" w:space="0" w:color="auto"/>
              <w:bottom w:val="double" w:sz="6" w:space="0" w:color="000000"/>
              <w:right w:val="single" w:sz="4" w:space="0" w:color="auto"/>
            </w:tcBorders>
            <w:vAlign w:val="center"/>
          </w:tcPr>
          <w:p w14:paraId="0ED8E2B0" w14:textId="77777777" w:rsidR="00C4104D" w:rsidRPr="00F1436D" w:rsidRDefault="00C4104D" w:rsidP="005F2E4B">
            <w:pPr>
              <w:rPr>
                <w:rFonts w:cs="Arial"/>
                <w:color w:val="000000"/>
                <w:sz w:val="20"/>
                <w:szCs w:val="20"/>
              </w:rPr>
            </w:pPr>
          </w:p>
        </w:tc>
        <w:tc>
          <w:tcPr>
            <w:tcW w:w="960" w:type="dxa"/>
            <w:tcBorders>
              <w:top w:val="nil"/>
              <w:left w:val="nil"/>
              <w:bottom w:val="double" w:sz="6" w:space="0" w:color="auto"/>
              <w:right w:val="single" w:sz="4" w:space="0" w:color="auto"/>
            </w:tcBorders>
            <w:shd w:val="clear" w:color="auto" w:fill="auto"/>
            <w:vAlign w:val="center"/>
          </w:tcPr>
          <w:p w14:paraId="317D2D6A" w14:textId="77777777" w:rsidR="00C4104D" w:rsidRPr="00F1436D" w:rsidRDefault="00C4104D" w:rsidP="005F2E4B">
            <w:pPr>
              <w:jc w:val="center"/>
              <w:rPr>
                <w:rFonts w:eastAsia="Calibri" w:cs="Arial"/>
                <w:bCs/>
                <w:sz w:val="20"/>
                <w:szCs w:val="20"/>
              </w:rPr>
            </w:pPr>
            <w:r w:rsidRPr="00F1436D">
              <w:rPr>
                <w:rFonts w:eastAsia="Calibri" w:cs="Arial"/>
                <w:bCs/>
                <w:sz w:val="20"/>
                <w:szCs w:val="20"/>
              </w:rPr>
              <w:t>2023</w:t>
            </w:r>
          </w:p>
        </w:tc>
        <w:tc>
          <w:tcPr>
            <w:tcW w:w="2020" w:type="dxa"/>
            <w:tcBorders>
              <w:top w:val="nil"/>
              <w:left w:val="nil"/>
              <w:bottom w:val="double" w:sz="6" w:space="0" w:color="auto"/>
              <w:right w:val="single" w:sz="4" w:space="0" w:color="auto"/>
            </w:tcBorders>
            <w:shd w:val="clear" w:color="auto" w:fill="auto"/>
            <w:vAlign w:val="center"/>
          </w:tcPr>
          <w:p w14:paraId="2A440D2E" w14:textId="77777777" w:rsidR="00C4104D" w:rsidRPr="00F1436D" w:rsidRDefault="00C4104D" w:rsidP="005F2E4B">
            <w:pPr>
              <w:spacing w:line="256" w:lineRule="auto"/>
              <w:jc w:val="center"/>
              <w:rPr>
                <w:rFonts w:cs="Arial"/>
                <w:bCs/>
                <w:sz w:val="20"/>
                <w:szCs w:val="20"/>
              </w:rPr>
            </w:pPr>
            <w:r w:rsidRPr="00F1436D">
              <w:rPr>
                <w:rFonts w:cs="Arial"/>
                <w:bCs/>
                <w:sz w:val="20"/>
                <w:szCs w:val="20"/>
              </w:rPr>
              <w:t>11</w:t>
            </w:r>
          </w:p>
        </w:tc>
        <w:tc>
          <w:tcPr>
            <w:tcW w:w="2738" w:type="dxa"/>
            <w:tcBorders>
              <w:top w:val="nil"/>
              <w:left w:val="nil"/>
              <w:bottom w:val="double" w:sz="6" w:space="0" w:color="auto"/>
              <w:right w:val="single" w:sz="4" w:space="0" w:color="auto"/>
            </w:tcBorders>
            <w:shd w:val="clear" w:color="auto" w:fill="auto"/>
            <w:vAlign w:val="center"/>
          </w:tcPr>
          <w:p w14:paraId="0FBA771B" w14:textId="77777777" w:rsidR="00C4104D" w:rsidRPr="00F1436D" w:rsidRDefault="00C4104D" w:rsidP="005F2E4B">
            <w:pPr>
              <w:spacing w:line="256" w:lineRule="auto"/>
              <w:jc w:val="center"/>
              <w:rPr>
                <w:rFonts w:cs="Arial"/>
                <w:bCs/>
                <w:sz w:val="20"/>
                <w:szCs w:val="20"/>
              </w:rPr>
            </w:pPr>
            <w:r w:rsidRPr="00F1436D">
              <w:rPr>
                <w:rFonts w:cs="Arial"/>
                <w:bCs/>
                <w:sz w:val="20"/>
                <w:szCs w:val="20"/>
              </w:rPr>
              <w:t>6</w:t>
            </w:r>
          </w:p>
        </w:tc>
        <w:tc>
          <w:tcPr>
            <w:tcW w:w="2551" w:type="dxa"/>
            <w:tcBorders>
              <w:top w:val="nil"/>
              <w:left w:val="nil"/>
              <w:bottom w:val="double" w:sz="6" w:space="0" w:color="auto"/>
              <w:right w:val="single" w:sz="12" w:space="0" w:color="auto"/>
            </w:tcBorders>
            <w:shd w:val="clear" w:color="auto" w:fill="auto"/>
            <w:vAlign w:val="center"/>
          </w:tcPr>
          <w:p w14:paraId="7F77EEAB" w14:textId="77777777" w:rsidR="00C4104D" w:rsidRPr="00F1436D" w:rsidRDefault="00C4104D" w:rsidP="005F2E4B">
            <w:pPr>
              <w:spacing w:line="256" w:lineRule="auto"/>
              <w:jc w:val="center"/>
              <w:rPr>
                <w:rFonts w:cs="Arial"/>
                <w:bCs/>
                <w:sz w:val="20"/>
                <w:szCs w:val="20"/>
              </w:rPr>
            </w:pPr>
            <w:r w:rsidRPr="00F1436D">
              <w:rPr>
                <w:rFonts w:cs="Arial"/>
                <w:bCs/>
                <w:sz w:val="20"/>
                <w:szCs w:val="20"/>
              </w:rPr>
              <w:t>5</w:t>
            </w:r>
          </w:p>
        </w:tc>
      </w:tr>
      <w:tr w:rsidR="00C4104D" w:rsidRPr="00094DA0" w14:paraId="006CCC39" w14:textId="77777777" w:rsidTr="005F2E4B">
        <w:trPr>
          <w:trHeight w:val="315"/>
        </w:trPr>
        <w:tc>
          <w:tcPr>
            <w:tcW w:w="960" w:type="dxa"/>
            <w:vMerge w:val="restart"/>
            <w:tcBorders>
              <w:top w:val="nil"/>
              <w:left w:val="single" w:sz="12" w:space="0" w:color="auto"/>
              <w:right w:val="single" w:sz="4" w:space="0" w:color="auto"/>
            </w:tcBorders>
            <w:vAlign w:val="center"/>
          </w:tcPr>
          <w:p w14:paraId="63A4D836" w14:textId="77777777" w:rsidR="00C4104D" w:rsidRPr="00F444D3" w:rsidRDefault="00C4104D" w:rsidP="005F2E4B">
            <w:pPr>
              <w:rPr>
                <w:rFonts w:cs="Arial"/>
                <w:color w:val="000000"/>
                <w:sz w:val="20"/>
                <w:szCs w:val="20"/>
              </w:rPr>
            </w:pPr>
            <w:r w:rsidRPr="00F444D3">
              <w:rPr>
                <w:rFonts w:eastAsia="Calibri" w:cs="Arial"/>
                <w:sz w:val="20"/>
                <w:szCs w:val="20"/>
              </w:rPr>
              <w:t>KTN</w:t>
            </w:r>
          </w:p>
        </w:tc>
        <w:tc>
          <w:tcPr>
            <w:tcW w:w="960" w:type="dxa"/>
            <w:tcBorders>
              <w:top w:val="double" w:sz="6" w:space="0" w:color="auto"/>
              <w:left w:val="nil"/>
              <w:bottom w:val="single" w:sz="4" w:space="0" w:color="auto"/>
              <w:right w:val="single" w:sz="4" w:space="0" w:color="auto"/>
            </w:tcBorders>
            <w:shd w:val="clear" w:color="auto" w:fill="auto"/>
            <w:vAlign w:val="center"/>
          </w:tcPr>
          <w:p w14:paraId="46077778" w14:textId="77777777" w:rsidR="00C4104D" w:rsidRPr="00F444D3" w:rsidRDefault="00C4104D" w:rsidP="005F2E4B">
            <w:pPr>
              <w:jc w:val="center"/>
              <w:rPr>
                <w:rFonts w:eastAsia="Calibri" w:cs="Arial"/>
                <w:bCs/>
                <w:sz w:val="20"/>
                <w:szCs w:val="20"/>
              </w:rPr>
            </w:pPr>
            <w:r w:rsidRPr="00F444D3">
              <w:rPr>
                <w:rFonts w:eastAsia="Calibri" w:cs="Arial"/>
                <w:bCs/>
                <w:sz w:val="20"/>
                <w:szCs w:val="20"/>
              </w:rPr>
              <w:t>2022</w:t>
            </w:r>
          </w:p>
        </w:tc>
        <w:tc>
          <w:tcPr>
            <w:tcW w:w="2020" w:type="dxa"/>
            <w:tcBorders>
              <w:top w:val="double" w:sz="6" w:space="0" w:color="auto"/>
              <w:left w:val="nil"/>
              <w:bottom w:val="single" w:sz="4" w:space="0" w:color="auto"/>
              <w:right w:val="single" w:sz="4" w:space="0" w:color="auto"/>
            </w:tcBorders>
            <w:shd w:val="clear" w:color="auto" w:fill="auto"/>
            <w:vAlign w:val="center"/>
          </w:tcPr>
          <w:p w14:paraId="277F06FE" w14:textId="77777777" w:rsidR="00C4104D" w:rsidRPr="00F444D3" w:rsidRDefault="00C4104D" w:rsidP="005F2E4B">
            <w:pPr>
              <w:spacing w:line="256" w:lineRule="auto"/>
              <w:jc w:val="center"/>
              <w:rPr>
                <w:rFonts w:eastAsia="Calibri" w:cs="Arial"/>
                <w:bCs/>
                <w:sz w:val="20"/>
                <w:szCs w:val="20"/>
              </w:rPr>
            </w:pPr>
            <w:r w:rsidRPr="00F444D3">
              <w:rPr>
                <w:rFonts w:eastAsia="Calibri" w:cs="Arial"/>
                <w:bCs/>
                <w:sz w:val="20"/>
                <w:szCs w:val="20"/>
              </w:rPr>
              <w:t>5</w:t>
            </w:r>
          </w:p>
        </w:tc>
        <w:tc>
          <w:tcPr>
            <w:tcW w:w="2738" w:type="dxa"/>
            <w:tcBorders>
              <w:top w:val="double" w:sz="6" w:space="0" w:color="auto"/>
              <w:left w:val="nil"/>
              <w:bottom w:val="single" w:sz="4" w:space="0" w:color="auto"/>
              <w:right w:val="single" w:sz="4" w:space="0" w:color="auto"/>
            </w:tcBorders>
            <w:shd w:val="clear" w:color="auto" w:fill="auto"/>
            <w:vAlign w:val="center"/>
          </w:tcPr>
          <w:p w14:paraId="4F3C144A" w14:textId="77777777" w:rsidR="00C4104D" w:rsidRPr="00F444D3" w:rsidRDefault="00C4104D" w:rsidP="005F2E4B">
            <w:pPr>
              <w:spacing w:line="256" w:lineRule="auto"/>
              <w:jc w:val="center"/>
              <w:rPr>
                <w:rFonts w:eastAsia="Calibri" w:cs="Arial"/>
                <w:bCs/>
                <w:sz w:val="20"/>
                <w:szCs w:val="20"/>
              </w:rPr>
            </w:pPr>
            <w:r w:rsidRPr="00F444D3">
              <w:rPr>
                <w:rFonts w:eastAsia="Calibri" w:cs="Arial"/>
                <w:bCs/>
                <w:sz w:val="20"/>
                <w:szCs w:val="20"/>
              </w:rPr>
              <w:t>4</w:t>
            </w:r>
          </w:p>
        </w:tc>
        <w:tc>
          <w:tcPr>
            <w:tcW w:w="2551" w:type="dxa"/>
            <w:tcBorders>
              <w:top w:val="double" w:sz="6" w:space="0" w:color="auto"/>
              <w:left w:val="nil"/>
              <w:bottom w:val="single" w:sz="4" w:space="0" w:color="auto"/>
              <w:right w:val="single" w:sz="12" w:space="0" w:color="auto"/>
            </w:tcBorders>
            <w:shd w:val="clear" w:color="auto" w:fill="auto"/>
            <w:vAlign w:val="center"/>
          </w:tcPr>
          <w:p w14:paraId="4EE348CD" w14:textId="77777777" w:rsidR="00C4104D" w:rsidRPr="00F444D3" w:rsidRDefault="00C4104D" w:rsidP="005F2E4B">
            <w:pPr>
              <w:spacing w:line="256" w:lineRule="auto"/>
              <w:jc w:val="center"/>
              <w:rPr>
                <w:rFonts w:eastAsia="Calibri" w:cs="Arial"/>
                <w:bCs/>
                <w:sz w:val="20"/>
                <w:szCs w:val="20"/>
              </w:rPr>
            </w:pPr>
            <w:r w:rsidRPr="00F444D3">
              <w:rPr>
                <w:rFonts w:eastAsia="Calibri" w:cs="Arial"/>
                <w:bCs/>
                <w:sz w:val="20"/>
                <w:szCs w:val="20"/>
              </w:rPr>
              <w:t>1</w:t>
            </w:r>
          </w:p>
        </w:tc>
      </w:tr>
      <w:tr w:rsidR="00C4104D" w:rsidRPr="00094DA0" w14:paraId="7A5D8DFE" w14:textId="77777777" w:rsidTr="005F2E4B">
        <w:trPr>
          <w:trHeight w:val="315"/>
        </w:trPr>
        <w:tc>
          <w:tcPr>
            <w:tcW w:w="960" w:type="dxa"/>
            <w:vMerge/>
            <w:tcBorders>
              <w:left w:val="single" w:sz="12" w:space="0" w:color="auto"/>
              <w:bottom w:val="double" w:sz="6" w:space="0" w:color="000000"/>
              <w:right w:val="single" w:sz="4" w:space="0" w:color="auto"/>
            </w:tcBorders>
            <w:vAlign w:val="center"/>
          </w:tcPr>
          <w:p w14:paraId="68E361D3" w14:textId="77777777" w:rsidR="00C4104D" w:rsidRPr="00F444D3" w:rsidRDefault="00C4104D" w:rsidP="005F2E4B">
            <w:pPr>
              <w:rPr>
                <w:rFonts w:cs="Arial"/>
                <w:color w:val="000000"/>
                <w:sz w:val="20"/>
                <w:szCs w:val="20"/>
              </w:rPr>
            </w:pPr>
          </w:p>
        </w:tc>
        <w:tc>
          <w:tcPr>
            <w:tcW w:w="960" w:type="dxa"/>
            <w:tcBorders>
              <w:top w:val="single" w:sz="4" w:space="0" w:color="auto"/>
              <w:left w:val="nil"/>
              <w:bottom w:val="double" w:sz="6" w:space="0" w:color="auto"/>
              <w:right w:val="single" w:sz="4" w:space="0" w:color="auto"/>
            </w:tcBorders>
            <w:shd w:val="clear" w:color="auto" w:fill="auto"/>
            <w:vAlign w:val="center"/>
          </w:tcPr>
          <w:p w14:paraId="762CC18E" w14:textId="77777777" w:rsidR="00C4104D" w:rsidRPr="00F444D3" w:rsidRDefault="00C4104D" w:rsidP="005F2E4B">
            <w:pPr>
              <w:jc w:val="center"/>
              <w:rPr>
                <w:rFonts w:eastAsia="Calibri" w:cs="Arial"/>
                <w:bCs/>
                <w:sz w:val="20"/>
                <w:szCs w:val="20"/>
              </w:rPr>
            </w:pPr>
            <w:r w:rsidRPr="00F444D3">
              <w:rPr>
                <w:rFonts w:eastAsia="Calibri" w:cs="Arial"/>
                <w:bCs/>
                <w:sz w:val="20"/>
                <w:szCs w:val="20"/>
              </w:rPr>
              <w:t>2023</w:t>
            </w:r>
          </w:p>
        </w:tc>
        <w:tc>
          <w:tcPr>
            <w:tcW w:w="2020" w:type="dxa"/>
            <w:tcBorders>
              <w:top w:val="single" w:sz="4" w:space="0" w:color="auto"/>
              <w:left w:val="nil"/>
              <w:bottom w:val="double" w:sz="6" w:space="0" w:color="auto"/>
              <w:right w:val="single" w:sz="4" w:space="0" w:color="auto"/>
            </w:tcBorders>
            <w:shd w:val="clear" w:color="auto" w:fill="auto"/>
            <w:vAlign w:val="center"/>
          </w:tcPr>
          <w:p w14:paraId="2E0A4B17" w14:textId="77777777" w:rsidR="00C4104D" w:rsidRPr="00F444D3" w:rsidRDefault="00C4104D" w:rsidP="005F2E4B">
            <w:pPr>
              <w:spacing w:line="256" w:lineRule="auto"/>
              <w:jc w:val="center"/>
              <w:rPr>
                <w:rFonts w:eastAsia="Calibri" w:cs="Arial"/>
                <w:bCs/>
                <w:sz w:val="20"/>
                <w:szCs w:val="20"/>
              </w:rPr>
            </w:pPr>
            <w:r w:rsidRPr="00F444D3">
              <w:rPr>
                <w:rFonts w:eastAsia="Calibri" w:cs="Arial"/>
                <w:bCs/>
                <w:sz w:val="20"/>
                <w:szCs w:val="20"/>
              </w:rPr>
              <w:t>5</w:t>
            </w:r>
          </w:p>
        </w:tc>
        <w:tc>
          <w:tcPr>
            <w:tcW w:w="2738" w:type="dxa"/>
            <w:tcBorders>
              <w:top w:val="single" w:sz="4" w:space="0" w:color="auto"/>
              <w:left w:val="nil"/>
              <w:bottom w:val="double" w:sz="6" w:space="0" w:color="auto"/>
              <w:right w:val="single" w:sz="4" w:space="0" w:color="auto"/>
            </w:tcBorders>
            <w:shd w:val="clear" w:color="auto" w:fill="auto"/>
            <w:vAlign w:val="center"/>
          </w:tcPr>
          <w:p w14:paraId="5BEF7769" w14:textId="77777777" w:rsidR="00C4104D" w:rsidRPr="00F444D3" w:rsidRDefault="00C4104D" w:rsidP="005F2E4B">
            <w:pPr>
              <w:spacing w:line="256" w:lineRule="auto"/>
              <w:jc w:val="center"/>
              <w:rPr>
                <w:rFonts w:eastAsia="Calibri" w:cs="Arial"/>
                <w:bCs/>
                <w:sz w:val="20"/>
                <w:szCs w:val="20"/>
              </w:rPr>
            </w:pPr>
            <w:r w:rsidRPr="00F444D3">
              <w:rPr>
                <w:rFonts w:eastAsia="Calibri" w:cs="Arial"/>
                <w:bCs/>
                <w:sz w:val="20"/>
                <w:szCs w:val="20"/>
              </w:rPr>
              <w:t>4</w:t>
            </w:r>
          </w:p>
        </w:tc>
        <w:tc>
          <w:tcPr>
            <w:tcW w:w="2551" w:type="dxa"/>
            <w:tcBorders>
              <w:top w:val="single" w:sz="4" w:space="0" w:color="auto"/>
              <w:left w:val="nil"/>
              <w:bottom w:val="double" w:sz="6" w:space="0" w:color="auto"/>
              <w:right w:val="single" w:sz="12" w:space="0" w:color="auto"/>
            </w:tcBorders>
            <w:shd w:val="clear" w:color="auto" w:fill="auto"/>
            <w:vAlign w:val="center"/>
          </w:tcPr>
          <w:p w14:paraId="0CC4F0FB" w14:textId="77777777" w:rsidR="00C4104D" w:rsidRPr="00F444D3" w:rsidRDefault="00C4104D" w:rsidP="005F2E4B">
            <w:pPr>
              <w:spacing w:line="256" w:lineRule="auto"/>
              <w:jc w:val="center"/>
              <w:rPr>
                <w:rFonts w:eastAsia="Calibri" w:cs="Arial"/>
                <w:bCs/>
                <w:sz w:val="20"/>
                <w:szCs w:val="20"/>
              </w:rPr>
            </w:pPr>
            <w:r w:rsidRPr="00F444D3">
              <w:rPr>
                <w:rFonts w:eastAsia="Calibri" w:cs="Arial"/>
                <w:bCs/>
                <w:sz w:val="20"/>
                <w:szCs w:val="20"/>
              </w:rPr>
              <w:t>1</w:t>
            </w:r>
          </w:p>
        </w:tc>
      </w:tr>
      <w:tr w:rsidR="00C4104D" w:rsidRPr="00094DA0" w14:paraId="3304D473" w14:textId="77777777" w:rsidTr="005F2E4B">
        <w:trPr>
          <w:trHeight w:val="315"/>
        </w:trPr>
        <w:tc>
          <w:tcPr>
            <w:tcW w:w="960" w:type="dxa"/>
            <w:vMerge w:val="restart"/>
            <w:tcBorders>
              <w:top w:val="nil"/>
              <w:left w:val="single" w:sz="12" w:space="0" w:color="auto"/>
              <w:bottom w:val="double" w:sz="6" w:space="0" w:color="000000"/>
              <w:right w:val="single" w:sz="4" w:space="0" w:color="auto"/>
            </w:tcBorders>
            <w:shd w:val="clear" w:color="auto" w:fill="auto"/>
            <w:vAlign w:val="center"/>
          </w:tcPr>
          <w:p w14:paraId="721D4E0B" w14:textId="77777777" w:rsidR="00C4104D" w:rsidRPr="00865098" w:rsidRDefault="00C4104D" w:rsidP="005F2E4B">
            <w:pPr>
              <w:rPr>
                <w:rFonts w:cs="Arial"/>
                <w:color w:val="000000"/>
                <w:sz w:val="20"/>
                <w:szCs w:val="20"/>
              </w:rPr>
            </w:pPr>
            <w:r w:rsidRPr="00865098">
              <w:rPr>
                <w:rFonts w:eastAsia="Calibri" w:cs="Arial"/>
                <w:bCs/>
                <w:sz w:val="20"/>
                <w:szCs w:val="20"/>
              </w:rPr>
              <w:t>NPÚ</w:t>
            </w:r>
          </w:p>
        </w:tc>
        <w:tc>
          <w:tcPr>
            <w:tcW w:w="960" w:type="dxa"/>
            <w:tcBorders>
              <w:top w:val="nil"/>
              <w:left w:val="nil"/>
              <w:bottom w:val="single" w:sz="4" w:space="0" w:color="auto"/>
              <w:right w:val="single" w:sz="4" w:space="0" w:color="auto"/>
            </w:tcBorders>
            <w:shd w:val="clear" w:color="auto" w:fill="auto"/>
            <w:vAlign w:val="center"/>
          </w:tcPr>
          <w:p w14:paraId="6947F71A" w14:textId="77777777" w:rsidR="00C4104D" w:rsidRPr="00865098" w:rsidRDefault="00C4104D" w:rsidP="005F2E4B">
            <w:pPr>
              <w:jc w:val="center"/>
              <w:rPr>
                <w:rFonts w:eastAsia="Calibri" w:cs="Arial"/>
                <w:bCs/>
                <w:sz w:val="20"/>
                <w:szCs w:val="20"/>
              </w:rPr>
            </w:pPr>
            <w:r w:rsidRPr="00865098">
              <w:rPr>
                <w:rFonts w:eastAsia="Calibri" w:cs="Arial"/>
                <w:bCs/>
                <w:sz w:val="20"/>
                <w:szCs w:val="20"/>
              </w:rPr>
              <w:t>2022</w:t>
            </w:r>
          </w:p>
        </w:tc>
        <w:tc>
          <w:tcPr>
            <w:tcW w:w="2020" w:type="dxa"/>
            <w:tcBorders>
              <w:top w:val="nil"/>
              <w:left w:val="nil"/>
              <w:bottom w:val="single" w:sz="4" w:space="0" w:color="auto"/>
              <w:right w:val="single" w:sz="4" w:space="0" w:color="auto"/>
            </w:tcBorders>
            <w:shd w:val="clear" w:color="auto" w:fill="auto"/>
            <w:vAlign w:val="center"/>
          </w:tcPr>
          <w:p w14:paraId="08DF8B12" w14:textId="77777777" w:rsidR="00C4104D" w:rsidRPr="00865098" w:rsidRDefault="00C4104D" w:rsidP="005F2E4B">
            <w:pPr>
              <w:spacing w:line="256" w:lineRule="auto"/>
              <w:jc w:val="center"/>
              <w:rPr>
                <w:rFonts w:cs="Arial"/>
                <w:bCs/>
                <w:sz w:val="20"/>
                <w:szCs w:val="20"/>
                <w:highlight w:val="yellow"/>
              </w:rPr>
            </w:pPr>
            <w:r w:rsidRPr="00865098">
              <w:rPr>
                <w:rFonts w:eastAsia="Calibri"/>
                <w:bCs/>
                <w:sz w:val="20"/>
                <w:szCs w:val="20"/>
              </w:rPr>
              <w:t>86,10</w:t>
            </w:r>
          </w:p>
        </w:tc>
        <w:tc>
          <w:tcPr>
            <w:tcW w:w="2738" w:type="dxa"/>
            <w:tcBorders>
              <w:top w:val="nil"/>
              <w:left w:val="nil"/>
              <w:bottom w:val="single" w:sz="4" w:space="0" w:color="auto"/>
              <w:right w:val="single" w:sz="4" w:space="0" w:color="auto"/>
            </w:tcBorders>
            <w:shd w:val="clear" w:color="auto" w:fill="auto"/>
            <w:vAlign w:val="center"/>
          </w:tcPr>
          <w:p w14:paraId="02E6F73A" w14:textId="77777777" w:rsidR="00C4104D" w:rsidRPr="00865098" w:rsidRDefault="00C4104D" w:rsidP="005F2E4B">
            <w:pPr>
              <w:spacing w:line="256" w:lineRule="auto"/>
              <w:jc w:val="center"/>
              <w:rPr>
                <w:rFonts w:cs="Arial"/>
                <w:bCs/>
                <w:sz w:val="20"/>
                <w:szCs w:val="20"/>
                <w:highlight w:val="yellow"/>
              </w:rPr>
            </w:pPr>
            <w:r w:rsidRPr="00865098">
              <w:rPr>
                <w:rFonts w:eastAsia="Calibri"/>
                <w:bCs/>
                <w:sz w:val="20"/>
                <w:szCs w:val="20"/>
              </w:rPr>
              <w:t>48,89</w:t>
            </w:r>
          </w:p>
        </w:tc>
        <w:tc>
          <w:tcPr>
            <w:tcW w:w="2551" w:type="dxa"/>
            <w:tcBorders>
              <w:top w:val="nil"/>
              <w:left w:val="nil"/>
              <w:bottom w:val="single" w:sz="4" w:space="0" w:color="auto"/>
              <w:right w:val="single" w:sz="12" w:space="0" w:color="auto"/>
            </w:tcBorders>
            <w:shd w:val="clear" w:color="auto" w:fill="auto"/>
            <w:vAlign w:val="center"/>
          </w:tcPr>
          <w:p w14:paraId="71A71CB2" w14:textId="77777777" w:rsidR="00C4104D" w:rsidRPr="00865098" w:rsidRDefault="00C4104D" w:rsidP="005F2E4B">
            <w:pPr>
              <w:spacing w:line="256" w:lineRule="auto"/>
              <w:jc w:val="center"/>
              <w:rPr>
                <w:rFonts w:cs="Arial"/>
                <w:bCs/>
                <w:sz w:val="20"/>
                <w:szCs w:val="20"/>
                <w:highlight w:val="yellow"/>
              </w:rPr>
            </w:pPr>
            <w:r w:rsidRPr="00865098">
              <w:rPr>
                <w:rFonts w:eastAsia="Calibri"/>
                <w:bCs/>
                <w:sz w:val="20"/>
                <w:szCs w:val="20"/>
              </w:rPr>
              <w:t>37,21</w:t>
            </w:r>
          </w:p>
        </w:tc>
      </w:tr>
      <w:tr w:rsidR="00C4104D" w:rsidRPr="00094DA0" w14:paraId="6816CBFE" w14:textId="77777777" w:rsidTr="005F2E4B">
        <w:trPr>
          <w:trHeight w:val="315"/>
        </w:trPr>
        <w:tc>
          <w:tcPr>
            <w:tcW w:w="960" w:type="dxa"/>
            <w:vMerge/>
            <w:tcBorders>
              <w:top w:val="nil"/>
              <w:left w:val="single" w:sz="12" w:space="0" w:color="auto"/>
              <w:bottom w:val="double" w:sz="6" w:space="0" w:color="000000"/>
              <w:right w:val="single" w:sz="4" w:space="0" w:color="auto"/>
            </w:tcBorders>
            <w:vAlign w:val="center"/>
          </w:tcPr>
          <w:p w14:paraId="5B570D07" w14:textId="77777777" w:rsidR="00C4104D" w:rsidRPr="00865098" w:rsidRDefault="00C4104D" w:rsidP="005F2E4B">
            <w:pPr>
              <w:rPr>
                <w:rFonts w:cs="Arial"/>
                <w:color w:val="000000"/>
                <w:sz w:val="20"/>
                <w:szCs w:val="20"/>
              </w:rPr>
            </w:pPr>
          </w:p>
        </w:tc>
        <w:tc>
          <w:tcPr>
            <w:tcW w:w="960" w:type="dxa"/>
            <w:tcBorders>
              <w:top w:val="nil"/>
              <w:left w:val="nil"/>
              <w:bottom w:val="double" w:sz="6" w:space="0" w:color="auto"/>
              <w:right w:val="single" w:sz="4" w:space="0" w:color="auto"/>
            </w:tcBorders>
            <w:shd w:val="clear" w:color="auto" w:fill="auto"/>
            <w:vAlign w:val="center"/>
          </w:tcPr>
          <w:p w14:paraId="359BA9CC" w14:textId="77777777" w:rsidR="00C4104D" w:rsidRPr="00865098" w:rsidRDefault="00C4104D" w:rsidP="005F2E4B">
            <w:pPr>
              <w:jc w:val="center"/>
              <w:rPr>
                <w:rFonts w:eastAsia="Calibri" w:cs="Arial"/>
                <w:bCs/>
                <w:sz w:val="20"/>
                <w:szCs w:val="20"/>
              </w:rPr>
            </w:pPr>
            <w:r w:rsidRPr="00865098">
              <w:rPr>
                <w:rFonts w:eastAsia="Calibri" w:cs="Arial"/>
                <w:bCs/>
                <w:sz w:val="20"/>
                <w:szCs w:val="20"/>
              </w:rPr>
              <w:t>2023</w:t>
            </w:r>
          </w:p>
        </w:tc>
        <w:tc>
          <w:tcPr>
            <w:tcW w:w="2020" w:type="dxa"/>
            <w:tcBorders>
              <w:top w:val="nil"/>
              <w:left w:val="nil"/>
              <w:bottom w:val="double" w:sz="6" w:space="0" w:color="auto"/>
              <w:right w:val="single" w:sz="4" w:space="0" w:color="auto"/>
            </w:tcBorders>
            <w:shd w:val="clear" w:color="auto" w:fill="auto"/>
            <w:vAlign w:val="center"/>
          </w:tcPr>
          <w:p w14:paraId="2FCDD24C" w14:textId="77777777" w:rsidR="00C4104D" w:rsidRPr="00865098" w:rsidRDefault="00C4104D" w:rsidP="005F2E4B">
            <w:pPr>
              <w:spacing w:line="256" w:lineRule="auto"/>
              <w:jc w:val="center"/>
              <w:rPr>
                <w:rFonts w:eastAsia="Calibri" w:cs="Arial"/>
                <w:bCs/>
                <w:sz w:val="20"/>
                <w:szCs w:val="20"/>
                <w:highlight w:val="yellow"/>
              </w:rPr>
            </w:pPr>
            <w:r w:rsidRPr="00865098">
              <w:rPr>
                <w:rFonts w:eastAsia="Calibri"/>
                <w:bCs/>
                <w:sz w:val="20"/>
                <w:szCs w:val="20"/>
              </w:rPr>
              <w:t>78,04</w:t>
            </w:r>
          </w:p>
        </w:tc>
        <w:tc>
          <w:tcPr>
            <w:tcW w:w="2738" w:type="dxa"/>
            <w:tcBorders>
              <w:top w:val="nil"/>
              <w:left w:val="nil"/>
              <w:bottom w:val="double" w:sz="6" w:space="0" w:color="auto"/>
              <w:right w:val="single" w:sz="4" w:space="0" w:color="auto"/>
            </w:tcBorders>
            <w:shd w:val="clear" w:color="auto" w:fill="auto"/>
            <w:vAlign w:val="center"/>
          </w:tcPr>
          <w:p w14:paraId="060989A0" w14:textId="77777777" w:rsidR="00C4104D" w:rsidRPr="00865098" w:rsidRDefault="00C4104D" w:rsidP="005F2E4B">
            <w:pPr>
              <w:spacing w:line="256" w:lineRule="auto"/>
              <w:jc w:val="center"/>
              <w:rPr>
                <w:rFonts w:eastAsia="Calibri" w:cs="Arial"/>
                <w:bCs/>
                <w:sz w:val="20"/>
                <w:szCs w:val="20"/>
                <w:highlight w:val="yellow"/>
              </w:rPr>
            </w:pPr>
            <w:r w:rsidRPr="00865098">
              <w:rPr>
                <w:rFonts w:eastAsia="Calibri"/>
                <w:bCs/>
                <w:sz w:val="20"/>
                <w:szCs w:val="20"/>
              </w:rPr>
              <w:t>40,06</w:t>
            </w:r>
          </w:p>
        </w:tc>
        <w:tc>
          <w:tcPr>
            <w:tcW w:w="2551" w:type="dxa"/>
            <w:tcBorders>
              <w:top w:val="nil"/>
              <w:left w:val="nil"/>
              <w:bottom w:val="double" w:sz="6" w:space="0" w:color="auto"/>
              <w:right w:val="single" w:sz="12" w:space="0" w:color="auto"/>
            </w:tcBorders>
            <w:shd w:val="clear" w:color="auto" w:fill="auto"/>
            <w:vAlign w:val="center"/>
          </w:tcPr>
          <w:p w14:paraId="36F174B3" w14:textId="77777777" w:rsidR="00C4104D" w:rsidRPr="00865098" w:rsidRDefault="00C4104D" w:rsidP="005F2E4B">
            <w:pPr>
              <w:spacing w:line="256" w:lineRule="auto"/>
              <w:jc w:val="center"/>
              <w:rPr>
                <w:rFonts w:eastAsia="Calibri" w:cs="Arial"/>
                <w:bCs/>
                <w:sz w:val="20"/>
                <w:szCs w:val="20"/>
                <w:highlight w:val="yellow"/>
              </w:rPr>
            </w:pPr>
            <w:r w:rsidRPr="00865098">
              <w:rPr>
                <w:rFonts w:eastAsia="Calibri"/>
                <w:bCs/>
                <w:sz w:val="20"/>
                <w:szCs w:val="20"/>
              </w:rPr>
              <w:t>37,98</w:t>
            </w:r>
          </w:p>
        </w:tc>
      </w:tr>
      <w:tr w:rsidR="00C4104D" w:rsidRPr="00094DA0" w14:paraId="0AD303F7" w14:textId="77777777" w:rsidTr="005F2E4B">
        <w:trPr>
          <w:trHeight w:val="315"/>
        </w:trPr>
        <w:tc>
          <w:tcPr>
            <w:tcW w:w="960" w:type="dxa"/>
            <w:vMerge w:val="restart"/>
            <w:tcBorders>
              <w:top w:val="nil"/>
              <w:left w:val="single" w:sz="12" w:space="0" w:color="auto"/>
              <w:bottom w:val="double" w:sz="6" w:space="0" w:color="000000"/>
              <w:right w:val="single" w:sz="4" w:space="0" w:color="auto"/>
            </w:tcBorders>
            <w:shd w:val="clear" w:color="auto" w:fill="auto"/>
            <w:vAlign w:val="center"/>
            <w:hideMark/>
          </w:tcPr>
          <w:p w14:paraId="4D9CCEBA" w14:textId="77777777" w:rsidR="00C4104D" w:rsidRPr="00477E18" w:rsidRDefault="00C4104D" w:rsidP="005F2E4B">
            <w:pPr>
              <w:rPr>
                <w:rFonts w:cs="Arial"/>
                <w:color w:val="000000"/>
                <w:sz w:val="20"/>
                <w:szCs w:val="20"/>
                <w:highlight w:val="yellow"/>
              </w:rPr>
            </w:pPr>
            <w:r w:rsidRPr="00A271C0">
              <w:rPr>
                <w:rFonts w:cs="Arial"/>
                <w:color w:val="000000"/>
                <w:sz w:val="20"/>
                <w:szCs w:val="20"/>
              </w:rPr>
              <w:t>NM</w:t>
            </w:r>
          </w:p>
        </w:tc>
        <w:tc>
          <w:tcPr>
            <w:tcW w:w="960" w:type="dxa"/>
            <w:tcBorders>
              <w:top w:val="nil"/>
              <w:left w:val="nil"/>
              <w:bottom w:val="single" w:sz="4" w:space="0" w:color="auto"/>
              <w:right w:val="single" w:sz="4" w:space="0" w:color="auto"/>
            </w:tcBorders>
            <w:shd w:val="clear" w:color="auto" w:fill="auto"/>
            <w:vAlign w:val="center"/>
            <w:hideMark/>
          </w:tcPr>
          <w:p w14:paraId="13B38E4A" w14:textId="77777777" w:rsidR="00C4104D" w:rsidRPr="00A271C0" w:rsidRDefault="00C4104D" w:rsidP="005F2E4B">
            <w:pPr>
              <w:jc w:val="center"/>
              <w:rPr>
                <w:rFonts w:eastAsia="Calibri" w:cs="Arial"/>
                <w:bCs/>
                <w:sz w:val="20"/>
                <w:szCs w:val="20"/>
              </w:rPr>
            </w:pPr>
            <w:r w:rsidRPr="00A271C0">
              <w:rPr>
                <w:rFonts w:eastAsia="Calibri" w:cs="Arial"/>
                <w:bCs/>
                <w:sz w:val="20"/>
                <w:szCs w:val="20"/>
              </w:rPr>
              <w:t>2022</w:t>
            </w:r>
          </w:p>
        </w:tc>
        <w:tc>
          <w:tcPr>
            <w:tcW w:w="2020" w:type="dxa"/>
            <w:tcBorders>
              <w:top w:val="nil"/>
              <w:left w:val="nil"/>
              <w:bottom w:val="single" w:sz="4" w:space="0" w:color="auto"/>
              <w:right w:val="single" w:sz="4" w:space="0" w:color="auto"/>
            </w:tcBorders>
            <w:shd w:val="clear" w:color="auto" w:fill="auto"/>
            <w:vAlign w:val="center"/>
          </w:tcPr>
          <w:p w14:paraId="6A6662C1" w14:textId="77777777" w:rsidR="00C4104D" w:rsidRPr="00A271C0" w:rsidRDefault="00C4104D" w:rsidP="005F2E4B">
            <w:pPr>
              <w:spacing w:line="256" w:lineRule="auto"/>
              <w:jc w:val="center"/>
              <w:rPr>
                <w:rFonts w:cs="Arial"/>
                <w:bCs/>
                <w:sz w:val="20"/>
                <w:szCs w:val="20"/>
              </w:rPr>
            </w:pPr>
            <w:r w:rsidRPr="00A271C0">
              <w:rPr>
                <w:rFonts w:cs="Arial"/>
                <w:bCs/>
                <w:sz w:val="20"/>
                <w:szCs w:val="20"/>
              </w:rPr>
              <w:t>19</w:t>
            </w:r>
          </w:p>
        </w:tc>
        <w:tc>
          <w:tcPr>
            <w:tcW w:w="2738" w:type="dxa"/>
            <w:tcBorders>
              <w:top w:val="nil"/>
              <w:left w:val="nil"/>
              <w:bottom w:val="single" w:sz="4" w:space="0" w:color="auto"/>
              <w:right w:val="single" w:sz="4" w:space="0" w:color="auto"/>
            </w:tcBorders>
            <w:shd w:val="clear" w:color="auto" w:fill="auto"/>
            <w:vAlign w:val="center"/>
          </w:tcPr>
          <w:p w14:paraId="74E776F4" w14:textId="77777777" w:rsidR="00C4104D" w:rsidRPr="00A271C0" w:rsidRDefault="00C4104D" w:rsidP="005F2E4B">
            <w:pPr>
              <w:spacing w:line="256" w:lineRule="auto"/>
              <w:jc w:val="center"/>
              <w:rPr>
                <w:rFonts w:cs="Arial"/>
                <w:bCs/>
                <w:sz w:val="20"/>
                <w:szCs w:val="20"/>
              </w:rPr>
            </w:pPr>
            <w:r w:rsidRPr="00A271C0">
              <w:rPr>
                <w:rFonts w:cs="Arial"/>
                <w:bCs/>
                <w:sz w:val="20"/>
                <w:szCs w:val="20"/>
              </w:rPr>
              <w:t>15</w:t>
            </w:r>
          </w:p>
        </w:tc>
        <w:tc>
          <w:tcPr>
            <w:tcW w:w="2551" w:type="dxa"/>
            <w:tcBorders>
              <w:top w:val="nil"/>
              <w:left w:val="nil"/>
              <w:bottom w:val="single" w:sz="4" w:space="0" w:color="auto"/>
              <w:right w:val="single" w:sz="12" w:space="0" w:color="auto"/>
            </w:tcBorders>
            <w:shd w:val="clear" w:color="auto" w:fill="auto"/>
            <w:vAlign w:val="center"/>
          </w:tcPr>
          <w:p w14:paraId="6ECB5D9B" w14:textId="77777777" w:rsidR="00C4104D" w:rsidRPr="00A271C0" w:rsidRDefault="00C4104D" w:rsidP="005F2E4B">
            <w:pPr>
              <w:spacing w:line="256" w:lineRule="auto"/>
              <w:jc w:val="center"/>
              <w:rPr>
                <w:rFonts w:cs="Arial"/>
                <w:bCs/>
                <w:sz w:val="20"/>
                <w:szCs w:val="20"/>
              </w:rPr>
            </w:pPr>
            <w:r w:rsidRPr="00A271C0">
              <w:rPr>
                <w:rFonts w:cs="Arial"/>
                <w:bCs/>
                <w:sz w:val="20"/>
                <w:szCs w:val="20"/>
              </w:rPr>
              <w:t>4</w:t>
            </w:r>
          </w:p>
        </w:tc>
      </w:tr>
      <w:tr w:rsidR="00C4104D" w:rsidRPr="00094DA0" w14:paraId="0F40539E" w14:textId="77777777" w:rsidTr="005F2E4B">
        <w:trPr>
          <w:trHeight w:val="315"/>
        </w:trPr>
        <w:tc>
          <w:tcPr>
            <w:tcW w:w="960" w:type="dxa"/>
            <w:vMerge/>
            <w:tcBorders>
              <w:top w:val="nil"/>
              <w:left w:val="single" w:sz="12" w:space="0" w:color="auto"/>
              <w:bottom w:val="double" w:sz="6" w:space="0" w:color="000000"/>
              <w:right w:val="single" w:sz="4" w:space="0" w:color="auto"/>
            </w:tcBorders>
            <w:vAlign w:val="center"/>
            <w:hideMark/>
          </w:tcPr>
          <w:p w14:paraId="5C4BC98F" w14:textId="77777777" w:rsidR="00C4104D" w:rsidRPr="00477E18" w:rsidRDefault="00C4104D" w:rsidP="005F2E4B">
            <w:pPr>
              <w:rPr>
                <w:rFonts w:cs="Arial"/>
                <w:color w:val="000000"/>
                <w:sz w:val="20"/>
                <w:szCs w:val="20"/>
                <w:highlight w:val="yellow"/>
              </w:rPr>
            </w:pPr>
          </w:p>
        </w:tc>
        <w:tc>
          <w:tcPr>
            <w:tcW w:w="960" w:type="dxa"/>
            <w:tcBorders>
              <w:top w:val="nil"/>
              <w:left w:val="nil"/>
              <w:bottom w:val="double" w:sz="6" w:space="0" w:color="auto"/>
              <w:right w:val="single" w:sz="4" w:space="0" w:color="auto"/>
            </w:tcBorders>
            <w:shd w:val="clear" w:color="auto" w:fill="auto"/>
            <w:vAlign w:val="center"/>
            <w:hideMark/>
          </w:tcPr>
          <w:p w14:paraId="628060F1" w14:textId="77777777" w:rsidR="00C4104D" w:rsidRPr="00A271C0" w:rsidRDefault="00C4104D" w:rsidP="005F2E4B">
            <w:pPr>
              <w:jc w:val="center"/>
              <w:rPr>
                <w:rFonts w:eastAsia="Calibri" w:cs="Arial"/>
                <w:bCs/>
                <w:sz w:val="20"/>
                <w:szCs w:val="20"/>
              </w:rPr>
            </w:pPr>
            <w:r w:rsidRPr="00A271C0">
              <w:rPr>
                <w:rFonts w:eastAsia="Calibri" w:cs="Arial"/>
                <w:bCs/>
                <w:sz w:val="20"/>
                <w:szCs w:val="20"/>
              </w:rPr>
              <w:t>2023</w:t>
            </w:r>
          </w:p>
        </w:tc>
        <w:tc>
          <w:tcPr>
            <w:tcW w:w="2020" w:type="dxa"/>
            <w:tcBorders>
              <w:top w:val="nil"/>
              <w:left w:val="nil"/>
              <w:bottom w:val="double" w:sz="6" w:space="0" w:color="auto"/>
              <w:right w:val="single" w:sz="4" w:space="0" w:color="auto"/>
            </w:tcBorders>
            <w:shd w:val="clear" w:color="auto" w:fill="auto"/>
            <w:vAlign w:val="center"/>
          </w:tcPr>
          <w:p w14:paraId="7213F043" w14:textId="77777777" w:rsidR="00C4104D" w:rsidRPr="00A271C0" w:rsidRDefault="00C4104D" w:rsidP="005F2E4B">
            <w:pPr>
              <w:spacing w:line="256" w:lineRule="auto"/>
              <w:jc w:val="center"/>
              <w:rPr>
                <w:rFonts w:cs="Arial"/>
                <w:bCs/>
                <w:sz w:val="20"/>
                <w:szCs w:val="20"/>
              </w:rPr>
            </w:pPr>
            <w:r w:rsidRPr="00A271C0">
              <w:rPr>
                <w:rFonts w:cs="Arial"/>
                <w:bCs/>
                <w:sz w:val="20"/>
                <w:szCs w:val="20"/>
              </w:rPr>
              <w:t>18</w:t>
            </w:r>
          </w:p>
        </w:tc>
        <w:tc>
          <w:tcPr>
            <w:tcW w:w="2738" w:type="dxa"/>
            <w:tcBorders>
              <w:top w:val="nil"/>
              <w:left w:val="nil"/>
              <w:bottom w:val="double" w:sz="6" w:space="0" w:color="auto"/>
              <w:right w:val="single" w:sz="4" w:space="0" w:color="auto"/>
            </w:tcBorders>
            <w:shd w:val="clear" w:color="auto" w:fill="auto"/>
            <w:vAlign w:val="center"/>
          </w:tcPr>
          <w:p w14:paraId="01F53E11" w14:textId="77777777" w:rsidR="00C4104D" w:rsidRPr="00A271C0" w:rsidRDefault="00C4104D" w:rsidP="005F2E4B">
            <w:pPr>
              <w:spacing w:line="256" w:lineRule="auto"/>
              <w:jc w:val="center"/>
              <w:rPr>
                <w:rFonts w:cs="Arial"/>
                <w:bCs/>
                <w:sz w:val="20"/>
                <w:szCs w:val="20"/>
              </w:rPr>
            </w:pPr>
            <w:r w:rsidRPr="00A271C0">
              <w:rPr>
                <w:rFonts w:cs="Arial"/>
                <w:bCs/>
                <w:sz w:val="20"/>
                <w:szCs w:val="20"/>
              </w:rPr>
              <w:t>14</w:t>
            </w:r>
          </w:p>
        </w:tc>
        <w:tc>
          <w:tcPr>
            <w:tcW w:w="2551" w:type="dxa"/>
            <w:tcBorders>
              <w:top w:val="nil"/>
              <w:left w:val="nil"/>
              <w:bottom w:val="double" w:sz="6" w:space="0" w:color="auto"/>
              <w:right w:val="single" w:sz="12" w:space="0" w:color="auto"/>
            </w:tcBorders>
            <w:shd w:val="clear" w:color="auto" w:fill="auto"/>
            <w:vAlign w:val="center"/>
          </w:tcPr>
          <w:p w14:paraId="385AD23E" w14:textId="77777777" w:rsidR="00C4104D" w:rsidRPr="00A271C0" w:rsidRDefault="00C4104D" w:rsidP="005F2E4B">
            <w:pPr>
              <w:spacing w:line="256" w:lineRule="auto"/>
              <w:jc w:val="center"/>
              <w:rPr>
                <w:rFonts w:cs="Arial"/>
                <w:bCs/>
                <w:sz w:val="20"/>
                <w:szCs w:val="20"/>
              </w:rPr>
            </w:pPr>
            <w:r w:rsidRPr="00A271C0">
              <w:rPr>
                <w:rFonts w:cs="Arial"/>
                <w:bCs/>
                <w:sz w:val="20"/>
                <w:szCs w:val="20"/>
              </w:rPr>
              <w:t>4</w:t>
            </w:r>
          </w:p>
        </w:tc>
      </w:tr>
      <w:tr w:rsidR="00C4104D" w:rsidRPr="00094DA0" w14:paraId="23CF8456" w14:textId="77777777" w:rsidTr="005F2E4B">
        <w:trPr>
          <w:trHeight w:val="315"/>
        </w:trPr>
        <w:tc>
          <w:tcPr>
            <w:tcW w:w="960" w:type="dxa"/>
            <w:vMerge w:val="restart"/>
            <w:tcBorders>
              <w:top w:val="nil"/>
              <w:left w:val="single" w:sz="12" w:space="0" w:color="auto"/>
              <w:bottom w:val="double" w:sz="6" w:space="0" w:color="000000"/>
              <w:right w:val="single" w:sz="4" w:space="0" w:color="auto"/>
            </w:tcBorders>
            <w:shd w:val="clear" w:color="auto" w:fill="auto"/>
            <w:vAlign w:val="center"/>
            <w:hideMark/>
          </w:tcPr>
          <w:p w14:paraId="31D49CA1" w14:textId="77777777" w:rsidR="00C4104D" w:rsidRPr="00477E18" w:rsidRDefault="00C4104D" w:rsidP="005F2E4B">
            <w:pPr>
              <w:rPr>
                <w:rFonts w:cs="Arial"/>
                <w:color w:val="000000"/>
                <w:sz w:val="20"/>
                <w:szCs w:val="20"/>
                <w:highlight w:val="yellow"/>
              </w:rPr>
            </w:pPr>
            <w:r w:rsidRPr="00D472D2">
              <w:rPr>
                <w:rFonts w:cs="Arial"/>
                <w:color w:val="000000"/>
                <w:sz w:val="20"/>
                <w:szCs w:val="20"/>
              </w:rPr>
              <w:t>MZM</w:t>
            </w:r>
          </w:p>
        </w:tc>
        <w:tc>
          <w:tcPr>
            <w:tcW w:w="960" w:type="dxa"/>
            <w:tcBorders>
              <w:top w:val="nil"/>
              <w:left w:val="nil"/>
              <w:bottom w:val="single" w:sz="4" w:space="0" w:color="auto"/>
              <w:right w:val="single" w:sz="4" w:space="0" w:color="auto"/>
            </w:tcBorders>
            <w:shd w:val="clear" w:color="auto" w:fill="auto"/>
            <w:vAlign w:val="center"/>
            <w:hideMark/>
          </w:tcPr>
          <w:p w14:paraId="4489AA39" w14:textId="77777777" w:rsidR="00C4104D" w:rsidRPr="00D472D2" w:rsidRDefault="00C4104D" w:rsidP="005F2E4B">
            <w:pPr>
              <w:jc w:val="center"/>
              <w:rPr>
                <w:rFonts w:eastAsia="Calibri" w:cs="Arial"/>
                <w:bCs/>
                <w:sz w:val="20"/>
                <w:szCs w:val="20"/>
              </w:rPr>
            </w:pPr>
            <w:r w:rsidRPr="00D472D2">
              <w:rPr>
                <w:rFonts w:eastAsia="Calibri" w:cs="Arial"/>
                <w:bCs/>
                <w:sz w:val="20"/>
                <w:szCs w:val="20"/>
              </w:rPr>
              <w:t>2022</w:t>
            </w:r>
          </w:p>
        </w:tc>
        <w:tc>
          <w:tcPr>
            <w:tcW w:w="2020" w:type="dxa"/>
            <w:tcBorders>
              <w:top w:val="nil"/>
              <w:left w:val="nil"/>
              <w:bottom w:val="single" w:sz="4" w:space="0" w:color="auto"/>
              <w:right w:val="single" w:sz="4" w:space="0" w:color="auto"/>
            </w:tcBorders>
            <w:shd w:val="clear" w:color="auto" w:fill="auto"/>
            <w:vAlign w:val="center"/>
          </w:tcPr>
          <w:p w14:paraId="70542F76" w14:textId="77777777" w:rsidR="00C4104D" w:rsidRPr="00D472D2" w:rsidRDefault="00C4104D" w:rsidP="005F2E4B">
            <w:pPr>
              <w:spacing w:line="256" w:lineRule="auto"/>
              <w:jc w:val="center"/>
              <w:rPr>
                <w:rFonts w:cs="Arial"/>
                <w:bCs/>
                <w:sz w:val="20"/>
                <w:szCs w:val="20"/>
              </w:rPr>
            </w:pPr>
            <w:r w:rsidRPr="00D472D2">
              <w:rPr>
                <w:rFonts w:cs="Arial"/>
                <w:bCs/>
                <w:sz w:val="20"/>
                <w:szCs w:val="20"/>
              </w:rPr>
              <w:t>25</w:t>
            </w:r>
          </w:p>
        </w:tc>
        <w:tc>
          <w:tcPr>
            <w:tcW w:w="2738" w:type="dxa"/>
            <w:tcBorders>
              <w:top w:val="nil"/>
              <w:left w:val="nil"/>
              <w:bottom w:val="single" w:sz="4" w:space="0" w:color="auto"/>
              <w:right w:val="single" w:sz="4" w:space="0" w:color="auto"/>
            </w:tcBorders>
            <w:shd w:val="clear" w:color="auto" w:fill="auto"/>
            <w:vAlign w:val="center"/>
          </w:tcPr>
          <w:p w14:paraId="68ADAB24" w14:textId="77777777" w:rsidR="00C4104D" w:rsidRPr="00D472D2" w:rsidRDefault="00C4104D" w:rsidP="005F2E4B">
            <w:pPr>
              <w:spacing w:line="256" w:lineRule="auto"/>
              <w:jc w:val="center"/>
              <w:rPr>
                <w:rFonts w:cs="Arial"/>
                <w:bCs/>
                <w:sz w:val="20"/>
                <w:szCs w:val="20"/>
              </w:rPr>
            </w:pPr>
            <w:r w:rsidRPr="00D472D2">
              <w:rPr>
                <w:rFonts w:cs="Arial"/>
                <w:bCs/>
                <w:sz w:val="20"/>
                <w:szCs w:val="20"/>
              </w:rPr>
              <w:t>11</w:t>
            </w:r>
          </w:p>
        </w:tc>
        <w:tc>
          <w:tcPr>
            <w:tcW w:w="2551" w:type="dxa"/>
            <w:tcBorders>
              <w:top w:val="nil"/>
              <w:left w:val="nil"/>
              <w:bottom w:val="single" w:sz="4" w:space="0" w:color="auto"/>
              <w:right w:val="single" w:sz="12" w:space="0" w:color="auto"/>
            </w:tcBorders>
            <w:shd w:val="clear" w:color="auto" w:fill="auto"/>
            <w:vAlign w:val="center"/>
          </w:tcPr>
          <w:p w14:paraId="698B65DB" w14:textId="77777777" w:rsidR="00C4104D" w:rsidRPr="00D472D2" w:rsidRDefault="00C4104D" w:rsidP="005F2E4B">
            <w:pPr>
              <w:spacing w:line="256" w:lineRule="auto"/>
              <w:jc w:val="center"/>
              <w:rPr>
                <w:rFonts w:cs="Arial"/>
                <w:bCs/>
                <w:sz w:val="20"/>
                <w:szCs w:val="20"/>
              </w:rPr>
            </w:pPr>
            <w:r w:rsidRPr="00D472D2">
              <w:rPr>
                <w:rFonts w:cs="Arial"/>
                <w:bCs/>
                <w:sz w:val="20"/>
                <w:szCs w:val="20"/>
              </w:rPr>
              <w:t>14</w:t>
            </w:r>
          </w:p>
        </w:tc>
      </w:tr>
      <w:tr w:rsidR="00C4104D" w:rsidRPr="00094DA0" w14:paraId="37F0A0F0" w14:textId="77777777" w:rsidTr="005F2E4B">
        <w:trPr>
          <w:trHeight w:val="315"/>
        </w:trPr>
        <w:tc>
          <w:tcPr>
            <w:tcW w:w="960" w:type="dxa"/>
            <w:vMerge/>
            <w:tcBorders>
              <w:top w:val="nil"/>
              <w:left w:val="single" w:sz="12" w:space="0" w:color="auto"/>
              <w:bottom w:val="double" w:sz="6" w:space="0" w:color="000000"/>
              <w:right w:val="single" w:sz="4" w:space="0" w:color="auto"/>
            </w:tcBorders>
            <w:vAlign w:val="center"/>
            <w:hideMark/>
          </w:tcPr>
          <w:p w14:paraId="6B14A1CB" w14:textId="77777777" w:rsidR="00C4104D" w:rsidRPr="00477E18" w:rsidRDefault="00C4104D" w:rsidP="005F2E4B">
            <w:pPr>
              <w:rPr>
                <w:rFonts w:cs="Arial"/>
                <w:color w:val="000000"/>
                <w:sz w:val="20"/>
                <w:szCs w:val="20"/>
                <w:highlight w:val="yellow"/>
              </w:rPr>
            </w:pPr>
          </w:p>
        </w:tc>
        <w:tc>
          <w:tcPr>
            <w:tcW w:w="960" w:type="dxa"/>
            <w:tcBorders>
              <w:top w:val="nil"/>
              <w:left w:val="nil"/>
              <w:bottom w:val="double" w:sz="6" w:space="0" w:color="auto"/>
              <w:right w:val="single" w:sz="4" w:space="0" w:color="auto"/>
            </w:tcBorders>
            <w:shd w:val="clear" w:color="auto" w:fill="auto"/>
            <w:vAlign w:val="center"/>
            <w:hideMark/>
          </w:tcPr>
          <w:p w14:paraId="118FDEB0" w14:textId="77777777" w:rsidR="00C4104D" w:rsidRPr="00D472D2" w:rsidRDefault="00C4104D" w:rsidP="005F2E4B">
            <w:pPr>
              <w:jc w:val="center"/>
              <w:rPr>
                <w:rFonts w:eastAsia="Calibri" w:cs="Arial"/>
                <w:bCs/>
                <w:sz w:val="20"/>
                <w:szCs w:val="20"/>
              </w:rPr>
            </w:pPr>
            <w:r w:rsidRPr="00D472D2">
              <w:rPr>
                <w:rFonts w:eastAsia="Calibri" w:cs="Arial"/>
                <w:bCs/>
                <w:sz w:val="20"/>
                <w:szCs w:val="20"/>
              </w:rPr>
              <w:t>2023</w:t>
            </w:r>
          </w:p>
        </w:tc>
        <w:tc>
          <w:tcPr>
            <w:tcW w:w="2020" w:type="dxa"/>
            <w:tcBorders>
              <w:top w:val="nil"/>
              <w:left w:val="nil"/>
              <w:bottom w:val="double" w:sz="6" w:space="0" w:color="auto"/>
              <w:right w:val="single" w:sz="4" w:space="0" w:color="auto"/>
            </w:tcBorders>
            <w:shd w:val="clear" w:color="auto" w:fill="auto"/>
            <w:vAlign w:val="center"/>
          </w:tcPr>
          <w:p w14:paraId="575EB5D1" w14:textId="77777777" w:rsidR="00C4104D" w:rsidRPr="00D472D2" w:rsidRDefault="00C4104D" w:rsidP="005F2E4B">
            <w:pPr>
              <w:spacing w:line="256" w:lineRule="auto"/>
              <w:jc w:val="center"/>
              <w:rPr>
                <w:rFonts w:cs="Arial"/>
                <w:bCs/>
                <w:sz w:val="20"/>
                <w:szCs w:val="20"/>
              </w:rPr>
            </w:pPr>
            <w:r w:rsidRPr="00D472D2">
              <w:rPr>
                <w:rFonts w:cs="Arial"/>
                <w:bCs/>
                <w:sz w:val="20"/>
                <w:szCs w:val="20"/>
              </w:rPr>
              <w:t>25</w:t>
            </w:r>
          </w:p>
        </w:tc>
        <w:tc>
          <w:tcPr>
            <w:tcW w:w="2738" w:type="dxa"/>
            <w:tcBorders>
              <w:top w:val="nil"/>
              <w:left w:val="nil"/>
              <w:bottom w:val="double" w:sz="6" w:space="0" w:color="auto"/>
              <w:right w:val="single" w:sz="4" w:space="0" w:color="auto"/>
            </w:tcBorders>
            <w:shd w:val="clear" w:color="auto" w:fill="auto"/>
            <w:vAlign w:val="center"/>
          </w:tcPr>
          <w:p w14:paraId="6771EF63" w14:textId="77777777" w:rsidR="00C4104D" w:rsidRPr="00D472D2" w:rsidRDefault="00C4104D" w:rsidP="005F2E4B">
            <w:pPr>
              <w:spacing w:line="256" w:lineRule="auto"/>
              <w:jc w:val="center"/>
              <w:rPr>
                <w:rFonts w:cs="Arial"/>
                <w:bCs/>
                <w:sz w:val="20"/>
                <w:szCs w:val="20"/>
              </w:rPr>
            </w:pPr>
            <w:r w:rsidRPr="00D472D2">
              <w:rPr>
                <w:rFonts w:cs="Arial"/>
                <w:bCs/>
                <w:sz w:val="20"/>
                <w:szCs w:val="20"/>
              </w:rPr>
              <w:t>11</w:t>
            </w:r>
          </w:p>
        </w:tc>
        <w:tc>
          <w:tcPr>
            <w:tcW w:w="2551" w:type="dxa"/>
            <w:tcBorders>
              <w:top w:val="nil"/>
              <w:left w:val="nil"/>
              <w:bottom w:val="double" w:sz="6" w:space="0" w:color="auto"/>
              <w:right w:val="single" w:sz="12" w:space="0" w:color="auto"/>
            </w:tcBorders>
            <w:shd w:val="clear" w:color="auto" w:fill="auto"/>
            <w:vAlign w:val="center"/>
          </w:tcPr>
          <w:p w14:paraId="18F9885A" w14:textId="77777777" w:rsidR="00C4104D" w:rsidRPr="00D472D2" w:rsidRDefault="00C4104D" w:rsidP="005F2E4B">
            <w:pPr>
              <w:spacing w:line="256" w:lineRule="auto"/>
              <w:jc w:val="center"/>
              <w:rPr>
                <w:rFonts w:cs="Arial"/>
                <w:bCs/>
                <w:sz w:val="20"/>
                <w:szCs w:val="20"/>
              </w:rPr>
            </w:pPr>
            <w:r w:rsidRPr="00D472D2">
              <w:rPr>
                <w:rFonts w:cs="Arial"/>
                <w:bCs/>
                <w:sz w:val="20"/>
                <w:szCs w:val="20"/>
              </w:rPr>
              <w:t>14</w:t>
            </w:r>
          </w:p>
        </w:tc>
      </w:tr>
      <w:tr w:rsidR="00C4104D" w:rsidRPr="00094DA0" w14:paraId="7D4D769C" w14:textId="77777777" w:rsidTr="005F2E4B">
        <w:trPr>
          <w:trHeight w:val="315"/>
        </w:trPr>
        <w:tc>
          <w:tcPr>
            <w:tcW w:w="960" w:type="dxa"/>
            <w:vMerge w:val="restart"/>
            <w:tcBorders>
              <w:top w:val="nil"/>
              <w:left w:val="single" w:sz="12" w:space="0" w:color="auto"/>
              <w:right w:val="single" w:sz="4" w:space="0" w:color="auto"/>
            </w:tcBorders>
            <w:vAlign w:val="center"/>
          </w:tcPr>
          <w:p w14:paraId="255AF287" w14:textId="77777777" w:rsidR="00C4104D" w:rsidRPr="0051544F" w:rsidRDefault="00C4104D" w:rsidP="005F2E4B">
            <w:pPr>
              <w:rPr>
                <w:rFonts w:cs="Arial"/>
                <w:color w:val="000000"/>
                <w:sz w:val="20"/>
                <w:szCs w:val="20"/>
              </w:rPr>
            </w:pPr>
            <w:r w:rsidRPr="0051544F">
              <w:rPr>
                <w:rFonts w:cs="Arial"/>
                <w:color w:val="000000"/>
                <w:sz w:val="20"/>
                <w:szCs w:val="20"/>
              </w:rPr>
              <w:t>SZM</w:t>
            </w:r>
          </w:p>
        </w:tc>
        <w:tc>
          <w:tcPr>
            <w:tcW w:w="960" w:type="dxa"/>
            <w:tcBorders>
              <w:top w:val="nil"/>
              <w:left w:val="nil"/>
              <w:bottom w:val="single" w:sz="4" w:space="0" w:color="auto"/>
              <w:right w:val="single" w:sz="4" w:space="0" w:color="auto"/>
            </w:tcBorders>
            <w:shd w:val="clear" w:color="auto" w:fill="auto"/>
            <w:vAlign w:val="center"/>
          </w:tcPr>
          <w:p w14:paraId="2D16E8A1" w14:textId="77777777" w:rsidR="00C4104D" w:rsidRPr="00934108" w:rsidRDefault="00C4104D" w:rsidP="005F2E4B">
            <w:pPr>
              <w:jc w:val="center"/>
              <w:rPr>
                <w:rFonts w:eastAsia="Calibri" w:cs="Arial"/>
                <w:bCs/>
                <w:sz w:val="20"/>
                <w:szCs w:val="20"/>
              </w:rPr>
            </w:pPr>
            <w:r w:rsidRPr="00934108">
              <w:rPr>
                <w:rFonts w:eastAsia="Calibri" w:cs="Arial"/>
                <w:bCs/>
                <w:sz w:val="20"/>
                <w:szCs w:val="20"/>
              </w:rPr>
              <w:t>2022</w:t>
            </w:r>
          </w:p>
        </w:tc>
        <w:tc>
          <w:tcPr>
            <w:tcW w:w="2020" w:type="dxa"/>
            <w:tcBorders>
              <w:top w:val="nil"/>
              <w:left w:val="nil"/>
              <w:bottom w:val="single" w:sz="4" w:space="0" w:color="auto"/>
              <w:right w:val="single" w:sz="4" w:space="0" w:color="auto"/>
            </w:tcBorders>
            <w:shd w:val="clear" w:color="auto" w:fill="auto"/>
            <w:vAlign w:val="center"/>
          </w:tcPr>
          <w:p w14:paraId="62E73C2E" w14:textId="77777777" w:rsidR="00C4104D" w:rsidRPr="00934108" w:rsidRDefault="00C4104D" w:rsidP="005F2E4B">
            <w:pPr>
              <w:jc w:val="center"/>
              <w:rPr>
                <w:rFonts w:eastAsia="Calibri" w:cs="Arial"/>
                <w:bCs/>
                <w:sz w:val="20"/>
                <w:szCs w:val="20"/>
              </w:rPr>
            </w:pPr>
            <w:r w:rsidRPr="00934108">
              <w:rPr>
                <w:rFonts w:eastAsia="Calibri" w:cs="Arial"/>
                <w:bCs/>
                <w:sz w:val="20"/>
                <w:szCs w:val="20"/>
              </w:rPr>
              <w:t>3</w:t>
            </w:r>
          </w:p>
        </w:tc>
        <w:tc>
          <w:tcPr>
            <w:tcW w:w="2738" w:type="dxa"/>
            <w:tcBorders>
              <w:top w:val="nil"/>
              <w:left w:val="nil"/>
              <w:bottom w:val="single" w:sz="4" w:space="0" w:color="auto"/>
              <w:right w:val="single" w:sz="4" w:space="0" w:color="auto"/>
            </w:tcBorders>
            <w:shd w:val="clear" w:color="auto" w:fill="auto"/>
            <w:vAlign w:val="center"/>
          </w:tcPr>
          <w:p w14:paraId="5BFCACCA" w14:textId="77777777" w:rsidR="00C4104D" w:rsidRPr="00934108" w:rsidRDefault="00C4104D" w:rsidP="005F2E4B">
            <w:pPr>
              <w:jc w:val="center"/>
              <w:rPr>
                <w:rFonts w:eastAsia="Calibri" w:cs="Arial"/>
                <w:bCs/>
                <w:sz w:val="20"/>
                <w:szCs w:val="20"/>
              </w:rPr>
            </w:pPr>
            <w:r w:rsidRPr="00934108">
              <w:rPr>
                <w:rFonts w:eastAsia="Calibri" w:cs="Arial"/>
                <w:bCs/>
                <w:sz w:val="20"/>
                <w:szCs w:val="20"/>
              </w:rPr>
              <w:t>2</w:t>
            </w:r>
          </w:p>
        </w:tc>
        <w:tc>
          <w:tcPr>
            <w:tcW w:w="2551" w:type="dxa"/>
            <w:tcBorders>
              <w:top w:val="nil"/>
              <w:left w:val="nil"/>
              <w:bottom w:val="single" w:sz="4" w:space="0" w:color="auto"/>
              <w:right w:val="single" w:sz="12" w:space="0" w:color="auto"/>
            </w:tcBorders>
            <w:shd w:val="clear" w:color="auto" w:fill="auto"/>
            <w:vAlign w:val="center"/>
          </w:tcPr>
          <w:p w14:paraId="077DB9CC" w14:textId="77777777" w:rsidR="00C4104D" w:rsidRPr="00934108" w:rsidRDefault="00C4104D" w:rsidP="005F2E4B">
            <w:pPr>
              <w:jc w:val="center"/>
              <w:rPr>
                <w:rFonts w:eastAsia="Calibri" w:cs="Arial"/>
                <w:bCs/>
                <w:sz w:val="20"/>
                <w:szCs w:val="20"/>
              </w:rPr>
            </w:pPr>
            <w:r w:rsidRPr="00934108">
              <w:rPr>
                <w:rFonts w:eastAsia="Calibri" w:cs="Arial"/>
                <w:bCs/>
                <w:sz w:val="20"/>
                <w:szCs w:val="20"/>
              </w:rPr>
              <w:t>1</w:t>
            </w:r>
          </w:p>
        </w:tc>
      </w:tr>
      <w:tr w:rsidR="00C4104D" w:rsidRPr="00094DA0" w14:paraId="1F40F014" w14:textId="77777777" w:rsidTr="005F2E4B">
        <w:trPr>
          <w:trHeight w:val="315"/>
        </w:trPr>
        <w:tc>
          <w:tcPr>
            <w:tcW w:w="960" w:type="dxa"/>
            <w:vMerge/>
            <w:tcBorders>
              <w:left w:val="single" w:sz="12" w:space="0" w:color="auto"/>
              <w:bottom w:val="double" w:sz="6" w:space="0" w:color="000000"/>
              <w:right w:val="single" w:sz="4" w:space="0" w:color="auto"/>
            </w:tcBorders>
            <w:vAlign w:val="center"/>
          </w:tcPr>
          <w:p w14:paraId="1FCC4505" w14:textId="77777777" w:rsidR="00C4104D" w:rsidRPr="0051544F" w:rsidRDefault="00C4104D" w:rsidP="005F2E4B">
            <w:pPr>
              <w:rPr>
                <w:rFonts w:cs="Arial"/>
                <w:color w:val="000000"/>
                <w:sz w:val="20"/>
                <w:szCs w:val="20"/>
              </w:rPr>
            </w:pPr>
          </w:p>
        </w:tc>
        <w:tc>
          <w:tcPr>
            <w:tcW w:w="960" w:type="dxa"/>
            <w:tcBorders>
              <w:top w:val="single" w:sz="4" w:space="0" w:color="auto"/>
              <w:left w:val="nil"/>
              <w:bottom w:val="double" w:sz="6" w:space="0" w:color="auto"/>
              <w:right w:val="single" w:sz="4" w:space="0" w:color="auto"/>
            </w:tcBorders>
            <w:shd w:val="clear" w:color="auto" w:fill="auto"/>
            <w:vAlign w:val="center"/>
          </w:tcPr>
          <w:p w14:paraId="7A809E84" w14:textId="77777777" w:rsidR="00C4104D" w:rsidRPr="00934108" w:rsidRDefault="00C4104D" w:rsidP="005F2E4B">
            <w:pPr>
              <w:jc w:val="center"/>
              <w:rPr>
                <w:rFonts w:eastAsia="Calibri" w:cs="Arial"/>
                <w:bCs/>
                <w:sz w:val="20"/>
                <w:szCs w:val="20"/>
              </w:rPr>
            </w:pPr>
            <w:r w:rsidRPr="00934108">
              <w:rPr>
                <w:rFonts w:eastAsia="Calibri" w:cs="Arial"/>
                <w:bCs/>
                <w:sz w:val="20"/>
                <w:szCs w:val="20"/>
              </w:rPr>
              <w:t>2023</w:t>
            </w:r>
          </w:p>
        </w:tc>
        <w:tc>
          <w:tcPr>
            <w:tcW w:w="2020" w:type="dxa"/>
            <w:tcBorders>
              <w:top w:val="single" w:sz="4" w:space="0" w:color="auto"/>
              <w:left w:val="nil"/>
              <w:bottom w:val="double" w:sz="6" w:space="0" w:color="auto"/>
              <w:right w:val="single" w:sz="4" w:space="0" w:color="auto"/>
            </w:tcBorders>
            <w:shd w:val="clear" w:color="auto" w:fill="auto"/>
            <w:vAlign w:val="center"/>
          </w:tcPr>
          <w:p w14:paraId="334E15A8" w14:textId="77777777" w:rsidR="00C4104D" w:rsidRPr="00934108" w:rsidRDefault="00C4104D" w:rsidP="005F2E4B">
            <w:pPr>
              <w:spacing w:line="256" w:lineRule="auto"/>
              <w:jc w:val="center"/>
              <w:rPr>
                <w:rFonts w:cs="Arial"/>
                <w:bCs/>
                <w:sz w:val="20"/>
                <w:szCs w:val="20"/>
              </w:rPr>
            </w:pPr>
            <w:r w:rsidRPr="00934108">
              <w:rPr>
                <w:rFonts w:cs="Arial"/>
                <w:bCs/>
                <w:sz w:val="20"/>
                <w:szCs w:val="20"/>
              </w:rPr>
              <w:t>3</w:t>
            </w:r>
          </w:p>
        </w:tc>
        <w:tc>
          <w:tcPr>
            <w:tcW w:w="2738" w:type="dxa"/>
            <w:tcBorders>
              <w:top w:val="single" w:sz="4" w:space="0" w:color="auto"/>
              <w:left w:val="nil"/>
              <w:bottom w:val="double" w:sz="6" w:space="0" w:color="auto"/>
              <w:right w:val="single" w:sz="4" w:space="0" w:color="auto"/>
            </w:tcBorders>
            <w:shd w:val="clear" w:color="auto" w:fill="auto"/>
            <w:vAlign w:val="center"/>
          </w:tcPr>
          <w:p w14:paraId="55A1907E" w14:textId="77777777" w:rsidR="00C4104D" w:rsidRPr="00934108" w:rsidRDefault="00C4104D" w:rsidP="005F2E4B">
            <w:pPr>
              <w:spacing w:line="256" w:lineRule="auto"/>
              <w:jc w:val="center"/>
              <w:rPr>
                <w:rFonts w:cs="Arial"/>
                <w:bCs/>
                <w:sz w:val="20"/>
                <w:szCs w:val="20"/>
              </w:rPr>
            </w:pPr>
            <w:r w:rsidRPr="00934108">
              <w:rPr>
                <w:rFonts w:cs="Arial"/>
                <w:bCs/>
                <w:sz w:val="20"/>
                <w:szCs w:val="20"/>
              </w:rPr>
              <w:t>2</w:t>
            </w:r>
          </w:p>
        </w:tc>
        <w:tc>
          <w:tcPr>
            <w:tcW w:w="2551" w:type="dxa"/>
            <w:tcBorders>
              <w:top w:val="single" w:sz="4" w:space="0" w:color="auto"/>
              <w:left w:val="nil"/>
              <w:bottom w:val="double" w:sz="6" w:space="0" w:color="auto"/>
              <w:right w:val="single" w:sz="12" w:space="0" w:color="auto"/>
            </w:tcBorders>
            <w:shd w:val="clear" w:color="auto" w:fill="auto"/>
            <w:vAlign w:val="center"/>
          </w:tcPr>
          <w:p w14:paraId="32311009" w14:textId="77777777" w:rsidR="00C4104D" w:rsidRPr="00934108" w:rsidRDefault="00C4104D" w:rsidP="005F2E4B">
            <w:pPr>
              <w:spacing w:line="256" w:lineRule="auto"/>
              <w:jc w:val="center"/>
              <w:rPr>
                <w:rFonts w:cs="Arial"/>
                <w:bCs/>
                <w:sz w:val="20"/>
                <w:szCs w:val="20"/>
              </w:rPr>
            </w:pPr>
            <w:r w:rsidRPr="00934108">
              <w:rPr>
                <w:rFonts w:cs="Arial"/>
                <w:bCs/>
                <w:sz w:val="20"/>
                <w:szCs w:val="20"/>
              </w:rPr>
              <w:t>1</w:t>
            </w:r>
          </w:p>
        </w:tc>
      </w:tr>
      <w:tr w:rsidR="00C4104D" w:rsidRPr="00094DA0" w14:paraId="5AA86EBF" w14:textId="77777777" w:rsidTr="005F2E4B">
        <w:trPr>
          <w:trHeight w:val="315"/>
        </w:trPr>
        <w:tc>
          <w:tcPr>
            <w:tcW w:w="960" w:type="dxa"/>
            <w:vMerge w:val="restart"/>
            <w:tcBorders>
              <w:top w:val="nil"/>
              <w:left w:val="single" w:sz="12" w:space="0" w:color="auto"/>
              <w:right w:val="single" w:sz="4" w:space="0" w:color="auto"/>
            </w:tcBorders>
            <w:vAlign w:val="center"/>
          </w:tcPr>
          <w:p w14:paraId="1946FBB2" w14:textId="77777777" w:rsidR="00C4104D" w:rsidRPr="00477E18" w:rsidRDefault="00C4104D" w:rsidP="005F2E4B">
            <w:pPr>
              <w:rPr>
                <w:rFonts w:cs="Arial"/>
                <w:color w:val="000000"/>
                <w:sz w:val="20"/>
                <w:szCs w:val="20"/>
                <w:highlight w:val="yellow"/>
              </w:rPr>
            </w:pPr>
            <w:r w:rsidRPr="00670494">
              <w:rPr>
                <w:rFonts w:cs="Arial"/>
                <w:color w:val="000000"/>
                <w:sz w:val="20"/>
                <w:szCs w:val="20"/>
              </w:rPr>
              <w:t>NGP</w:t>
            </w:r>
          </w:p>
        </w:tc>
        <w:tc>
          <w:tcPr>
            <w:tcW w:w="960" w:type="dxa"/>
            <w:tcBorders>
              <w:top w:val="double" w:sz="6" w:space="0" w:color="auto"/>
              <w:left w:val="nil"/>
              <w:bottom w:val="single" w:sz="4" w:space="0" w:color="auto"/>
              <w:right w:val="single" w:sz="4" w:space="0" w:color="auto"/>
            </w:tcBorders>
            <w:shd w:val="clear" w:color="auto" w:fill="auto"/>
            <w:vAlign w:val="center"/>
          </w:tcPr>
          <w:p w14:paraId="533299A1" w14:textId="77777777" w:rsidR="00C4104D" w:rsidRPr="00670494" w:rsidRDefault="00C4104D" w:rsidP="005F2E4B">
            <w:pPr>
              <w:jc w:val="center"/>
              <w:rPr>
                <w:rFonts w:cs="Arial"/>
                <w:sz w:val="20"/>
                <w:szCs w:val="20"/>
              </w:rPr>
            </w:pPr>
            <w:r w:rsidRPr="00670494">
              <w:rPr>
                <w:rFonts w:cs="Arial"/>
                <w:sz w:val="20"/>
                <w:szCs w:val="20"/>
              </w:rPr>
              <w:t>2022</w:t>
            </w:r>
          </w:p>
        </w:tc>
        <w:tc>
          <w:tcPr>
            <w:tcW w:w="2020" w:type="dxa"/>
            <w:tcBorders>
              <w:top w:val="double" w:sz="6" w:space="0" w:color="auto"/>
              <w:left w:val="nil"/>
              <w:bottom w:val="single" w:sz="4" w:space="0" w:color="auto"/>
              <w:right w:val="single" w:sz="4" w:space="0" w:color="auto"/>
            </w:tcBorders>
            <w:shd w:val="clear" w:color="auto" w:fill="auto"/>
            <w:vAlign w:val="center"/>
          </w:tcPr>
          <w:p w14:paraId="573C97A5" w14:textId="77777777" w:rsidR="00C4104D" w:rsidRPr="00670494" w:rsidRDefault="00C4104D" w:rsidP="005F2E4B">
            <w:pPr>
              <w:jc w:val="center"/>
              <w:rPr>
                <w:rFonts w:cs="Arial"/>
                <w:sz w:val="20"/>
                <w:szCs w:val="20"/>
              </w:rPr>
            </w:pPr>
            <w:r w:rsidRPr="00670494">
              <w:rPr>
                <w:rFonts w:cs="Arial"/>
                <w:sz w:val="20"/>
                <w:szCs w:val="20"/>
              </w:rPr>
              <w:t>11</w:t>
            </w:r>
          </w:p>
        </w:tc>
        <w:tc>
          <w:tcPr>
            <w:tcW w:w="2738" w:type="dxa"/>
            <w:tcBorders>
              <w:top w:val="double" w:sz="6" w:space="0" w:color="auto"/>
              <w:left w:val="nil"/>
              <w:bottom w:val="single" w:sz="4" w:space="0" w:color="auto"/>
              <w:right w:val="single" w:sz="4" w:space="0" w:color="auto"/>
            </w:tcBorders>
            <w:shd w:val="clear" w:color="auto" w:fill="auto"/>
            <w:vAlign w:val="center"/>
          </w:tcPr>
          <w:p w14:paraId="4A926CD5" w14:textId="77777777" w:rsidR="00C4104D" w:rsidRPr="00670494" w:rsidRDefault="00C4104D" w:rsidP="005F2E4B">
            <w:pPr>
              <w:jc w:val="center"/>
              <w:rPr>
                <w:rFonts w:cs="Arial"/>
                <w:sz w:val="20"/>
                <w:szCs w:val="20"/>
              </w:rPr>
            </w:pPr>
            <w:r w:rsidRPr="00670494">
              <w:rPr>
                <w:rFonts w:cs="Arial"/>
                <w:sz w:val="20"/>
                <w:szCs w:val="20"/>
              </w:rPr>
              <w:t>3</w:t>
            </w:r>
          </w:p>
        </w:tc>
        <w:tc>
          <w:tcPr>
            <w:tcW w:w="2551" w:type="dxa"/>
            <w:tcBorders>
              <w:top w:val="double" w:sz="6" w:space="0" w:color="auto"/>
              <w:left w:val="nil"/>
              <w:bottom w:val="single" w:sz="4" w:space="0" w:color="auto"/>
              <w:right w:val="single" w:sz="12" w:space="0" w:color="auto"/>
            </w:tcBorders>
            <w:shd w:val="clear" w:color="auto" w:fill="auto"/>
            <w:vAlign w:val="center"/>
          </w:tcPr>
          <w:p w14:paraId="6E6603B0" w14:textId="77777777" w:rsidR="00C4104D" w:rsidRPr="00670494" w:rsidRDefault="00C4104D" w:rsidP="005F2E4B">
            <w:pPr>
              <w:jc w:val="center"/>
              <w:rPr>
                <w:rFonts w:cs="Arial"/>
                <w:sz w:val="20"/>
                <w:szCs w:val="20"/>
              </w:rPr>
            </w:pPr>
            <w:r w:rsidRPr="00670494">
              <w:rPr>
                <w:rFonts w:cs="Arial"/>
                <w:sz w:val="20"/>
                <w:szCs w:val="20"/>
              </w:rPr>
              <w:t>8</w:t>
            </w:r>
          </w:p>
        </w:tc>
      </w:tr>
      <w:tr w:rsidR="00C4104D" w:rsidRPr="00094DA0" w14:paraId="6C1A1C5E" w14:textId="77777777" w:rsidTr="005F2E4B">
        <w:trPr>
          <w:trHeight w:val="315"/>
        </w:trPr>
        <w:tc>
          <w:tcPr>
            <w:tcW w:w="960" w:type="dxa"/>
            <w:vMerge/>
            <w:tcBorders>
              <w:left w:val="single" w:sz="12" w:space="0" w:color="auto"/>
              <w:bottom w:val="double" w:sz="6" w:space="0" w:color="000000"/>
              <w:right w:val="single" w:sz="4" w:space="0" w:color="auto"/>
            </w:tcBorders>
            <w:vAlign w:val="center"/>
          </w:tcPr>
          <w:p w14:paraId="0AAD8050" w14:textId="77777777" w:rsidR="00C4104D" w:rsidRPr="00477E18" w:rsidRDefault="00C4104D" w:rsidP="005F2E4B">
            <w:pPr>
              <w:rPr>
                <w:rFonts w:cs="Arial"/>
                <w:color w:val="000000"/>
                <w:sz w:val="20"/>
                <w:szCs w:val="20"/>
                <w:highlight w:val="yellow"/>
              </w:rPr>
            </w:pPr>
          </w:p>
        </w:tc>
        <w:tc>
          <w:tcPr>
            <w:tcW w:w="960" w:type="dxa"/>
            <w:tcBorders>
              <w:top w:val="single" w:sz="4" w:space="0" w:color="auto"/>
              <w:left w:val="nil"/>
              <w:bottom w:val="double" w:sz="6" w:space="0" w:color="auto"/>
              <w:right w:val="single" w:sz="4" w:space="0" w:color="auto"/>
            </w:tcBorders>
            <w:shd w:val="clear" w:color="auto" w:fill="auto"/>
            <w:vAlign w:val="center"/>
          </w:tcPr>
          <w:p w14:paraId="3D203842" w14:textId="77777777" w:rsidR="00C4104D" w:rsidRPr="00670494" w:rsidRDefault="00C4104D" w:rsidP="005F2E4B">
            <w:pPr>
              <w:jc w:val="center"/>
              <w:rPr>
                <w:rFonts w:eastAsia="Calibri" w:cs="Arial"/>
                <w:bCs/>
                <w:sz w:val="20"/>
                <w:szCs w:val="20"/>
              </w:rPr>
            </w:pPr>
            <w:r w:rsidRPr="00670494">
              <w:rPr>
                <w:rFonts w:cs="Arial"/>
                <w:sz w:val="20"/>
                <w:szCs w:val="20"/>
              </w:rPr>
              <w:t>2023</w:t>
            </w:r>
          </w:p>
        </w:tc>
        <w:tc>
          <w:tcPr>
            <w:tcW w:w="2020" w:type="dxa"/>
            <w:tcBorders>
              <w:top w:val="single" w:sz="4" w:space="0" w:color="auto"/>
              <w:left w:val="nil"/>
              <w:bottom w:val="double" w:sz="6" w:space="0" w:color="auto"/>
              <w:right w:val="single" w:sz="4" w:space="0" w:color="auto"/>
            </w:tcBorders>
            <w:shd w:val="clear" w:color="auto" w:fill="auto"/>
            <w:vAlign w:val="center"/>
          </w:tcPr>
          <w:p w14:paraId="181B027D" w14:textId="77777777" w:rsidR="00C4104D" w:rsidRPr="00670494" w:rsidRDefault="00C4104D" w:rsidP="005F2E4B">
            <w:pPr>
              <w:spacing w:line="254" w:lineRule="auto"/>
              <w:jc w:val="center"/>
              <w:rPr>
                <w:rFonts w:cs="Arial"/>
                <w:bCs/>
                <w:sz w:val="20"/>
                <w:szCs w:val="20"/>
              </w:rPr>
            </w:pPr>
            <w:r w:rsidRPr="00670494">
              <w:rPr>
                <w:rFonts w:cs="Arial"/>
                <w:bCs/>
                <w:sz w:val="20"/>
                <w:szCs w:val="20"/>
              </w:rPr>
              <w:t>9</w:t>
            </w:r>
          </w:p>
        </w:tc>
        <w:tc>
          <w:tcPr>
            <w:tcW w:w="2738" w:type="dxa"/>
            <w:tcBorders>
              <w:top w:val="single" w:sz="4" w:space="0" w:color="auto"/>
              <w:left w:val="nil"/>
              <w:bottom w:val="double" w:sz="6" w:space="0" w:color="auto"/>
              <w:right w:val="single" w:sz="4" w:space="0" w:color="auto"/>
            </w:tcBorders>
            <w:shd w:val="clear" w:color="auto" w:fill="auto"/>
            <w:vAlign w:val="center"/>
          </w:tcPr>
          <w:p w14:paraId="5F3B25F6" w14:textId="77777777" w:rsidR="00C4104D" w:rsidRPr="00670494" w:rsidRDefault="00C4104D" w:rsidP="005F2E4B">
            <w:pPr>
              <w:spacing w:line="254" w:lineRule="auto"/>
              <w:jc w:val="center"/>
              <w:rPr>
                <w:rFonts w:cs="Arial"/>
                <w:bCs/>
                <w:sz w:val="20"/>
                <w:szCs w:val="20"/>
              </w:rPr>
            </w:pPr>
            <w:r w:rsidRPr="00670494">
              <w:rPr>
                <w:rFonts w:cs="Arial"/>
                <w:bCs/>
                <w:sz w:val="20"/>
                <w:szCs w:val="20"/>
              </w:rPr>
              <w:t>2</w:t>
            </w:r>
          </w:p>
        </w:tc>
        <w:tc>
          <w:tcPr>
            <w:tcW w:w="2551" w:type="dxa"/>
            <w:tcBorders>
              <w:top w:val="single" w:sz="4" w:space="0" w:color="auto"/>
              <w:left w:val="nil"/>
              <w:bottom w:val="double" w:sz="6" w:space="0" w:color="auto"/>
              <w:right w:val="single" w:sz="12" w:space="0" w:color="auto"/>
            </w:tcBorders>
            <w:shd w:val="clear" w:color="auto" w:fill="auto"/>
            <w:vAlign w:val="center"/>
          </w:tcPr>
          <w:p w14:paraId="7B2C432D" w14:textId="77777777" w:rsidR="00C4104D" w:rsidRPr="00670494" w:rsidRDefault="00C4104D" w:rsidP="005F2E4B">
            <w:pPr>
              <w:spacing w:line="254" w:lineRule="auto"/>
              <w:jc w:val="center"/>
              <w:rPr>
                <w:rFonts w:cs="Arial"/>
                <w:bCs/>
                <w:sz w:val="20"/>
                <w:szCs w:val="20"/>
              </w:rPr>
            </w:pPr>
            <w:r w:rsidRPr="00670494">
              <w:rPr>
                <w:rFonts w:cs="Arial"/>
                <w:bCs/>
                <w:sz w:val="20"/>
                <w:szCs w:val="20"/>
              </w:rPr>
              <w:t>7</w:t>
            </w:r>
          </w:p>
        </w:tc>
      </w:tr>
      <w:tr w:rsidR="00C4104D" w:rsidRPr="00094DA0" w14:paraId="53A82A77" w14:textId="77777777" w:rsidTr="005F2E4B">
        <w:trPr>
          <w:trHeight w:val="315"/>
        </w:trPr>
        <w:tc>
          <w:tcPr>
            <w:tcW w:w="960" w:type="dxa"/>
            <w:vMerge w:val="restart"/>
            <w:tcBorders>
              <w:top w:val="nil"/>
              <w:left w:val="single" w:sz="12" w:space="0" w:color="auto"/>
              <w:bottom w:val="double" w:sz="6" w:space="0" w:color="000000"/>
              <w:right w:val="single" w:sz="4" w:space="0" w:color="auto"/>
            </w:tcBorders>
            <w:shd w:val="clear" w:color="auto" w:fill="auto"/>
            <w:vAlign w:val="center"/>
          </w:tcPr>
          <w:p w14:paraId="40BF2847" w14:textId="77777777" w:rsidR="00C4104D" w:rsidRPr="005A536F" w:rsidRDefault="00C4104D" w:rsidP="005F2E4B">
            <w:pPr>
              <w:rPr>
                <w:rFonts w:cs="Arial"/>
                <w:color w:val="000000"/>
                <w:sz w:val="20"/>
                <w:szCs w:val="20"/>
              </w:rPr>
            </w:pPr>
            <w:r w:rsidRPr="005A536F">
              <w:rPr>
                <w:rFonts w:cs="Arial"/>
                <w:color w:val="000000"/>
                <w:sz w:val="20"/>
                <w:szCs w:val="20"/>
              </w:rPr>
              <w:t>MGB</w:t>
            </w:r>
          </w:p>
        </w:tc>
        <w:tc>
          <w:tcPr>
            <w:tcW w:w="960" w:type="dxa"/>
            <w:tcBorders>
              <w:top w:val="nil"/>
              <w:left w:val="nil"/>
              <w:bottom w:val="single" w:sz="4" w:space="0" w:color="auto"/>
              <w:right w:val="single" w:sz="4" w:space="0" w:color="auto"/>
            </w:tcBorders>
            <w:shd w:val="clear" w:color="auto" w:fill="auto"/>
            <w:vAlign w:val="center"/>
          </w:tcPr>
          <w:p w14:paraId="0078F574" w14:textId="77777777" w:rsidR="00C4104D" w:rsidRPr="005A536F" w:rsidRDefault="00C4104D" w:rsidP="005F2E4B">
            <w:pPr>
              <w:jc w:val="center"/>
              <w:rPr>
                <w:rFonts w:cs="Arial"/>
                <w:sz w:val="20"/>
                <w:szCs w:val="20"/>
              </w:rPr>
            </w:pPr>
            <w:r w:rsidRPr="005A536F">
              <w:rPr>
                <w:rFonts w:cs="Arial"/>
                <w:sz w:val="20"/>
                <w:szCs w:val="20"/>
              </w:rPr>
              <w:t>2022</w:t>
            </w:r>
          </w:p>
        </w:tc>
        <w:tc>
          <w:tcPr>
            <w:tcW w:w="2020" w:type="dxa"/>
            <w:tcBorders>
              <w:top w:val="nil"/>
              <w:left w:val="nil"/>
              <w:bottom w:val="single" w:sz="4" w:space="0" w:color="auto"/>
              <w:right w:val="single" w:sz="4" w:space="0" w:color="auto"/>
            </w:tcBorders>
            <w:shd w:val="clear" w:color="auto" w:fill="auto"/>
            <w:vAlign w:val="center"/>
          </w:tcPr>
          <w:p w14:paraId="3B6D0575" w14:textId="77777777" w:rsidR="00C4104D" w:rsidRPr="005A536F" w:rsidRDefault="00C4104D" w:rsidP="005F2E4B">
            <w:pPr>
              <w:jc w:val="center"/>
              <w:rPr>
                <w:rFonts w:cs="Arial"/>
                <w:sz w:val="20"/>
                <w:szCs w:val="20"/>
              </w:rPr>
            </w:pPr>
            <w:r w:rsidRPr="005A536F">
              <w:rPr>
                <w:rFonts w:cs="Arial"/>
                <w:sz w:val="20"/>
                <w:szCs w:val="20"/>
              </w:rPr>
              <w:t>15</w:t>
            </w:r>
          </w:p>
        </w:tc>
        <w:tc>
          <w:tcPr>
            <w:tcW w:w="2738" w:type="dxa"/>
            <w:tcBorders>
              <w:top w:val="nil"/>
              <w:left w:val="nil"/>
              <w:bottom w:val="single" w:sz="4" w:space="0" w:color="auto"/>
              <w:right w:val="single" w:sz="4" w:space="0" w:color="auto"/>
            </w:tcBorders>
            <w:shd w:val="clear" w:color="auto" w:fill="auto"/>
            <w:vAlign w:val="center"/>
          </w:tcPr>
          <w:p w14:paraId="60773AAF" w14:textId="77777777" w:rsidR="00C4104D" w:rsidRPr="005A536F" w:rsidRDefault="00C4104D" w:rsidP="005F2E4B">
            <w:pPr>
              <w:jc w:val="center"/>
              <w:rPr>
                <w:rFonts w:cs="Arial"/>
                <w:sz w:val="20"/>
                <w:szCs w:val="20"/>
              </w:rPr>
            </w:pPr>
            <w:r w:rsidRPr="005A536F">
              <w:rPr>
                <w:rFonts w:cs="Arial"/>
                <w:sz w:val="20"/>
                <w:szCs w:val="20"/>
              </w:rPr>
              <w:t>8</w:t>
            </w:r>
          </w:p>
        </w:tc>
        <w:tc>
          <w:tcPr>
            <w:tcW w:w="2551" w:type="dxa"/>
            <w:tcBorders>
              <w:top w:val="nil"/>
              <w:left w:val="nil"/>
              <w:bottom w:val="single" w:sz="4" w:space="0" w:color="auto"/>
              <w:right w:val="single" w:sz="12" w:space="0" w:color="auto"/>
            </w:tcBorders>
            <w:shd w:val="clear" w:color="auto" w:fill="auto"/>
            <w:vAlign w:val="center"/>
          </w:tcPr>
          <w:p w14:paraId="5913476E" w14:textId="77777777" w:rsidR="00C4104D" w:rsidRPr="005A536F" w:rsidRDefault="00C4104D" w:rsidP="005F2E4B">
            <w:pPr>
              <w:jc w:val="center"/>
              <w:rPr>
                <w:rFonts w:cs="Arial"/>
                <w:sz w:val="20"/>
                <w:szCs w:val="20"/>
              </w:rPr>
            </w:pPr>
            <w:r w:rsidRPr="005A536F">
              <w:rPr>
                <w:rFonts w:cs="Arial"/>
                <w:sz w:val="20"/>
                <w:szCs w:val="20"/>
              </w:rPr>
              <w:t>7</w:t>
            </w:r>
          </w:p>
        </w:tc>
      </w:tr>
      <w:tr w:rsidR="00C4104D" w:rsidRPr="00094DA0" w14:paraId="64734098" w14:textId="77777777" w:rsidTr="005F2E4B">
        <w:trPr>
          <w:trHeight w:val="315"/>
        </w:trPr>
        <w:tc>
          <w:tcPr>
            <w:tcW w:w="960" w:type="dxa"/>
            <w:vMerge/>
            <w:tcBorders>
              <w:top w:val="nil"/>
              <w:left w:val="single" w:sz="12" w:space="0" w:color="auto"/>
              <w:bottom w:val="double" w:sz="6" w:space="0" w:color="000000"/>
              <w:right w:val="single" w:sz="4" w:space="0" w:color="auto"/>
            </w:tcBorders>
            <w:vAlign w:val="center"/>
          </w:tcPr>
          <w:p w14:paraId="7571F975" w14:textId="77777777" w:rsidR="00C4104D" w:rsidRPr="005A536F" w:rsidRDefault="00C4104D" w:rsidP="005F2E4B">
            <w:pPr>
              <w:rPr>
                <w:rFonts w:cs="Arial"/>
                <w:color w:val="000000"/>
                <w:sz w:val="20"/>
                <w:szCs w:val="20"/>
              </w:rPr>
            </w:pPr>
          </w:p>
        </w:tc>
        <w:tc>
          <w:tcPr>
            <w:tcW w:w="960" w:type="dxa"/>
            <w:tcBorders>
              <w:top w:val="nil"/>
              <w:left w:val="nil"/>
              <w:bottom w:val="double" w:sz="6" w:space="0" w:color="auto"/>
              <w:right w:val="single" w:sz="4" w:space="0" w:color="auto"/>
            </w:tcBorders>
            <w:shd w:val="clear" w:color="auto" w:fill="auto"/>
            <w:vAlign w:val="center"/>
          </w:tcPr>
          <w:p w14:paraId="307C02BA" w14:textId="77777777" w:rsidR="00C4104D" w:rsidRPr="005A536F" w:rsidRDefault="00C4104D" w:rsidP="005F2E4B">
            <w:pPr>
              <w:jc w:val="center"/>
              <w:rPr>
                <w:rFonts w:cs="Arial"/>
                <w:sz w:val="20"/>
                <w:szCs w:val="20"/>
              </w:rPr>
            </w:pPr>
            <w:r w:rsidRPr="005A536F">
              <w:rPr>
                <w:rFonts w:cs="Arial"/>
                <w:sz w:val="20"/>
                <w:szCs w:val="20"/>
              </w:rPr>
              <w:t>2023</w:t>
            </w:r>
          </w:p>
        </w:tc>
        <w:tc>
          <w:tcPr>
            <w:tcW w:w="2020" w:type="dxa"/>
            <w:tcBorders>
              <w:top w:val="nil"/>
              <w:left w:val="nil"/>
              <w:bottom w:val="double" w:sz="6" w:space="0" w:color="auto"/>
              <w:right w:val="single" w:sz="4" w:space="0" w:color="auto"/>
            </w:tcBorders>
            <w:shd w:val="clear" w:color="auto" w:fill="auto"/>
            <w:vAlign w:val="center"/>
          </w:tcPr>
          <w:p w14:paraId="208171EA" w14:textId="77777777" w:rsidR="00C4104D" w:rsidRPr="005A536F" w:rsidRDefault="00C4104D" w:rsidP="005F2E4B">
            <w:pPr>
              <w:jc w:val="center"/>
              <w:rPr>
                <w:rFonts w:cs="Arial"/>
                <w:sz w:val="20"/>
                <w:szCs w:val="20"/>
              </w:rPr>
            </w:pPr>
            <w:r w:rsidRPr="005A536F">
              <w:rPr>
                <w:rFonts w:cs="Arial"/>
                <w:sz w:val="20"/>
                <w:szCs w:val="20"/>
              </w:rPr>
              <w:t>13</w:t>
            </w:r>
          </w:p>
        </w:tc>
        <w:tc>
          <w:tcPr>
            <w:tcW w:w="2738" w:type="dxa"/>
            <w:tcBorders>
              <w:top w:val="nil"/>
              <w:left w:val="nil"/>
              <w:bottom w:val="double" w:sz="6" w:space="0" w:color="auto"/>
              <w:right w:val="single" w:sz="4" w:space="0" w:color="auto"/>
            </w:tcBorders>
            <w:shd w:val="clear" w:color="auto" w:fill="auto"/>
            <w:vAlign w:val="center"/>
          </w:tcPr>
          <w:p w14:paraId="20FBD768" w14:textId="77777777" w:rsidR="00C4104D" w:rsidRPr="005A536F" w:rsidRDefault="00C4104D" w:rsidP="005F2E4B">
            <w:pPr>
              <w:jc w:val="center"/>
              <w:rPr>
                <w:rFonts w:cs="Arial"/>
                <w:sz w:val="20"/>
                <w:szCs w:val="20"/>
              </w:rPr>
            </w:pPr>
            <w:r w:rsidRPr="005A536F">
              <w:rPr>
                <w:rFonts w:cs="Arial"/>
                <w:sz w:val="20"/>
                <w:szCs w:val="20"/>
              </w:rPr>
              <w:t>7</w:t>
            </w:r>
          </w:p>
        </w:tc>
        <w:tc>
          <w:tcPr>
            <w:tcW w:w="2551" w:type="dxa"/>
            <w:tcBorders>
              <w:top w:val="nil"/>
              <w:left w:val="nil"/>
              <w:bottom w:val="double" w:sz="6" w:space="0" w:color="auto"/>
              <w:right w:val="single" w:sz="12" w:space="0" w:color="auto"/>
            </w:tcBorders>
            <w:shd w:val="clear" w:color="auto" w:fill="auto"/>
            <w:vAlign w:val="center"/>
          </w:tcPr>
          <w:p w14:paraId="78836980" w14:textId="77777777" w:rsidR="00C4104D" w:rsidRPr="005A536F" w:rsidRDefault="00C4104D" w:rsidP="005F2E4B">
            <w:pPr>
              <w:jc w:val="center"/>
              <w:rPr>
                <w:rFonts w:cs="Arial"/>
                <w:sz w:val="20"/>
                <w:szCs w:val="20"/>
              </w:rPr>
            </w:pPr>
            <w:r w:rsidRPr="005A536F">
              <w:rPr>
                <w:rFonts w:cs="Arial"/>
                <w:sz w:val="20"/>
                <w:szCs w:val="20"/>
              </w:rPr>
              <w:t>6</w:t>
            </w:r>
          </w:p>
        </w:tc>
      </w:tr>
      <w:tr w:rsidR="00C4104D" w:rsidRPr="00094DA0" w14:paraId="70377753" w14:textId="77777777" w:rsidTr="005F2E4B">
        <w:trPr>
          <w:trHeight w:val="315"/>
        </w:trPr>
        <w:tc>
          <w:tcPr>
            <w:tcW w:w="960" w:type="dxa"/>
            <w:vMerge w:val="restart"/>
            <w:tcBorders>
              <w:top w:val="nil"/>
              <w:left w:val="single" w:sz="12" w:space="0" w:color="auto"/>
              <w:right w:val="single" w:sz="4" w:space="0" w:color="auto"/>
            </w:tcBorders>
            <w:vAlign w:val="center"/>
          </w:tcPr>
          <w:p w14:paraId="3481F30B" w14:textId="77777777" w:rsidR="00C4104D" w:rsidRPr="005D0072" w:rsidRDefault="00C4104D" w:rsidP="005F2E4B">
            <w:pPr>
              <w:rPr>
                <w:rFonts w:cs="Arial"/>
                <w:color w:val="000000"/>
                <w:sz w:val="20"/>
                <w:szCs w:val="20"/>
              </w:rPr>
            </w:pPr>
            <w:r w:rsidRPr="005D0072">
              <w:rPr>
                <w:rFonts w:cs="Arial"/>
                <w:color w:val="000000"/>
                <w:sz w:val="20"/>
                <w:szCs w:val="20"/>
              </w:rPr>
              <w:t>MUO</w:t>
            </w:r>
          </w:p>
        </w:tc>
        <w:tc>
          <w:tcPr>
            <w:tcW w:w="960" w:type="dxa"/>
            <w:tcBorders>
              <w:top w:val="nil"/>
              <w:left w:val="nil"/>
              <w:bottom w:val="single" w:sz="4" w:space="0" w:color="auto"/>
              <w:right w:val="single" w:sz="4" w:space="0" w:color="auto"/>
            </w:tcBorders>
            <w:shd w:val="clear" w:color="auto" w:fill="auto"/>
            <w:vAlign w:val="center"/>
          </w:tcPr>
          <w:p w14:paraId="7855AF14" w14:textId="77777777" w:rsidR="00C4104D" w:rsidRPr="005D0072" w:rsidRDefault="00C4104D" w:rsidP="005F2E4B">
            <w:pPr>
              <w:jc w:val="center"/>
              <w:rPr>
                <w:rFonts w:eastAsia="Calibri" w:cs="Arial"/>
                <w:bCs/>
                <w:sz w:val="20"/>
                <w:szCs w:val="20"/>
              </w:rPr>
            </w:pPr>
            <w:r w:rsidRPr="005D0072">
              <w:rPr>
                <w:rFonts w:eastAsia="Calibri" w:cs="Arial"/>
                <w:bCs/>
                <w:sz w:val="20"/>
                <w:szCs w:val="20"/>
              </w:rPr>
              <w:t>2022</w:t>
            </w:r>
          </w:p>
        </w:tc>
        <w:tc>
          <w:tcPr>
            <w:tcW w:w="2020" w:type="dxa"/>
            <w:tcBorders>
              <w:top w:val="nil"/>
              <w:left w:val="nil"/>
              <w:bottom w:val="single" w:sz="4" w:space="0" w:color="auto"/>
              <w:right w:val="single" w:sz="4" w:space="0" w:color="auto"/>
            </w:tcBorders>
            <w:shd w:val="clear" w:color="auto" w:fill="auto"/>
            <w:vAlign w:val="center"/>
          </w:tcPr>
          <w:p w14:paraId="0A2A9A6A" w14:textId="77777777" w:rsidR="00C4104D" w:rsidRPr="005D0072" w:rsidRDefault="00C4104D" w:rsidP="005F2E4B">
            <w:pPr>
              <w:jc w:val="center"/>
              <w:rPr>
                <w:rFonts w:eastAsia="Calibri" w:cs="Arial"/>
                <w:bCs/>
                <w:sz w:val="20"/>
                <w:szCs w:val="20"/>
              </w:rPr>
            </w:pPr>
            <w:r w:rsidRPr="005D0072">
              <w:rPr>
                <w:rFonts w:eastAsia="Calibri" w:cs="Arial"/>
                <w:bCs/>
                <w:sz w:val="20"/>
                <w:szCs w:val="20"/>
              </w:rPr>
              <w:t>9</w:t>
            </w:r>
          </w:p>
        </w:tc>
        <w:tc>
          <w:tcPr>
            <w:tcW w:w="2738" w:type="dxa"/>
            <w:tcBorders>
              <w:top w:val="nil"/>
              <w:left w:val="nil"/>
              <w:bottom w:val="single" w:sz="4" w:space="0" w:color="auto"/>
              <w:right w:val="single" w:sz="4" w:space="0" w:color="auto"/>
            </w:tcBorders>
            <w:shd w:val="clear" w:color="auto" w:fill="auto"/>
            <w:vAlign w:val="center"/>
          </w:tcPr>
          <w:p w14:paraId="1F7289A2" w14:textId="77777777" w:rsidR="00C4104D" w:rsidRPr="005D0072" w:rsidRDefault="00C4104D" w:rsidP="005F2E4B">
            <w:pPr>
              <w:jc w:val="center"/>
              <w:rPr>
                <w:rFonts w:eastAsia="Calibri" w:cs="Arial"/>
                <w:bCs/>
                <w:sz w:val="20"/>
                <w:szCs w:val="20"/>
              </w:rPr>
            </w:pPr>
            <w:r w:rsidRPr="005D0072">
              <w:rPr>
                <w:rFonts w:eastAsia="Calibri" w:cs="Arial"/>
                <w:bCs/>
                <w:sz w:val="20"/>
                <w:szCs w:val="20"/>
              </w:rPr>
              <w:t>1</w:t>
            </w:r>
          </w:p>
        </w:tc>
        <w:tc>
          <w:tcPr>
            <w:tcW w:w="2551" w:type="dxa"/>
            <w:tcBorders>
              <w:top w:val="nil"/>
              <w:left w:val="nil"/>
              <w:bottom w:val="single" w:sz="4" w:space="0" w:color="auto"/>
              <w:right w:val="single" w:sz="12" w:space="0" w:color="auto"/>
            </w:tcBorders>
            <w:shd w:val="clear" w:color="auto" w:fill="auto"/>
            <w:vAlign w:val="center"/>
          </w:tcPr>
          <w:p w14:paraId="0816DD61" w14:textId="77777777" w:rsidR="00C4104D" w:rsidRPr="005D0072" w:rsidRDefault="00C4104D" w:rsidP="005F2E4B">
            <w:pPr>
              <w:jc w:val="center"/>
              <w:rPr>
                <w:rFonts w:eastAsia="Calibri" w:cs="Arial"/>
                <w:bCs/>
                <w:sz w:val="20"/>
                <w:szCs w:val="20"/>
              </w:rPr>
            </w:pPr>
            <w:r w:rsidRPr="005D0072">
              <w:rPr>
                <w:rFonts w:eastAsia="Calibri" w:cs="Arial"/>
                <w:bCs/>
                <w:sz w:val="20"/>
                <w:szCs w:val="20"/>
              </w:rPr>
              <w:t>8</w:t>
            </w:r>
          </w:p>
        </w:tc>
      </w:tr>
      <w:tr w:rsidR="00C4104D" w:rsidRPr="00094DA0" w14:paraId="47A85833" w14:textId="77777777" w:rsidTr="005F2E4B">
        <w:trPr>
          <w:trHeight w:val="315"/>
        </w:trPr>
        <w:tc>
          <w:tcPr>
            <w:tcW w:w="960" w:type="dxa"/>
            <w:vMerge/>
            <w:tcBorders>
              <w:left w:val="single" w:sz="12" w:space="0" w:color="auto"/>
              <w:bottom w:val="double" w:sz="6" w:space="0" w:color="000000"/>
              <w:right w:val="single" w:sz="4" w:space="0" w:color="auto"/>
            </w:tcBorders>
            <w:vAlign w:val="center"/>
          </w:tcPr>
          <w:p w14:paraId="1AE9A7FC" w14:textId="77777777" w:rsidR="00C4104D" w:rsidRPr="005D0072" w:rsidRDefault="00C4104D" w:rsidP="005F2E4B">
            <w:pPr>
              <w:rPr>
                <w:rFonts w:cs="Arial"/>
                <w:color w:val="000000"/>
                <w:sz w:val="20"/>
                <w:szCs w:val="20"/>
              </w:rPr>
            </w:pPr>
          </w:p>
        </w:tc>
        <w:tc>
          <w:tcPr>
            <w:tcW w:w="960" w:type="dxa"/>
            <w:tcBorders>
              <w:top w:val="single" w:sz="4" w:space="0" w:color="auto"/>
              <w:left w:val="nil"/>
              <w:bottom w:val="double" w:sz="6" w:space="0" w:color="auto"/>
              <w:right w:val="single" w:sz="4" w:space="0" w:color="auto"/>
            </w:tcBorders>
            <w:shd w:val="clear" w:color="auto" w:fill="auto"/>
            <w:vAlign w:val="center"/>
          </w:tcPr>
          <w:p w14:paraId="10DE39B4" w14:textId="77777777" w:rsidR="00C4104D" w:rsidRPr="005D0072" w:rsidRDefault="00C4104D" w:rsidP="005F2E4B">
            <w:pPr>
              <w:jc w:val="center"/>
              <w:rPr>
                <w:rFonts w:cs="Arial"/>
                <w:sz w:val="20"/>
                <w:szCs w:val="20"/>
              </w:rPr>
            </w:pPr>
            <w:r w:rsidRPr="005D0072">
              <w:rPr>
                <w:rFonts w:eastAsia="Calibri" w:cs="Arial"/>
                <w:bCs/>
                <w:sz w:val="20"/>
                <w:szCs w:val="20"/>
              </w:rPr>
              <w:t>2023</w:t>
            </w:r>
          </w:p>
        </w:tc>
        <w:tc>
          <w:tcPr>
            <w:tcW w:w="2020" w:type="dxa"/>
            <w:tcBorders>
              <w:top w:val="single" w:sz="4" w:space="0" w:color="auto"/>
              <w:left w:val="nil"/>
              <w:bottom w:val="double" w:sz="6" w:space="0" w:color="auto"/>
              <w:right w:val="single" w:sz="4" w:space="0" w:color="auto"/>
            </w:tcBorders>
            <w:shd w:val="clear" w:color="auto" w:fill="auto"/>
            <w:vAlign w:val="center"/>
          </w:tcPr>
          <w:p w14:paraId="385868FC" w14:textId="77777777" w:rsidR="00C4104D" w:rsidRPr="005D0072" w:rsidRDefault="00C4104D" w:rsidP="005F2E4B">
            <w:pPr>
              <w:jc w:val="center"/>
              <w:rPr>
                <w:rFonts w:cs="Arial"/>
                <w:sz w:val="20"/>
                <w:szCs w:val="20"/>
              </w:rPr>
            </w:pPr>
            <w:r w:rsidRPr="005D0072">
              <w:rPr>
                <w:rFonts w:cs="Arial"/>
                <w:sz w:val="20"/>
                <w:szCs w:val="20"/>
              </w:rPr>
              <w:t>11</w:t>
            </w:r>
          </w:p>
        </w:tc>
        <w:tc>
          <w:tcPr>
            <w:tcW w:w="2738" w:type="dxa"/>
            <w:tcBorders>
              <w:top w:val="single" w:sz="4" w:space="0" w:color="auto"/>
              <w:left w:val="nil"/>
              <w:bottom w:val="double" w:sz="6" w:space="0" w:color="auto"/>
              <w:right w:val="single" w:sz="4" w:space="0" w:color="auto"/>
            </w:tcBorders>
            <w:shd w:val="clear" w:color="auto" w:fill="auto"/>
            <w:vAlign w:val="center"/>
          </w:tcPr>
          <w:p w14:paraId="32C06709" w14:textId="77777777" w:rsidR="00C4104D" w:rsidRPr="005D0072" w:rsidRDefault="00C4104D" w:rsidP="005F2E4B">
            <w:pPr>
              <w:jc w:val="center"/>
              <w:rPr>
                <w:rFonts w:cs="Arial"/>
                <w:sz w:val="20"/>
                <w:szCs w:val="20"/>
              </w:rPr>
            </w:pPr>
            <w:r w:rsidRPr="005D0072">
              <w:rPr>
                <w:rFonts w:cs="Arial"/>
                <w:sz w:val="20"/>
                <w:szCs w:val="20"/>
              </w:rPr>
              <w:t>1</w:t>
            </w:r>
          </w:p>
        </w:tc>
        <w:tc>
          <w:tcPr>
            <w:tcW w:w="2551" w:type="dxa"/>
            <w:tcBorders>
              <w:top w:val="single" w:sz="4" w:space="0" w:color="auto"/>
              <w:left w:val="nil"/>
              <w:bottom w:val="double" w:sz="6" w:space="0" w:color="auto"/>
              <w:right w:val="single" w:sz="12" w:space="0" w:color="auto"/>
            </w:tcBorders>
            <w:shd w:val="clear" w:color="auto" w:fill="auto"/>
            <w:vAlign w:val="center"/>
          </w:tcPr>
          <w:p w14:paraId="1A3D95CB" w14:textId="77777777" w:rsidR="00C4104D" w:rsidRPr="005D0072" w:rsidRDefault="00C4104D" w:rsidP="005F2E4B">
            <w:pPr>
              <w:jc w:val="center"/>
              <w:rPr>
                <w:rFonts w:cs="Arial"/>
                <w:sz w:val="20"/>
                <w:szCs w:val="20"/>
              </w:rPr>
            </w:pPr>
            <w:r w:rsidRPr="005D0072">
              <w:rPr>
                <w:rFonts w:cs="Arial"/>
                <w:sz w:val="20"/>
                <w:szCs w:val="20"/>
              </w:rPr>
              <w:t>10</w:t>
            </w:r>
          </w:p>
        </w:tc>
      </w:tr>
      <w:tr w:rsidR="00C4104D" w:rsidRPr="00094DA0" w14:paraId="02FCCF3E" w14:textId="77777777" w:rsidTr="005F2E4B">
        <w:trPr>
          <w:trHeight w:val="315"/>
        </w:trPr>
        <w:tc>
          <w:tcPr>
            <w:tcW w:w="960" w:type="dxa"/>
            <w:vMerge w:val="restart"/>
            <w:tcBorders>
              <w:top w:val="nil"/>
              <w:left w:val="single" w:sz="12" w:space="0" w:color="auto"/>
              <w:bottom w:val="double" w:sz="6" w:space="0" w:color="000000"/>
              <w:right w:val="single" w:sz="4" w:space="0" w:color="auto"/>
            </w:tcBorders>
            <w:shd w:val="clear" w:color="auto" w:fill="auto"/>
            <w:vAlign w:val="center"/>
          </w:tcPr>
          <w:p w14:paraId="204C72FF" w14:textId="77777777" w:rsidR="00C4104D" w:rsidRPr="005119DA" w:rsidRDefault="00C4104D" w:rsidP="005F2E4B">
            <w:pPr>
              <w:rPr>
                <w:rFonts w:cs="Arial"/>
                <w:color w:val="000000"/>
                <w:sz w:val="20"/>
                <w:szCs w:val="20"/>
              </w:rPr>
            </w:pPr>
            <w:r w:rsidRPr="005119DA">
              <w:rPr>
                <w:rFonts w:cs="Arial"/>
                <w:sz w:val="20"/>
                <w:szCs w:val="20"/>
              </w:rPr>
              <w:t>MSB</w:t>
            </w:r>
          </w:p>
        </w:tc>
        <w:tc>
          <w:tcPr>
            <w:tcW w:w="960" w:type="dxa"/>
            <w:tcBorders>
              <w:top w:val="nil"/>
              <w:left w:val="nil"/>
              <w:bottom w:val="single" w:sz="4" w:space="0" w:color="auto"/>
              <w:right w:val="single" w:sz="4" w:space="0" w:color="auto"/>
            </w:tcBorders>
            <w:shd w:val="clear" w:color="auto" w:fill="auto"/>
            <w:vAlign w:val="center"/>
          </w:tcPr>
          <w:p w14:paraId="2FE46BA4" w14:textId="77777777" w:rsidR="00C4104D" w:rsidRPr="005119DA" w:rsidRDefault="00C4104D" w:rsidP="005F2E4B">
            <w:pPr>
              <w:jc w:val="center"/>
              <w:rPr>
                <w:rFonts w:eastAsia="Calibri" w:cs="Arial"/>
                <w:bCs/>
                <w:sz w:val="20"/>
                <w:szCs w:val="20"/>
              </w:rPr>
            </w:pPr>
            <w:r w:rsidRPr="005119DA">
              <w:rPr>
                <w:rFonts w:eastAsia="Calibri" w:cs="Arial"/>
                <w:bCs/>
                <w:sz w:val="20"/>
                <w:szCs w:val="20"/>
              </w:rPr>
              <w:t>2022</w:t>
            </w:r>
          </w:p>
        </w:tc>
        <w:tc>
          <w:tcPr>
            <w:tcW w:w="2020" w:type="dxa"/>
            <w:tcBorders>
              <w:top w:val="nil"/>
              <w:left w:val="nil"/>
              <w:bottom w:val="single" w:sz="4" w:space="0" w:color="auto"/>
              <w:right w:val="single" w:sz="4" w:space="0" w:color="auto"/>
            </w:tcBorders>
            <w:shd w:val="clear" w:color="auto" w:fill="auto"/>
            <w:vAlign w:val="center"/>
          </w:tcPr>
          <w:p w14:paraId="69024599" w14:textId="77777777" w:rsidR="00C4104D" w:rsidRPr="005119DA" w:rsidRDefault="00C4104D" w:rsidP="005F2E4B">
            <w:pPr>
              <w:jc w:val="center"/>
              <w:rPr>
                <w:rFonts w:eastAsia="Calibri" w:cs="Arial"/>
                <w:bCs/>
                <w:sz w:val="20"/>
                <w:szCs w:val="20"/>
              </w:rPr>
            </w:pPr>
            <w:r w:rsidRPr="005119DA">
              <w:rPr>
                <w:rFonts w:eastAsia="Calibri" w:cs="Arial"/>
                <w:bCs/>
                <w:sz w:val="20"/>
                <w:szCs w:val="20"/>
              </w:rPr>
              <w:t>2</w:t>
            </w:r>
          </w:p>
        </w:tc>
        <w:tc>
          <w:tcPr>
            <w:tcW w:w="2738" w:type="dxa"/>
            <w:tcBorders>
              <w:top w:val="nil"/>
              <w:left w:val="nil"/>
              <w:bottom w:val="single" w:sz="4" w:space="0" w:color="auto"/>
              <w:right w:val="single" w:sz="4" w:space="0" w:color="auto"/>
            </w:tcBorders>
            <w:shd w:val="clear" w:color="auto" w:fill="auto"/>
            <w:vAlign w:val="center"/>
          </w:tcPr>
          <w:p w14:paraId="1734E250" w14:textId="77777777" w:rsidR="00C4104D" w:rsidRPr="005119DA" w:rsidRDefault="00C4104D" w:rsidP="005F2E4B">
            <w:pPr>
              <w:jc w:val="center"/>
              <w:rPr>
                <w:rFonts w:eastAsia="Calibri" w:cs="Arial"/>
                <w:bCs/>
                <w:sz w:val="20"/>
                <w:szCs w:val="20"/>
              </w:rPr>
            </w:pPr>
            <w:r w:rsidRPr="005119DA">
              <w:rPr>
                <w:rFonts w:eastAsia="Calibri" w:cs="Arial"/>
                <w:bCs/>
                <w:sz w:val="20"/>
                <w:szCs w:val="20"/>
              </w:rPr>
              <w:t>1</w:t>
            </w:r>
          </w:p>
        </w:tc>
        <w:tc>
          <w:tcPr>
            <w:tcW w:w="2551" w:type="dxa"/>
            <w:tcBorders>
              <w:top w:val="nil"/>
              <w:left w:val="nil"/>
              <w:bottom w:val="single" w:sz="4" w:space="0" w:color="auto"/>
              <w:right w:val="single" w:sz="12" w:space="0" w:color="auto"/>
            </w:tcBorders>
            <w:shd w:val="clear" w:color="auto" w:fill="auto"/>
            <w:vAlign w:val="center"/>
          </w:tcPr>
          <w:p w14:paraId="62DAE7D5" w14:textId="77777777" w:rsidR="00C4104D" w:rsidRPr="005119DA" w:rsidRDefault="00C4104D" w:rsidP="005F2E4B">
            <w:pPr>
              <w:jc w:val="center"/>
              <w:rPr>
                <w:rFonts w:eastAsia="Calibri" w:cs="Arial"/>
                <w:bCs/>
                <w:sz w:val="20"/>
                <w:szCs w:val="20"/>
              </w:rPr>
            </w:pPr>
            <w:r w:rsidRPr="005119DA">
              <w:rPr>
                <w:rFonts w:eastAsia="Calibri" w:cs="Arial"/>
                <w:bCs/>
                <w:sz w:val="20"/>
                <w:szCs w:val="20"/>
              </w:rPr>
              <w:t>1</w:t>
            </w:r>
          </w:p>
        </w:tc>
      </w:tr>
      <w:tr w:rsidR="00C4104D" w:rsidRPr="00094DA0" w14:paraId="72D8C2E9" w14:textId="77777777" w:rsidTr="005F2E4B">
        <w:trPr>
          <w:trHeight w:val="315"/>
        </w:trPr>
        <w:tc>
          <w:tcPr>
            <w:tcW w:w="960" w:type="dxa"/>
            <w:vMerge/>
            <w:tcBorders>
              <w:top w:val="nil"/>
              <w:left w:val="single" w:sz="12" w:space="0" w:color="auto"/>
              <w:bottom w:val="double" w:sz="6" w:space="0" w:color="000000"/>
              <w:right w:val="single" w:sz="4" w:space="0" w:color="auto"/>
            </w:tcBorders>
            <w:vAlign w:val="center"/>
          </w:tcPr>
          <w:p w14:paraId="37A7307A" w14:textId="77777777" w:rsidR="00C4104D" w:rsidRPr="005119DA" w:rsidRDefault="00C4104D" w:rsidP="005F2E4B">
            <w:pPr>
              <w:rPr>
                <w:rFonts w:cs="Arial"/>
                <w:color w:val="000000"/>
                <w:sz w:val="20"/>
                <w:szCs w:val="20"/>
              </w:rPr>
            </w:pPr>
          </w:p>
        </w:tc>
        <w:tc>
          <w:tcPr>
            <w:tcW w:w="960" w:type="dxa"/>
            <w:tcBorders>
              <w:top w:val="nil"/>
              <w:left w:val="nil"/>
              <w:bottom w:val="double" w:sz="6" w:space="0" w:color="auto"/>
              <w:right w:val="single" w:sz="4" w:space="0" w:color="auto"/>
            </w:tcBorders>
            <w:shd w:val="clear" w:color="auto" w:fill="auto"/>
            <w:vAlign w:val="center"/>
          </w:tcPr>
          <w:p w14:paraId="23FB7F95" w14:textId="77777777" w:rsidR="00C4104D" w:rsidRPr="005119DA" w:rsidRDefault="00C4104D" w:rsidP="005F2E4B">
            <w:pPr>
              <w:jc w:val="center"/>
              <w:rPr>
                <w:rFonts w:eastAsia="Calibri" w:cs="Arial"/>
                <w:bCs/>
                <w:sz w:val="20"/>
                <w:szCs w:val="20"/>
              </w:rPr>
            </w:pPr>
            <w:r w:rsidRPr="005119DA">
              <w:rPr>
                <w:rFonts w:eastAsia="Calibri" w:cs="Arial"/>
                <w:bCs/>
                <w:sz w:val="20"/>
                <w:szCs w:val="20"/>
              </w:rPr>
              <w:t>2023</w:t>
            </w:r>
          </w:p>
        </w:tc>
        <w:tc>
          <w:tcPr>
            <w:tcW w:w="2020" w:type="dxa"/>
            <w:tcBorders>
              <w:top w:val="nil"/>
              <w:left w:val="nil"/>
              <w:bottom w:val="double" w:sz="6" w:space="0" w:color="auto"/>
              <w:right w:val="single" w:sz="4" w:space="0" w:color="auto"/>
            </w:tcBorders>
            <w:shd w:val="clear" w:color="auto" w:fill="auto"/>
            <w:vAlign w:val="center"/>
          </w:tcPr>
          <w:p w14:paraId="025A37A5" w14:textId="77777777" w:rsidR="00C4104D" w:rsidRPr="005119DA" w:rsidRDefault="00C4104D" w:rsidP="005F2E4B">
            <w:pPr>
              <w:jc w:val="center"/>
              <w:rPr>
                <w:rFonts w:eastAsia="Calibri" w:cs="Arial"/>
                <w:bCs/>
                <w:sz w:val="20"/>
                <w:szCs w:val="20"/>
              </w:rPr>
            </w:pPr>
            <w:r w:rsidRPr="005119DA">
              <w:rPr>
                <w:rFonts w:eastAsia="Calibri" w:cs="Arial"/>
                <w:bCs/>
                <w:sz w:val="20"/>
                <w:szCs w:val="20"/>
              </w:rPr>
              <w:t>2</w:t>
            </w:r>
          </w:p>
        </w:tc>
        <w:tc>
          <w:tcPr>
            <w:tcW w:w="2738" w:type="dxa"/>
            <w:tcBorders>
              <w:top w:val="nil"/>
              <w:left w:val="nil"/>
              <w:bottom w:val="double" w:sz="6" w:space="0" w:color="auto"/>
              <w:right w:val="single" w:sz="4" w:space="0" w:color="auto"/>
            </w:tcBorders>
            <w:shd w:val="clear" w:color="auto" w:fill="auto"/>
            <w:vAlign w:val="center"/>
          </w:tcPr>
          <w:p w14:paraId="5A15777A" w14:textId="77777777" w:rsidR="00C4104D" w:rsidRPr="005119DA" w:rsidRDefault="00C4104D" w:rsidP="005F2E4B">
            <w:pPr>
              <w:jc w:val="center"/>
              <w:rPr>
                <w:rFonts w:eastAsia="Calibri" w:cs="Arial"/>
                <w:bCs/>
                <w:sz w:val="20"/>
                <w:szCs w:val="20"/>
              </w:rPr>
            </w:pPr>
            <w:r w:rsidRPr="005119DA">
              <w:rPr>
                <w:rFonts w:eastAsia="Calibri" w:cs="Arial"/>
                <w:bCs/>
                <w:sz w:val="20"/>
                <w:szCs w:val="20"/>
              </w:rPr>
              <w:t>1</w:t>
            </w:r>
          </w:p>
        </w:tc>
        <w:tc>
          <w:tcPr>
            <w:tcW w:w="2551" w:type="dxa"/>
            <w:tcBorders>
              <w:top w:val="nil"/>
              <w:left w:val="nil"/>
              <w:bottom w:val="double" w:sz="6" w:space="0" w:color="auto"/>
              <w:right w:val="single" w:sz="12" w:space="0" w:color="auto"/>
            </w:tcBorders>
            <w:shd w:val="clear" w:color="auto" w:fill="auto"/>
            <w:vAlign w:val="center"/>
          </w:tcPr>
          <w:p w14:paraId="0495688E" w14:textId="77777777" w:rsidR="00C4104D" w:rsidRPr="005119DA" w:rsidRDefault="00C4104D" w:rsidP="005F2E4B">
            <w:pPr>
              <w:jc w:val="center"/>
              <w:rPr>
                <w:rFonts w:eastAsia="Calibri" w:cs="Arial"/>
                <w:bCs/>
                <w:sz w:val="20"/>
                <w:szCs w:val="20"/>
              </w:rPr>
            </w:pPr>
            <w:r w:rsidRPr="005119DA">
              <w:rPr>
                <w:rFonts w:eastAsia="Calibri" w:cs="Arial"/>
                <w:bCs/>
                <w:sz w:val="20"/>
                <w:szCs w:val="20"/>
              </w:rPr>
              <w:t>1</w:t>
            </w:r>
          </w:p>
        </w:tc>
      </w:tr>
      <w:tr w:rsidR="00C4104D" w:rsidRPr="00094DA0" w14:paraId="3AF97201" w14:textId="77777777" w:rsidTr="005F2E4B">
        <w:trPr>
          <w:trHeight w:val="315"/>
        </w:trPr>
        <w:tc>
          <w:tcPr>
            <w:tcW w:w="960" w:type="dxa"/>
            <w:vMerge w:val="restart"/>
            <w:tcBorders>
              <w:top w:val="nil"/>
              <w:left w:val="single" w:sz="12" w:space="0" w:color="auto"/>
              <w:bottom w:val="double" w:sz="6" w:space="0" w:color="000000"/>
              <w:right w:val="single" w:sz="4" w:space="0" w:color="auto"/>
            </w:tcBorders>
            <w:shd w:val="clear" w:color="auto" w:fill="auto"/>
            <w:vAlign w:val="center"/>
            <w:hideMark/>
          </w:tcPr>
          <w:p w14:paraId="00BA4EBF" w14:textId="77777777" w:rsidR="00C4104D" w:rsidRPr="00746F9D" w:rsidRDefault="00C4104D" w:rsidP="005F2E4B">
            <w:pPr>
              <w:rPr>
                <w:rFonts w:cs="Arial"/>
                <w:color w:val="000000"/>
                <w:sz w:val="20"/>
                <w:szCs w:val="20"/>
              </w:rPr>
            </w:pPr>
            <w:r w:rsidRPr="00746F9D">
              <w:rPr>
                <w:rFonts w:cs="Arial"/>
                <w:color w:val="000000"/>
                <w:sz w:val="20"/>
                <w:szCs w:val="20"/>
              </w:rPr>
              <w:t>TMB</w:t>
            </w:r>
          </w:p>
        </w:tc>
        <w:tc>
          <w:tcPr>
            <w:tcW w:w="960" w:type="dxa"/>
            <w:tcBorders>
              <w:top w:val="nil"/>
              <w:left w:val="nil"/>
              <w:bottom w:val="single" w:sz="4" w:space="0" w:color="auto"/>
              <w:right w:val="single" w:sz="4" w:space="0" w:color="auto"/>
            </w:tcBorders>
            <w:shd w:val="clear" w:color="auto" w:fill="auto"/>
            <w:vAlign w:val="center"/>
            <w:hideMark/>
          </w:tcPr>
          <w:p w14:paraId="066BB0A9" w14:textId="77777777" w:rsidR="00C4104D" w:rsidRPr="00746F9D" w:rsidRDefault="00C4104D" w:rsidP="005F2E4B">
            <w:pPr>
              <w:jc w:val="center"/>
              <w:rPr>
                <w:rFonts w:eastAsia="Calibri" w:cs="Arial"/>
                <w:bCs/>
                <w:sz w:val="20"/>
                <w:szCs w:val="20"/>
              </w:rPr>
            </w:pPr>
            <w:r w:rsidRPr="00746F9D">
              <w:rPr>
                <w:rFonts w:eastAsia="Calibri" w:cs="Arial"/>
                <w:bCs/>
                <w:sz w:val="20"/>
                <w:szCs w:val="20"/>
              </w:rPr>
              <w:t>2022</w:t>
            </w:r>
          </w:p>
        </w:tc>
        <w:tc>
          <w:tcPr>
            <w:tcW w:w="2020" w:type="dxa"/>
            <w:tcBorders>
              <w:top w:val="nil"/>
              <w:left w:val="nil"/>
              <w:bottom w:val="single" w:sz="4" w:space="0" w:color="auto"/>
              <w:right w:val="single" w:sz="4" w:space="0" w:color="auto"/>
            </w:tcBorders>
            <w:shd w:val="clear" w:color="auto" w:fill="auto"/>
            <w:vAlign w:val="center"/>
          </w:tcPr>
          <w:p w14:paraId="6C64EA82" w14:textId="77777777" w:rsidR="00C4104D" w:rsidRPr="00746F9D" w:rsidRDefault="00C4104D" w:rsidP="005F2E4B">
            <w:pPr>
              <w:jc w:val="center"/>
              <w:rPr>
                <w:rFonts w:eastAsia="Calibri" w:cs="Arial"/>
                <w:bCs/>
                <w:sz w:val="20"/>
                <w:szCs w:val="20"/>
              </w:rPr>
            </w:pPr>
            <w:r w:rsidRPr="00746F9D">
              <w:rPr>
                <w:rFonts w:eastAsia="Calibri" w:cs="Arial"/>
                <w:bCs/>
                <w:sz w:val="20"/>
                <w:szCs w:val="20"/>
              </w:rPr>
              <w:t>7</w:t>
            </w:r>
          </w:p>
        </w:tc>
        <w:tc>
          <w:tcPr>
            <w:tcW w:w="2738" w:type="dxa"/>
            <w:tcBorders>
              <w:top w:val="nil"/>
              <w:left w:val="nil"/>
              <w:bottom w:val="single" w:sz="4" w:space="0" w:color="auto"/>
              <w:right w:val="single" w:sz="4" w:space="0" w:color="auto"/>
            </w:tcBorders>
            <w:shd w:val="clear" w:color="auto" w:fill="auto"/>
            <w:vAlign w:val="center"/>
          </w:tcPr>
          <w:p w14:paraId="76855B84" w14:textId="77777777" w:rsidR="00C4104D" w:rsidRPr="00746F9D" w:rsidRDefault="00C4104D" w:rsidP="005F2E4B">
            <w:pPr>
              <w:jc w:val="center"/>
              <w:rPr>
                <w:rFonts w:eastAsia="Calibri" w:cs="Arial"/>
                <w:bCs/>
                <w:sz w:val="20"/>
                <w:szCs w:val="20"/>
              </w:rPr>
            </w:pPr>
            <w:r w:rsidRPr="00746F9D">
              <w:rPr>
                <w:rFonts w:eastAsia="Calibri" w:cs="Arial"/>
                <w:bCs/>
                <w:sz w:val="20"/>
                <w:szCs w:val="20"/>
              </w:rPr>
              <w:t>3</w:t>
            </w:r>
          </w:p>
        </w:tc>
        <w:tc>
          <w:tcPr>
            <w:tcW w:w="2551" w:type="dxa"/>
            <w:tcBorders>
              <w:top w:val="nil"/>
              <w:left w:val="nil"/>
              <w:bottom w:val="single" w:sz="4" w:space="0" w:color="auto"/>
              <w:right w:val="single" w:sz="12" w:space="0" w:color="auto"/>
            </w:tcBorders>
            <w:shd w:val="clear" w:color="auto" w:fill="auto"/>
            <w:vAlign w:val="center"/>
          </w:tcPr>
          <w:p w14:paraId="7514D342" w14:textId="77777777" w:rsidR="00C4104D" w:rsidRPr="00746F9D" w:rsidRDefault="00C4104D" w:rsidP="005F2E4B">
            <w:pPr>
              <w:jc w:val="center"/>
              <w:rPr>
                <w:rFonts w:eastAsia="Calibri" w:cs="Arial"/>
                <w:bCs/>
                <w:sz w:val="20"/>
                <w:szCs w:val="20"/>
              </w:rPr>
            </w:pPr>
            <w:r w:rsidRPr="00746F9D">
              <w:rPr>
                <w:rFonts w:eastAsia="Calibri" w:cs="Arial"/>
                <w:bCs/>
                <w:sz w:val="20"/>
                <w:szCs w:val="20"/>
              </w:rPr>
              <w:t>4</w:t>
            </w:r>
          </w:p>
        </w:tc>
      </w:tr>
      <w:tr w:rsidR="00C4104D" w:rsidRPr="00094DA0" w14:paraId="63570EBF" w14:textId="77777777" w:rsidTr="005F2E4B">
        <w:trPr>
          <w:trHeight w:val="315"/>
        </w:trPr>
        <w:tc>
          <w:tcPr>
            <w:tcW w:w="960" w:type="dxa"/>
            <w:vMerge/>
            <w:tcBorders>
              <w:top w:val="nil"/>
              <w:left w:val="single" w:sz="12" w:space="0" w:color="auto"/>
              <w:bottom w:val="double" w:sz="6" w:space="0" w:color="000000"/>
              <w:right w:val="single" w:sz="4" w:space="0" w:color="auto"/>
            </w:tcBorders>
            <w:vAlign w:val="center"/>
            <w:hideMark/>
          </w:tcPr>
          <w:p w14:paraId="0E9760EA" w14:textId="77777777" w:rsidR="00C4104D" w:rsidRPr="00746F9D" w:rsidRDefault="00C4104D" w:rsidP="005F2E4B">
            <w:pPr>
              <w:rPr>
                <w:rFonts w:cs="Arial"/>
                <w:color w:val="000000"/>
                <w:sz w:val="20"/>
                <w:szCs w:val="20"/>
              </w:rPr>
            </w:pPr>
          </w:p>
        </w:tc>
        <w:tc>
          <w:tcPr>
            <w:tcW w:w="960" w:type="dxa"/>
            <w:tcBorders>
              <w:top w:val="nil"/>
              <w:left w:val="nil"/>
              <w:bottom w:val="double" w:sz="6" w:space="0" w:color="auto"/>
              <w:right w:val="single" w:sz="4" w:space="0" w:color="auto"/>
            </w:tcBorders>
            <w:shd w:val="clear" w:color="auto" w:fill="auto"/>
            <w:vAlign w:val="center"/>
            <w:hideMark/>
          </w:tcPr>
          <w:p w14:paraId="606DAE99" w14:textId="77777777" w:rsidR="00C4104D" w:rsidRPr="00746F9D" w:rsidRDefault="00C4104D" w:rsidP="005F2E4B">
            <w:pPr>
              <w:jc w:val="center"/>
              <w:rPr>
                <w:rFonts w:eastAsia="Calibri" w:cs="Arial"/>
                <w:bCs/>
                <w:sz w:val="20"/>
                <w:szCs w:val="20"/>
              </w:rPr>
            </w:pPr>
            <w:r w:rsidRPr="00746F9D">
              <w:rPr>
                <w:rFonts w:eastAsia="Calibri" w:cs="Arial"/>
                <w:bCs/>
                <w:sz w:val="20"/>
                <w:szCs w:val="20"/>
              </w:rPr>
              <w:t>2023</w:t>
            </w:r>
          </w:p>
        </w:tc>
        <w:tc>
          <w:tcPr>
            <w:tcW w:w="2020" w:type="dxa"/>
            <w:tcBorders>
              <w:top w:val="nil"/>
              <w:left w:val="nil"/>
              <w:bottom w:val="double" w:sz="6" w:space="0" w:color="auto"/>
              <w:right w:val="single" w:sz="4" w:space="0" w:color="auto"/>
            </w:tcBorders>
            <w:shd w:val="clear" w:color="auto" w:fill="auto"/>
            <w:vAlign w:val="center"/>
          </w:tcPr>
          <w:p w14:paraId="6AD00942" w14:textId="77777777" w:rsidR="00C4104D" w:rsidRPr="00746F9D" w:rsidRDefault="00C4104D" w:rsidP="005F2E4B">
            <w:pPr>
              <w:jc w:val="center"/>
              <w:rPr>
                <w:rFonts w:eastAsia="Calibri" w:cs="Arial"/>
                <w:bCs/>
                <w:sz w:val="20"/>
                <w:szCs w:val="20"/>
              </w:rPr>
            </w:pPr>
            <w:r w:rsidRPr="00746F9D">
              <w:rPr>
                <w:rFonts w:eastAsia="Calibri" w:cs="Arial"/>
                <w:bCs/>
                <w:sz w:val="20"/>
                <w:szCs w:val="20"/>
              </w:rPr>
              <w:t>7</w:t>
            </w:r>
          </w:p>
        </w:tc>
        <w:tc>
          <w:tcPr>
            <w:tcW w:w="2738" w:type="dxa"/>
            <w:tcBorders>
              <w:top w:val="nil"/>
              <w:left w:val="nil"/>
              <w:bottom w:val="double" w:sz="6" w:space="0" w:color="auto"/>
              <w:right w:val="single" w:sz="4" w:space="0" w:color="auto"/>
            </w:tcBorders>
            <w:shd w:val="clear" w:color="auto" w:fill="auto"/>
            <w:vAlign w:val="center"/>
          </w:tcPr>
          <w:p w14:paraId="4A001579" w14:textId="77777777" w:rsidR="00C4104D" w:rsidRPr="00746F9D" w:rsidRDefault="00C4104D" w:rsidP="005F2E4B">
            <w:pPr>
              <w:jc w:val="center"/>
              <w:rPr>
                <w:rFonts w:eastAsia="Calibri" w:cs="Arial"/>
                <w:bCs/>
                <w:sz w:val="20"/>
                <w:szCs w:val="20"/>
              </w:rPr>
            </w:pPr>
            <w:r w:rsidRPr="00746F9D">
              <w:rPr>
                <w:rFonts w:eastAsia="Calibri" w:cs="Arial"/>
                <w:bCs/>
                <w:sz w:val="20"/>
                <w:szCs w:val="20"/>
              </w:rPr>
              <w:t>3</w:t>
            </w:r>
          </w:p>
        </w:tc>
        <w:tc>
          <w:tcPr>
            <w:tcW w:w="2551" w:type="dxa"/>
            <w:tcBorders>
              <w:top w:val="nil"/>
              <w:left w:val="nil"/>
              <w:bottom w:val="double" w:sz="6" w:space="0" w:color="auto"/>
              <w:right w:val="single" w:sz="12" w:space="0" w:color="auto"/>
            </w:tcBorders>
            <w:shd w:val="clear" w:color="auto" w:fill="auto"/>
            <w:vAlign w:val="center"/>
          </w:tcPr>
          <w:p w14:paraId="00449D66" w14:textId="77777777" w:rsidR="00C4104D" w:rsidRPr="00746F9D" w:rsidRDefault="00C4104D" w:rsidP="005F2E4B">
            <w:pPr>
              <w:jc w:val="center"/>
              <w:rPr>
                <w:rFonts w:eastAsia="Calibri" w:cs="Arial"/>
                <w:bCs/>
                <w:sz w:val="20"/>
                <w:szCs w:val="20"/>
              </w:rPr>
            </w:pPr>
            <w:r w:rsidRPr="00746F9D">
              <w:rPr>
                <w:rFonts w:eastAsia="Calibri" w:cs="Arial"/>
                <w:bCs/>
                <w:sz w:val="20"/>
                <w:szCs w:val="20"/>
              </w:rPr>
              <w:t>4</w:t>
            </w:r>
          </w:p>
        </w:tc>
      </w:tr>
      <w:tr w:rsidR="00C4104D" w:rsidRPr="00094DA0" w14:paraId="6F12EC5F" w14:textId="77777777" w:rsidTr="005F2E4B">
        <w:trPr>
          <w:trHeight w:val="315"/>
        </w:trPr>
        <w:tc>
          <w:tcPr>
            <w:tcW w:w="960" w:type="dxa"/>
            <w:vMerge w:val="restart"/>
            <w:tcBorders>
              <w:top w:val="nil"/>
              <w:left w:val="single" w:sz="12" w:space="0" w:color="auto"/>
              <w:bottom w:val="double" w:sz="6" w:space="0" w:color="000000"/>
              <w:right w:val="single" w:sz="4" w:space="0" w:color="auto"/>
            </w:tcBorders>
            <w:shd w:val="clear" w:color="auto" w:fill="auto"/>
            <w:vAlign w:val="center"/>
          </w:tcPr>
          <w:p w14:paraId="1DDD942D" w14:textId="77777777" w:rsidR="00C4104D" w:rsidRPr="006C2E86" w:rsidRDefault="00C4104D" w:rsidP="005F2E4B">
            <w:pPr>
              <w:rPr>
                <w:rFonts w:eastAsia="Calibri" w:cs="Arial"/>
                <w:bCs/>
                <w:sz w:val="20"/>
                <w:szCs w:val="20"/>
              </w:rPr>
            </w:pPr>
            <w:r w:rsidRPr="006C2E86">
              <w:rPr>
                <w:rFonts w:eastAsia="Calibri" w:cs="Arial"/>
                <w:sz w:val="20"/>
                <w:szCs w:val="20"/>
              </w:rPr>
              <w:t>NMP</w:t>
            </w:r>
          </w:p>
        </w:tc>
        <w:tc>
          <w:tcPr>
            <w:tcW w:w="960" w:type="dxa"/>
            <w:tcBorders>
              <w:top w:val="nil"/>
              <w:left w:val="nil"/>
              <w:bottom w:val="single" w:sz="4" w:space="0" w:color="auto"/>
              <w:right w:val="single" w:sz="4" w:space="0" w:color="auto"/>
            </w:tcBorders>
            <w:shd w:val="clear" w:color="auto" w:fill="auto"/>
            <w:vAlign w:val="center"/>
          </w:tcPr>
          <w:p w14:paraId="588A3B97" w14:textId="77777777" w:rsidR="00C4104D" w:rsidRPr="006C2E86" w:rsidRDefault="00C4104D" w:rsidP="005F2E4B">
            <w:pPr>
              <w:jc w:val="center"/>
              <w:rPr>
                <w:rFonts w:eastAsia="Calibri" w:cs="Arial"/>
                <w:bCs/>
                <w:sz w:val="20"/>
                <w:szCs w:val="20"/>
              </w:rPr>
            </w:pPr>
            <w:r w:rsidRPr="006C2E86">
              <w:rPr>
                <w:rFonts w:eastAsia="Calibri" w:cs="Arial"/>
                <w:bCs/>
                <w:sz w:val="20"/>
                <w:szCs w:val="20"/>
              </w:rPr>
              <w:t>2022</w:t>
            </w:r>
          </w:p>
        </w:tc>
        <w:tc>
          <w:tcPr>
            <w:tcW w:w="2020" w:type="dxa"/>
            <w:tcBorders>
              <w:top w:val="nil"/>
              <w:left w:val="nil"/>
              <w:bottom w:val="single" w:sz="4" w:space="0" w:color="auto"/>
              <w:right w:val="single" w:sz="4" w:space="0" w:color="auto"/>
            </w:tcBorders>
            <w:shd w:val="clear" w:color="auto" w:fill="auto"/>
            <w:vAlign w:val="center"/>
          </w:tcPr>
          <w:p w14:paraId="4A1D075E" w14:textId="77777777" w:rsidR="00C4104D" w:rsidRPr="006C2E86" w:rsidRDefault="00C4104D" w:rsidP="005F2E4B">
            <w:pPr>
              <w:spacing w:line="254" w:lineRule="auto"/>
              <w:jc w:val="center"/>
              <w:rPr>
                <w:rFonts w:cs="Arial"/>
                <w:bCs/>
                <w:sz w:val="20"/>
                <w:szCs w:val="20"/>
              </w:rPr>
            </w:pPr>
            <w:r w:rsidRPr="006C2E86">
              <w:rPr>
                <w:rFonts w:cs="Arial"/>
                <w:bCs/>
                <w:sz w:val="20"/>
                <w:szCs w:val="20"/>
              </w:rPr>
              <w:t>4</w:t>
            </w:r>
          </w:p>
        </w:tc>
        <w:tc>
          <w:tcPr>
            <w:tcW w:w="2738" w:type="dxa"/>
            <w:tcBorders>
              <w:top w:val="nil"/>
              <w:left w:val="nil"/>
              <w:bottom w:val="single" w:sz="4" w:space="0" w:color="auto"/>
              <w:right w:val="single" w:sz="4" w:space="0" w:color="auto"/>
            </w:tcBorders>
            <w:shd w:val="clear" w:color="auto" w:fill="auto"/>
            <w:vAlign w:val="center"/>
          </w:tcPr>
          <w:p w14:paraId="56B0701F" w14:textId="77777777" w:rsidR="00C4104D" w:rsidRPr="006C2E86" w:rsidRDefault="00C4104D" w:rsidP="005F2E4B">
            <w:pPr>
              <w:spacing w:line="254" w:lineRule="auto"/>
              <w:jc w:val="center"/>
              <w:rPr>
                <w:rFonts w:cs="Arial"/>
                <w:bCs/>
                <w:sz w:val="20"/>
                <w:szCs w:val="20"/>
              </w:rPr>
            </w:pPr>
            <w:r w:rsidRPr="006C2E86">
              <w:rPr>
                <w:rFonts w:cs="Arial"/>
                <w:bCs/>
                <w:sz w:val="20"/>
                <w:szCs w:val="20"/>
              </w:rPr>
              <w:t>2</w:t>
            </w:r>
          </w:p>
        </w:tc>
        <w:tc>
          <w:tcPr>
            <w:tcW w:w="2551" w:type="dxa"/>
            <w:tcBorders>
              <w:top w:val="nil"/>
              <w:left w:val="nil"/>
              <w:bottom w:val="single" w:sz="4" w:space="0" w:color="auto"/>
              <w:right w:val="single" w:sz="12" w:space="0" w:color="auto"/>
            </w:tcBorders>
            <w:shd w:val="clear" w:color="auto" w:fill="auto"/>
            <w:vAlign w:val="center"/>
          </w:tcPr>
          <w:p w14:paraId="49CA4055" w14:textId="77777777" w:rsidR="00C4104D" w:rsidRPr="006C2E86" w:rsidRDefault="00C4104D" w:rsidP="005F2E4B">
            <w:pPr>
              <w:spacing w:line="254" w:lineRule="auto"/>
              <w:jc w:val="center"/>
              <w:rPr>
                <w:rFonts w:cs="Arial"/>
                <w:bCs/>
                <w:sz w:val="20"/>
                <w:szCs w:val="20"/>
              </w:rPr>
            </w:pPr>
            <w:r w:rsidRPr="006C2E86">
              <w:rPr>
                <w:rFonts w:cs="Arial"/>
                <w:bCs/>
                <w:sz w:val="20"/>
                <w:szCs w:val="20"/>
              </w:rPr>
              <w:t>2</w:t>
            </w:r>
          </w:p>
        </w:tc>
      </w:tr>
      <w:tr w:rsidR="00C4104D" w:rsidRPr="00094DA0" w14:paraId="79C54438" w14:textId="77777777" w:rsidTr="005F2E4B">
        <w:trPr>
          <w:trHeight w:val="315"/>
        </w:trPr>
        <w:tc>
          <w:tcPr>
            <w:tcW w:w="960" w:type="dxa"/>
            <w:vMerge/>
            <w:tcBorders>
              <w:top w:val="nil"/>
              <w:left w:val="single" w:sz="12" w:space="0" w:color="auto"/>
              <w:bottom w:val="double" w:sz="6" w:space="0" w:color="000000"/>
              <w:right w:val="single" w:sz="4" w:space="0" w:color="auto"/>
            </w:tcBorders>
            <w:vAlign w:val="center"/>
          </w:tcPr>
          <w:p w14:paraId="4402DD24" w14:textId="77777777" w:rsidR="00C4104D" w:rsidRPr="006C2E86" w:rsidRDefault="00C4104D" w:rsidP="005F2E4B">
            <w:pPr>
              <w:rPr>
                <w:rFonts w:cs="Arial"/>
                <w:color w:val="000000"/>
                <w:sz w:val="20"/>
                <w:szCs w:val="20"/>
              </w:rPr>
            </w:pPr>
          </w:p>
        </w:tc>
        <w:tc>
          <w:tcPr>
            <w:tcW w:w="960" w:type="dxa"/>
            <w:tcBorders>
              <w:top w:val="nil"/>
              <w:left w:val="nil"/>
              <w:bottom w:val="double" w:sz="6" w:space="0" w:color="auto"/>
              <w:right w:val="single" w:sz="4" w:space="0" w:color="auto"/>
            </w:tcBorders>
            <w:shd w:val="clear" w:color="auto" w:fill="auto"/>
            <w:vAlign w:val="center"/>
          </w:tcPr>
          <w:p w14:paraId="3CEA85D2" w14:textId="77777777" w:rsidR="00C4104D" w:rsidRPr="006C2E86" w:rsidRDefault="00C4104D" w:rsidP="005F2E4B">
            <w:pPr>
              <w:jc w:val="center"/>
              <w:rPr>
                <w:rFonts w:eastAsia="Calibri" w:cs="Arial"/>
                <w:bCs/>
                <w:sz w:val="20"/>
                <w:szCs w:val="20"/>
              </w:rPr>
            </w:pPr>
            <w:r w:rsidRPr="006C2E86">
              <w:rPr>
                <w:rFonts w:eastAsia="Calibri" w:cs="Arial"/>
                <w:bCs/>
                <w:sz w:val="20"/>
                <w:szCs w:val="20"/>
              </w:rPr>
              <w:t>2023</w:t>
            </w:r>
          </w:p>
        </w:tc>
        <w:tc>
          <w:tcPr>
            <w:tcW w:w="2020" w:type="dxa"/>
            <w:tcBorders>
              <w:top w:val="nil"/>
              <w:left w:val="nil"/>
              <w:bottom w:val="double" w:sz="6" w:space="0" w:color="auto"/>
              <w:right w:val="single" w:sz="4" w:space="0" w:color="auto"/>
            </w:tcBorders>
            <w:shd w:val="clear" w:color="auto" w:fill="auto"/>
            <w:vAlign w:val="center"/>
          </w:tcPr>
          <w:p w14:paraId="0C1C97AB" w14:textId="77777777" w:rsidR="00C4104D" w:rsidRPr="006C2E86" w:rsidRDefault="00C4104D" w:rsidP="005F2E4B">
            <w:pPr>
              <w:spacing w:line="254" w:lineRule="auto"/>
              <w:jc w:val="center"/>
              <w:rPr>
                <w:rFonts w:cs="Arial"/>
                <w:bCs/>
                <w:sz w:val="20"/>
                <w:szCs w:val="20"/>
              </w:rPr>
            </w:pPr>
            <w:r w:rsidRPr="006C2E86">
              <w:rPr>
                <w:rFonts w:cs="Arial"/>
                <w:bCs/>
                <w:sz w:val="20"/>
                <w:szCs w:val="20"/>
              </w:rPr>
              <w:t>4</w:t>
            </w:r>
          </w:p>
        </w:tc>
        <w:tc>
          <w:tcPr>
            <w:tcW w:w="2738" w:type="dxa"/>
            <w:tcBorders>
              <w:top w:val="nil"/>
              <w:left w:val="nil"/>
              <w:bottom w:val="double" w:sz="6" w:space="0" w:color="auto"/>
              <w:right w:val="single" w:sz="4" w:space="0" w:color="auto"/>
            </w:tcBorders>
            <w:shd w:val="clear" w:color="auto" w:fill="auto"/>
            <w:vAlign w:val="center"/>
          </w:tcPr>
          <w:p w14:paraId="3FF32E73" w14:textId="77777777" w:rsidR="00C4104D" w:rsidRPr="006C2E86" w:rsidRDefault="00C4104D" w:rsidP="005F2E4B">
            <w:pPr>
              <w:spacing w:line="254" w:lineRule="auto"/>
              <w:jc w:val="center"/>
              <w:rPr>
                <w:rFonts w:cs="Arial"/>
                <w:bCs/>
                <w:sz w:val="20"/>
                <w:szCs w:val="20"/>
              </w:rPr>
            </w:pPr>
            <w:r w:rsidRPr="006C2E86">
              <w:rPr>
                <w:rFonts w:cs="Arial"/>
                <w:bCs/>
                <w:sz w:val="20"/>
                <w:szCs w:val="20"/>
              </w:rPr>
              <w:t>2</w:t>
            </w:r>
          </w:p>
        </w:tc>
        <w:tc>
          <w:tcPr>
            <w:tcW w:w="2551" w:type="dxa"/>
            <w:tcBorders>
              <w:top w:val="nil"/>
              <w:left w:val="nil"/>
              <w:bottom w:val="double" w:sz="6" w:space="0" w:color="auto"/>
              <w:right w:val="single" w:sz="12" w:space="0" w:color="auto"/>
            </w:tcBorders>
            <w:shd w:val="clear" w:color="auto" w:fill="auto"/>
            <w:vAlign w:val="center"/>
          </w:tcPr>
          <w:p w14:paraId="6F49B583" w14:textId="77777777" w:rsidR="00C4104D" w:rsidRPr="006C2E86" w:rsidRDefault="00C4104D" w:rsidP="005F2E4B">
            <w:pPr>
              <w:spacing w:line="254" w:lineRule="auto"/>
              <w:jc w:val="center"/>
              <w:rPr>
                <w:rFonts w:cs="Arial"/>
                <w:bCs/>
                <w:sz w:val="20"/>
                <w:szCs w:val="20"/>
              </w:rPr>
            </w:pPr>
            <w:r w:rsidRPr="006C2E86">
              <w:rPr>
                <w:rFonts w:cs="Arial"/>
                <w:bCs/>
                <w:sz w:val="20"/>
                <w:szCs w:val="20"/>
              </w:rPr>
              <w:t>2</w:t>
            </w:r>
          </w:p>
        </w:tc>
      </w:tr>
      <w:tr w:rsidR="00C4104D" w:rsidRPr="00094DA0" w14:paraId="2DCA7954" w14:textId="77777777" w:rsidTr="005F2E4B">
        <w:trPr>
          <w:trHeight w:val="315"/>
        </w:trPr>
        <w:tc>
          <w:tcPr>
            <w:tcW w:w="960" w:type="dxa"/>
            <w:vMerge w:val="restart"/>
            <w:tcBorders>
              <w:top w:val="single" w:sz="4" w:space="0" w:color="auto"/>
              <w:left w:val="single" w:sz="12" w:space="0" w:color="auto"/>
              <w:bottom w:val="single" w:sz="8" w:space="0" w:color="000000"/>
              <w:right w:val="single" w:sz="4" w:space="0" w:color="auto"/>
            </w:tcBorders>
            <w:shd w:val="clear" w:color="auto" w:fill="auto"/>
            <w:vAlign w:val="center"/>
            <w:hideMark/>
          </w:tcPr>
          <w:p w14:paraId="1FD70C43" w14:textId="77777777" w:rsidR="00C4104D" w:rsidRPr="001519B4" w:rsidRDefault="00C4104D" w:rsidP="005F2E4B">
            <w:pPr>
              <w:rPr>
                <w:rFonts w:cs="Arial"/>
                <w:color w:val="000000"/>
                <w:sz w:val="20"/>
                <w:szCs w:val="20"/>
              </w:rPr>
            </w:pPr>
            <w:r w:rsidRPr="001519B4">
              <w:rPr>
                <w:rFonts w:cs="Arial"/>
                <w:color w:val="000000"/>
                <w:sz w:val="20"/>
                <w:szCs w:val="20"/>
              </w:rPr>
              <w:t>HMT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7FE19D1" w14:textId="77777777" w:rsidR="00C4104D" w:rsidRPr="001519B4" w:rsidRDefault="00C4104D" w:rsidP="005F2E4B">
            <w:pPr>
              <w:jc w:val="center"/>
              <w:rPr>
                <w:rFonts w:eastAsia="Calibri" w:cs="Arial"/>
                <w:bCs/>
                <w:sz w:val="20"/>
                <w:szCs w:val="20"/>
              </w:rPr>
            </w:pPr>
            <w:r w:rsidRPr="001519B4">
              <w:rPr>
                <w:rFonts w:eastAsia="Calibri" w:cs="Arial"/>
                <w:bCs/>
                <w:sz w:val="20"/>
                <w:szCs w:val="20"/>
              </w:rPr>
              <w:t>2022</w:t>
            </w:r>
          </w:p>
        </w:tc>
        <w:tc>
          <w:tcPr>
            <w:tcW w:w="2020" w:type="dxa"/>
            <w:tcBorders>
              <w:top w:val="single" w:sz="4" w:space="0" w:color="auto"/>
              <w:left w:val="nil"/>
              <w:bottom w:val="single" w:sz="4" w:space="0" w:color="auto"/>
              <w:right w:val="single" w:sz="4" w:space="0" w:color="auto"/>
            </w:tcBorders>
            <w:shd w:val="clear" w:color="auto" w:fill="auto"/>
            <w:vAlign w:val="center"/>
          </w:tcPr>
          <w:p w14:paraId="0A31389A" w14:textId="77777777" w:rsidR="00C4104D" w:rsidRPr="001519B4" w:rsidRDefault="00C4104D" w:rsidP="005F2E4B">
            <w:pPr>
              <w:jc w:val="center"/>
              <w:rPr>
                <w:rFonts w:eastAsia="Calibri" w:cs="Arial"/>
                <w:bCs/>
                <w:sz w:val="20"/>
                <w:szCs w:val="20"/>
              </w:rPr>
            </w:pPr>
            <w:r w:rsidRPr="001519B4">
              <w:rPr>
                <w:rFonts w:eastAsia="Calibri" w:cs="Arial"/>
                <w:bCs/>
                <w:sz w:val="20"/>
                <w:szCs w:val="20"/>
              </w:rPr>
              <w:t>2</w:t>
            </w:r>
          </w:p>
        </w:tc>
        <w:tc>
          <w:tcPr>
            <w:tcW w:w="2738" w:type="dxa"/>
            <w:tcBorders>
              <w:top w:val="single" w:sz="4" w:space="0" w:color="auto"/>
              <w:left w:val="nil"/>
              <w:bottom w:val="single" w:sz="4" w:space="0" w:color="auto"/>
              <w:right w:val="single" w:sz="4" w:space="0" w:color="auto"/>
            </w:tcBorders>
            <w:shd w:val="clear" w:color="auto" w:fill="auto"/>
            <w:vAlign w:val="center"/>
          </w:tcPr>
          <w:p w14:paraId="1D551EF9" w14:textId="77777777" w:rsidR="00C4104D" w:rsidRPr="001519B4" w:rsidRDefault="00C4104D" w:rsidP="005F2E4B">
            <w:pPr>
              <w:jc w:val="center"/>
              <w:rPr>
                <w:rFonts w:eastAsia="Calibri" w:cs="Arial"/>
                <w:bCs/>
                <w:sz w:val="20"/>
                <w:szCs w:val="20"/>
              </w:rPr>
            </w:pPr>
            <w:r w:rsidRPr="001519B4">
              <w:rPr>
                <w:rFonts w:eastAsia="Calibri" w:cs="Arial"/>
                <w:bCs/>
                <w:sz w:val="20"/>
                <w:szCs w:val="20"/>
              </w:rPr>
              <w:t>2</w:t>
            </w:r>
          </w:p>
        </w:tc>
        <w:tc>
          <w:tcPr>
            <w:tcW w:w="2551" w:type="dxa"/>
            <w:tcBorders>
              <w:top w:val="single" w:sz="4" w:space="0" w:color="auto"/>
              <w:left w:val="nil"/>
              <w:bottom w:val="single" w:sz="4" w:space="0" w:color="auto"/>
              <w:right w:val="single" w:sz="12" w:space="0" w:color="auto"/>
            </w:tcBorders>
            <w:shd w:val="clear" w:color="auto" w:fill="auto"/>
            <w:vAlign w:val="center"/>
          </w:tcPr>
          <w:p w14:paraId="659204AE" w14:textId="77777777" w:rsidR="00C4104D" w:rsidRPr="001519B4" w:rsidRDefault="00C4104D" w:rsidP="005F2E4B">
            <w:pPr>
              <w:jc w:val="center"/>
              <w:rPr>
                <w:rFonts w:eastAsia="Calibri" w:cs="Arial"/>
                <w:bCs/>
                <w:sz w:val="20"/>
                <w:szCs w:val="20"/>
              </w:rPr>
            </w:pPr>
            <w:r w:rsidRPr="001519B4">
              <w:rPr>
                <w:rFonts w:eastAsia="Calibri" w:cs="Arial"/>
                <w:bCs/>
                <w:sz w:val="20"/>
                <w:szCs w:val="20"/>
              </w:rPr>
              <w:t>0</w:t>
            </w:r>
          </w:p>
        </w:tc>
      </w:tr>
      <w:tr w:rsidR="00C4104D" w:rsidRPr="00094DA0" w14:paraId="21754490" w14:textId="77777777" w:rsidTr="005F2E4B">
        <w:trPr>
          <w:trHeight w:val="315"/>
        </w:trPr>
        <w:tc>
          <w:tcPr>
            <w:tcW w:w="960" w:type="dxa"/>
            <w:vMerge/>
            <w:tcBorders>
              <w:top w:val="single" w:sz="4" w:space="0" w:color="auto"/>
              <w:left w:val="single" w:sz="12" w:space="0" w:color="auto"/>
              <w:bottom w:val="double" w:sz="4" w:space="0" w:color="auto"/>
              <w:right w:val="single" w:sz="4" w:space="0" w:color="auto"/>
            </w:tcBorders>
            <w:vAlign w:val="center"/>
            <w:hideMark/>
          </w:tcPr>
          <w:p w14:paraId="4B9D577E" w14:textId="77777777" w:rsidR="00C4104D" w:rsidRPr="001519B4" w:rsidRDefault="00C4104D" w:rsidP="005F2E4B">
            <w:pPr>
              <w:rPr>
                <w:rFonts w:cs="Arial"/>
                <w:color w:val="000000"/>
                <w:sz w:val="20"/>
                <w:szCs w:val="20"/>
              </w:rPr>
            </w:pPr>
          </w:p>
        </w:tc>
        <w:tc>
          <w:tcPr>
            <w:tcW w:w="960" w:type="dxa"/>
            <w:tcBorders>
              <w:top w:val="nil"/>
              <w:left w:val="nil"/>
              <w:bottom w:val="double" w:sz="4" w:space="0" w:color="auto"/>
              <w:right w:val="single" w:sz="4" w:space="0" w:color="auto"/>
            </w:tcBorders>
            <w:shd w:val="clear" w:color="auto" w:fill="auto"/>
            <w:vAlign w:val="center"/>
            <w:hideMark/>
          </w:tcPr>
          <w:p w14:paraId="6E325DA7" w14:textId="77777777" w:rsidR="00C4104D" w:rsidRPr="001519B4" w:rsidRDefault="00C4104D" w:rsidP="005F2E4B">
            <w:pPr>
              <w:jc w:val="center"/>
              <w:rPr>
                <w:rFonts w:eastAsia="Calibri" w:cs="Arial"/>
                <w:bCs/>
                <w:sz w:val="20"/>
                <w:szCs w:val="20"/>
              </w:rPr>
            </w:pPr>
            <w:r w:rsidRPr="001519B4">
              <w:rPr>
                <w:rFonts w:eastAsia="Calibri" w:cs="Arial"/>
                <w:bCs/>
                <w:sz w:val="20"/>
                <w:szCs w:val="20"/>
              </w:rPr>
              <w:t>2023</w:t>
            </w:r>
          </w:p>
        </w:tc>
        <w:tc>
          <w:tcPr>
            <w:tcW w:w="2020" w:type="dxa"/>
            <w:tcBorders>
              <w:top w:val="nil"/>
              <w:left w:val="nil"/>
              <w:bottom w:val="double" w:sz="4" w:space="0" w:color="auto"/>
              <w:right w:val="single" w:sz="4" w:space="0" w:color="auto"/>
            </w:tcBorders>
            <w:shd w:val="clear" w:color="auto" w:fill="auto"/>
            <w:vAlign w:val="center"/>
          </w:tcPr>
          <w:p w14:paraId="1D3FCA8E" w14:textId="77777777" w:rsidR="00C4104D" w:rsidRPr="001519B4" w:rsidRDefault="00C4104D" w:rsidP="005F2E4B">
            <w:pPr>
              <w:jc w:val="center"/>
              <w:rPr>
                <w:rFonts w:eastAsia="Calibri" w:cs="Arial"/>
                <w:bCs/>
                <w:sz w:val="20"/>
                <w:szCs w:val="20"/>
              </w:rPr>
            </w:pPr>
            <w:r w:rsidRPr="001519B4">
              <w:rPr>
                <w:rFonts w:eastAsia="Calibri" w:cs="Arial"/>
                <w:bCs/>
                <w:sz w:val="20"/>
                <w:szCs w:val="20"/>
              </w:rPr>
              <w:t>2</w:t>
            </w:r>
          </w:p>
        </w:tc>
        <w:tc>
          <w:tcPr>
            <w:tcW w:w="2738" w:type="dxa"/>
            <w:tcBorders>
              <w:top w:val="nil"/>
              <w:left w:val="nil"/>
              <w:bottom w:val="double" w:sz="4" w:space="0" w:color="auto"/>
              <w:right w:val="single" w:sz="4" w:space="0" w:color="auto"/>
            </w:tcBorders>
            <w:shd w:val="clear" w:color="auto" w:fill="auto"/>
            <w:vAlign w:val="center"/>
          </w:tcPr>
          <w:p w14:paraId="334A58DE" w14:textId="77777777" w:rsidR="00C4104D" w:rsidRPr="001519B4" w:rsidRDefault="00C4104D" w:rsidP="005F2E4B">
            <w:pPr>
              <w:jc w:val="center"/>
              <w:rPr>
                <w:rFonts w:eastAsia="Calibri" w:cs="Arial"/>
                <w:bCs/>
                <w:sz w:val="20"/>
                <w:szCs w:val="20"/>
              </w:rPr>
            </w:pPr>
            <w:r w:rsidRPr="001519B4">
              <w:rPr>
                <w:rFonts w:eastAsia="Calibri" w:cs="Arial"/>
                <w:bCs/>
                <w:sz w:val="20"/>
                <w:szCs w:val="20"/>
              </w:rPr>
              <w:t>2</w:t>
            </w:r>
          </w:p>
        </w:tc>
        <w:tc>
          <w:tcPr>
            <w:tcW w:w="2551" w:type="dxa"/>
            <w:tcBorders>
              <w:top w:val="nil"/>
              <w:left w:val="nil"/>
              <w:bottom w:val="double" w:sz="4" w:space="0" w:color="auto"/>
              <w:right w:val="single" w:sz="12" w:space="0" w:color="auto"/>
            </w:tcBorders>
            <w:shd w:val="clear" w:color="auto" w:fill="auto"/>
            <w:vAlign w:val="center"/>
          </w:tcPr>
          <w:p w14:paraId="464007BA" w14:textId="77777777" w:rsidR="00C4104D" w:rsidRPr="001519B4" w:rsidRDefault="00C4104D" w:rsidP="005F2E4B">
            <w:pPr>
              <w:jc w:val="center"/>
              <w:rPr>
                <w:rFonts w:eastAsia="Calibri" w:cs="Arial"/>
                <w:bCs/>
                <w:sz w:val="20"/>
                <w:szCs w:val="20"/>
              </w:rPr>
            </w:pPr>
            <w:r w:rsidRPr="001519B4">
              <w:rPr>
                <w:rFonts w:eastAsia="Calibri" w:cs="Arial"/>
                <w:bCs/>
                <w:sz w:val="20"/>
                <w:szCs w:val="20"/>
              </w:rPr>
              <w:t>0</w:t>
            </w:r>
          </w:p>
        </w:tc>
      </w:tr>
      <w:tr w:rsidR="00C4104D" w:rsidRPr="00094DA0" w14:paraId="649566AD" w14:textId="77777777" w:rsidTr="005F2E4B">
        <w:trPr>
          <w:trHeight w:val="315"/>
        </w:trPr>
        <w:tc>
          <w:tcPr>
            <w:tcW w:w="960" w:type="dxa"/>
            <w:vMerge w:val="restart"/>
            <w:tcBorders>
              <w:top w:val="double" w:sz="4" w:space="0" w:color="auto"/>
              <w:left w:val="single" w:sz="12" w:space="0" w:color="auto"/>
              <w:right w:val="single" w:sz="4" w:space="0" w:color="auto"/>
            </w:tcBorders>
            <w:vAlign w:val="center"/>
          </w:tcPr>
          <w:p w14:paraId="2AD4018F" w14:textId="77777777" w:rsidR="00C4104D" w:rsidRPr="004A712C" w:rsidRDefault="00C4104D" w:rsidP="005F2E4B">
            <w:pPr>
              <w:rPr>
                <w:rFonts w:cs="Arial"/>
                <w:color w:val="000000"/>
                <w:sz w:val="20"/>
                <w:szCs w:val="20"/>
              </w:rPr>
            </w:pPr>
            <w:r w:rsidRPr="004A712C">
              <w:rPr>
                <w:rFonts w:cs="Arial"/>
                <w:color w:val="000000"/>
                <w:sz w:val="20"/>
                <w:szCs w:val="20"/>
              </w:rPr>
              <w:t>NÚLK</w:t>
            </w:r>
          </w:p>
        </w:tc>
        <w:tc>
          <w:tcPr>
            <w:tcW w:w="960" w:type="dxa"/>
            <w:tcBorders>
              <w:top w:val="double" w:sz="4" w:space="0" w:color="auto"/>
              <w:left w:val="nil"/>
              <w:bottom w:val="single" w:sz="4" w:space="0" w:color="auto"/>
              <w:right w:val="single" w:sz="4" w:space="0" w:color="auto"/>
            </w:tcBorders>
            <w:shd w:val="clear" w:color="auto" w:fill="auto"/>
            <w:vAlign w:val="center"/>
          </w:tcPr>
          <w:p w14:paraId="224C9C19" w14:textId="77777777" w:rsidR="00C4104D" w:rsidRPr="004A712C" w:rsidRDefault="00C4104D" w:rsidP="005F2E4B">
            <w:pPr>
              <w:jc w:val="center"/>
              <w:rPr>
                <w:rFonts w:eastAsia="Calibri" w:cs="Arial"/>
                <w:bCs/>
                <w:sz w:val="20"/>
                <w:szCs w:val="20"/>
              </w:rPr>
            </w:pPr>
            <w:r>
              <w:rPr>
                <w:rFonts w:eastAsia="Calibri" w:cs="Arial"/>
                <w:bCs/>
                <w:sz w:val="20"/>
                <w:szCs w:val="20"/>
              </w:rPr>
              <w:t>2022</w:t>
            </w:r>
          </w:p>
        </w:tc>
        <w:tc>
          <w:tcPr>
            <w:tcW w:w="2020" w:type="dxa"/>
            <w:tcBorders>
              <w:top w:val="double" w:sz="4" w:space="0" w:color="auto"/>
              <w:left w:val="nil"/>
              <w:bottom w:val="single" w:sz="4" w:space="0" w:color="auto"/>
              <w:right w:val="single" w:sz="4" w:space="0" w:color="auto"/>
            </w:tcBorders>
            <w:shd w:val="clear" w:color="auto" w:fill="auto"/>
            <w:vAlign w:val="center"/>
          </w:tcPr>
          <w:p w14:paraId="700D3A0E" w14:textId="77777777" w:rsidR="00C4104D" w:rsidRPr="00820412" w:rsidRDefault="00C4104D" w:rsidP="005F2E4B">
            <w:pPr>
              <w:spacing w:line="254" w:lineRule="auto"/>
              <w:jc w:val="center"/>
              <w:rPr>
                <w:rFonts w:eastAsia="Calibri" w:cs="Arial"/>
                <w:bCs/>
                <w:sz w:val="20"/>
                <w:szCs w:val="20"/>
              </w:rPr>
            </w:pPr>
            <w:r w:rsidRPr="00820412">
              <w:rPr>
                <w:rFonts w:eastAsia="Calibri" w:cs="Arial"/>
                <w:bCs/>
                <w:sz w:val="20"/>
                <w:szCs w:val="20"/>
              </w:rPr>
              <w:t>4</w:t>
            </w:r>
          </w:p>
        </w:tc>
        <w:tc>
          <w:tcPr>
            <w:tcW w:w="2738" w:type="dxa"/>
            <w:tcBorders>
              <w:top w:val="double" w:sz="4" w:space="0" w:color="auto"/>
              <w:left w:val="nil"/>
              <w:bottom w:val="single" w:sz="4" w:space="0" w:color="auto"/>
              <w:right w:val="single" w:sz="4" w:space="0" w:color="auto"/>
            </w:tcBorders>
            <w:shd w:val="clear" w:color="auto" w:fill="auto"/>
            <w:vAlign w:val="center"/>
          </w:tcPr>
          <w:p w14:paraId="46791629" w14:textId="77777777" w:rsidR="00C4104D" w:rsidRPr="00820412" w:rsidRDefault="00C4104D" w:rsidP="005F2E4B">
            <w:pPr>
              <w:spacing w:line="254" w:lineRule="auto"/>
              <w:jc w:val="center"/>
              <w:rPr>
                <w:rFonts w:eastAsia="Calibri" w:cs="Arial"/>
                <w:bCs/>
                <w:sz w:val="20"/>
                <w:szCs w:val="20"/>
              </w:rPr>
            </w:pPr>
            <w:r w:rsidRPr="00820412">
              <w:rPr>
                <w:rFonts w:eastAsia="Calibri" w:cs="Arial"/>
                <w:bCs/>
                <w:sz w:val="20"/>
                <w:szCs w:val="20"/>
              </w:rPr>
              <w:t>3</w:t>
            </w:r>
          </w:p>
        </w:tc>
        <w:tc>
          <w:tcPr>
            <w:tcW w:w="2551" w:type="dxa"/>
            <w:tcBorders>
              <w:top w:val="double" w:sz="4" w:space="0" w:color="auto"/>
              <w:left w:val="nil"/>
              <w:bottom w:val="single" w:sz="4" w:space="0" w:color="auto"/>
              <w:right w:val="single" w:sz="12" w:space="0" w:color="auto"/>
            </w:tcBorders>
            <w:shd w:val="clear" w:color="auto" w:fill="auto"/>
            <w:vAlign w:val="center"/>
          </w:tcPr>
          <w:p w14:paraId="2E53EC1A" w14:textId="77777777" w:rsidR="00C4104D" w:rsidRPr="00820412" w:rsidRDefault="00C4104D" w:rsidP="005F2E4B">
            <w:pPr>
              <w:spacing w:line="254" w:lineRule="auto"/>
              <w:jc w:val="center"/>
              <w:rPr>
                <w:rFonts w:eastAsia="Calibri" w:cs="Arial"/>
                <w:bCs/>
                <w:sz w:val="20"/>
                <w:szCs w:val="20"/>
              </w:rPr>
            </w:pPr>
            <w:r w:rsidRPr="00820412">
              <w:rPr>
                <w:rFonts w:eastAsia="Calibri" w:cs="Arial"/>
                <w:bCs/>
                <w:sz w:val="20"/>
                <w:szCs w:val="20"/>
              </w:rPr>
              <w:t>1</w:t>
            </w:r>
          </w:p>
        </w:tc>
      </w:tr>
      <w:tr w:rsidR="00C4104D" w:rsidRPr="00094DA0" w14:paraId="7439F7E5" w14:textId="77777777" w:rsidTr="005F2E4B">
        <w:trPr>
          <w:trHeight w:val="315"/>
        </w:trPr>
        <w:tc>
          <w:tcPr>
            <w:tcW w:w="960" w:type="dxa"/>
            <w:vMerge/>
            <w:tcBorders>
              <w:left w:val="single" w:sz="12" w:space="0" w:color="auto"/>
              <w:bottom w:val="double" w:sz="4" w:space="0" w:color="auto"/>
              <w:right w:val="single" w:sz="4" w:space="0" w:color="auto"/>
            </w:tcBorders>
            <w:vAlign w:val="center"/>
          </w:tcPr>
          <w:p w14:paraId="5290F4C1" w14:textId="77777777" w:rsidR="00C4104D" w:rsidRPr="004A712C" w:rsidRDefault="00C4104D" w:rsidP="005F2E4B">
            <w:pPr>
              <w:rPr>
                <w:rFonts w:cs="Arial"/>
                <w:color w:val="000000"/>
                <w:sz w:val="20"/>
                <w:szCs w:val="20"/>
              </w:rPr>
            </w:pPr>
          </w:p>
        </w:tc>
        <w:tc>
          <w:tcPr>
            <w:tcW w:w="960" w:type="dxa"/>
            <w:tcBorders>
              <w:top w:val="single" w:sz="4" w:space="0" w:color="auto"/>
              <w:left w:val="nil"/>
              <w:bottom w:val="double" w:sz="4" w:space="0" w:color="auto"/>
              <w:right w:val="single" w:sz="4" w:space="0" w:color="auto"/>
            </w:tcBorders>
            <w:shd w:val="clear" w:color="auto" w:fill="auto"/>
            <w:vAlign w:val="center"/>
          </w:tcPr>
          <w:p w14:paraId="1E0A7E43" w14:textId="77777777" w:rsidR="00C4104D" w:rsidRPr="004A712C" w:rsidRDefault="00C4104D" w:rsidP="005F2E4B">
            <w:pPr>
              <w:jc w:val="center"/>
              <w:rPr>
                <w:rFonts w:eastAsia="Calibri" w:cs="Arial"/>
                <w:bCs/>
                <w:sz w:val="20"/>
                <w:szCs w:val="20"/>
              </w:rPr>
            </w:pPr>
            <w:r>
              <w:rPr>
                <w:rFonts w:eastAsia="Calibri" w:cs="Arial"/>
                <w:bCs/>
                <w:sz w:val="20"/>
                <w:szCs w:val="20"/>
              </w:rPr>
              <w:t>2023</w:t>
            </w:r>
          </w:p>
        </w:tc>
        <w:tc>
          <w:tcPr>
            <w:tcW w:w="2020" w:type="dxa"/>
            <w:tcBorders>
              <w:top w:val="single" w:sz="4" w:space="0" w:color="auto"/>
              <w:left w:val="nil"/>
              <w:bottom w:val="double" w:sz="4" w:space="0" w:color="auto"/>
              <w:right w:val="single" w:sz="4" w:space="0" w:color="auto"/>
            </w:tcBorders>
            <w:shd w:val="clear" w:color="auto" w:fill="auto"/>
            <w:vAlign w:val="center"/>
          </w:tcPr>
          <w:p w14:paraId="139A8445" w14:textId="77777777" w:rsidR="00C4104D" w:rsidRPr="00820412" w:rsidRDefault="00C4104D" w:rsidP="005F2E4B">
            <w:pPr>
              <w:spacing w:line="254" w:lineRule="auto"/>
              <w:jc w:val="center"/>
              <w:rPr>
                <w:rFonts w:eastAsia="Calibri" w:cs="Arial"/>
                <w:bCs/>
                <w:sz w:val="20"/>
                <w:szCs w:val="20"/>
              </w:rPr>
            </w:pPr>
            <w:r w:rsidRPr="00820412">
              <w:rPr>
                <w:rFonts w:eastAsia="Calibri" w:cs="Arial"/>
                <w:bCs/>
                <w:sz w:val="20"/>
                <w:szCs w:val="20"/>
              </w:rPr>
              <w:t>3</w:t>
            </w:r>
          </w:p>
        </w:tc>
        <w:tc>
          <w:tcPr>
            <w:tcW w:w="2738" w:type="dxa"/>
            <w:tcBorders>
              <w:top w:val="single" w:sz="4" w:space="0" w:color="auto"/>
              <w:left w:val="nil"/>
              <w:bottom w:val="double" w:sz="4" w:space="0" w:color="auto"/>
              <w:right w:val="single" w:sz="4" w:space="0" w:color="auto"/>
            </w:tcBorders>
            <w:shd w:val="clear" w:color="auto" w:fill="auto"/>
            <w:vAlign w:val="center"/>
          </w:tcPr>
          <w:p w14:paraId="29D0F9D3" w14:textId="77777777" w:rsidR="00C4104D" w:rsidRPr="00820412" w:rsidRDefault="00C4104D" w:rsidP="005F2E4B">
            <w:pPr>
              <w:spacing w:line="254" w:lineRule="auto"/>
              <w:jc w:val="center"/>
              <w:rPr>
                <w:rFonts w:eastAsia="Calibri" w:cs="Arial"/>
                <w:bCs/>
                <w:sz w:val="20"/>
                <w:szCs w:val="20"/>
              </w:rPr>
            </w:pPr>
            <w:r w:rsidRPr="00820412">
              <w:rPr>
                <w:rFonts w:eastAsia="Calibri" w:cs="Arial"/>
                <w:bCs/>
                <w:sz w:val="20"/>
                <w:szCs w:val="20"/>
              </w:rPr>
              <w:t>2</w:t>
            </w:r>
          </w:p>
        </w:tc>
        <w:tc>
          <w:tcPr>
            <w:tcW w:w="2551" w:type="dxa"/>
            <w:tcBorders>
              <w:top w:val="single" w:sz="4" w:space="0" w:color="auto"/>
              <w:left w:val="nil"/>
              <w:bottom w:val="double" w:sz="4" w:space="0" w:color="auto"/>
              <w:right w:val="single" w:sz="12" w:space="0" w:color="auto"/>
            </w:tcBorders>
            <w:shd w:val="clear" w:color="auto" w:fill="auto"/>
            <w:vAlign w:val="center"/>
          </w:tcPr>
          <w:p w14:paraId="510CD451" w14:textId="77777777" w:rsidR="00C4104D" w:rsidRPr="00820412" w:rsidRDefault="00C4104D" w:rsidP="005F2E4B">
            <w:pPr>
              <w:spacing w:line="254" w:lineRule="auto"/>
              <w:jc w:val="center"/>
              <w:rPr>
                <w:rFonts w:eastAsia="Calibri" w:cs="Arial"/>
                <w:bCs/>
                <w:sz w:val="20"/>
                <w:szCs w:val="20"/>
              </w:rPr>
            </w:pPr>
            <w:r w:rsidRPr="00820412">
              <w:rPr>
                <w:rFonts w:eastAsia="Calibri" w:cs="Arial"/>
                <w:bCs/>
                <w:sz w:val="20"/>
                <w:szCs w:val="20"/>
              </w:rPr>
              <w:t>1</w:t>
            </w:r>
          </w:p>
        </w:tc>
      </w:tr>
      <w:tr w:rsidR="00C4104D" w:rsidRPr="00094DA0" w14:paraId="6FA3BC26" w14:textId="77777777" w:rsidTr="005F2E4B">
        <w:trPr>
          <w:trHeight w:val="315"/>
        </w:trPr>
        <w:tc>
          <w:tcPr>
            <w:tcW w:w="960" w:type="dxa"/>
            <w:vMerge w:val="restart"/>
            <w:tcBorders>
              <w:top w:val="double" w:sz="4" w:space="0" w:color="auto"/>
              <w:left w:val="single" w:sz="12" w:space="0" w:color="auto"/>
              <w:right w:val="single" w:sz="4" w:space="0" w:color="auto"/>
            </w:tcBorders>
            <w:vAlign w:val="center"/>
          </w:tcPr>
          <w:p w14:paraId="6EE80F8A" w14:textId="77777777" w:rsidR="00C4104D" w:rsidRPr="003400D5" w:rsidRDefault="00C4104D" w:rsidP="005F2E4B">
            <w:pPr>
              <w:rPr>
                <w:rFonts w:cs="Arial"/>
                <w:color w:val="000000"/>
                <w:sz w:val="20"/>
                <w:szCs w:val="20"/>
              </w:rPr>
            </w:pPr>
            <w:r w:rsidRPr="003400D5">
              <w:rPr>
                <w:rFonts w:cs="Arial"/>
                <w:sz w:val="20"/>
                <w:szCs w:val="20"/>
              </w:rPr>
              <w:t>NIPOS</w:t>
            </w:r>
          </w:p>
        </w:tc>
        <w:tc>
          <w:tcPr>
            <w:tcW w:w="960" w:type="dxa"/>
            <w:tcBorders>
              <w:top w:val="double" w:sz="4" w:space="0" w:color="auto"/>
              <w:left w:val="nil"/>
              <w:bottom w:val="single" w:sz="4" w:space="0" w:color="auto"/>
              <w:right w:val="single" w:sz="4" w:space="0" w:color="auto"/>
            </w:tcBorders>
            <w:shd w:val="clear" w:color="auto" w:fill="auto"/>
            <w:vAlign w:val="center"/>
          </w:tcPr>
          <w:p w14:paraId="57A90B01" w14:textId="77777777" w:rsidR="00C4104D" w:rsidRPr="003400D5" w:rsidRDefault="00C4104D" w:rsidP="005F2E4B">
            <w:pPr>
              <w:jc w:val="center"/>
              <w:rPr>
                <w:rFonts w:eastAsia="Calibri" w:cs="Arial"/>
                <w:bCs/>
                <w:sz w:val="20"/>
                <w:szCs w:val="20"/>
              </w:rPr>
            </w:pPr>
            <w:r w:rsidRPr="003400D5">
              <w:rPr>
                <w:rFonts w:eastAsia="Calibri" w:cs="Arial"/>
                <w:bCs/>
                <w:sz w:val="20"/>
                <w:szCs w:val="20"/>
              </w:rPr>
              <w:t>2022</w:t>
            </w:r>
          </w:p>
        </w:tc>
        <w:tc>
          <w:tcPr>
            <w:tcW w:w="2020" w:type="dxa"/>
            <w:tcBorders>
              <w:top w:val="double" w:sz="4" w:space="0" w:color="auto"/>
              <w:left w:val="nil"/>
              <w:bottom w:val="single" w:sz="4" w:space="0" w:color="auto"/>
              <w:right w:val="single" w:sz="4" w:space="0" w:color="auto"/>
            </w:tcBorders>
            <w:shd w:val="clear" w:color="auto" w:fill="auto"/>
            <w:vAlign w:val="center"/>
          </w:tcPr>
          <w:p w14:paraId="0B181888" w14:textId="77777777" w:rsidR="00C4104D" w:rsidRPr="003400D5" w:rsidRDefault="00C4104D" w:rsidP="005F2E4B">
            <w:pPr>
              <w:widowControl w:val="0"/>
              <w:suppressAutoHyphens/>
              <w:spacing w:line="256" w:lineRule="auto"/>
              <w:jc w:val="center"/>
              <w:rPr>
                <w:rFonts w:cs="Arial"/>
                <w:sz w:val="20"/>
                <w:szCs w:val="20"/>
                <w:lang w:eastAsia="zh-CN"/>
              </w:rPr>
            </w:pPr>
            <w:r w:rsidRPr="003400D5">
              <w:rPr>
                <w:rFonts w:eastAsia="Calibri"/>
                <w:bCs/>
                <w:sz w:val="20"/>
                <w:szCs w:val="20"/>
              </w:rPr>
              <w:t>2,64</w:t>
            </w:r>
          </w:p>
        </w:tc>
        <w:tc>
          <w:tcPr>
            <w:tcW w:w="2738" w:type="dxa"/>
            <w:tcBorders>
              <w:top w:val="double" w:sz="4" w:space="0" w:color="auto"/>
              <w:left w:val="nil"/>
              <w:bottom w:val="single" w:sz="4" w:space="0" w:color="auto"/>
              <w:right w:val="single" w:sz="4" w:space="0" w:color="auto"/>
            </w:tcBorders>
            <w:shd w:val="clear" w:color="auto" w:fill="auto"/>
            <w:vAlign w:val="center"/>
          </w:tcPr>
          <w:p w14:paraId="3671D3DA" w14:textId="77777777" w:rsidR="00C4104D" w:rsidRPr="003400D5" w:rsidRDefault="00C4104D" w:rsidP="005F2E4B">
            <w:pPr>
              <w:widowControl w:val="0"/>
              <w:suppressAutoHyphens/>
              <w:spacing w:line="256" w:lineRule="auto"/>
              <w:jc w:val="center"/>
              <w:rPr>
                <w:rFonts w:cs="Arial"/>
                <w:sz w:val="20"/>
                <w:szCs w:val="20"/>
                <w:lang w:eastAsia="zh-CN"/>
              </w:rPr>
            </w:pPr>
            <w:r w:rsidRPr="003400D5">
              <w:rPr>
                <w:rFonts w:cs="Arial"/>
                <w:sz w:val="20"/>
                <w:szCs w:val="20"/>
                <w:lang w:eastAsia="zh-CN"/>
              </w:rPr>
              <w:t>0</w:t>
            </w:r>
          </w:p>
        </w:tc>
        <w:tc>
          <w:tcPr>
            <w:tcW w:w="2551" w:type="dxa"/>
            <w:tcBorders>
              <w:top w:val="double" w:sz="4" w:space="0" w:color="auto"/>
              <w:left w:val="nil"/>
              <w:bottom w:val="single" w:sz="4" w:space="0" w:color="auto"/>
              <w:right w:val="single" w:sz="12" w:space="0" w:color="auto"/>
            </w:tcBorders>
            <w:shd w:val="clear" w:color="auto" w:fill="auto"/>
            <w:vAlign w:val="center"/>
          </w:tcPr>
          <w:p w14:paraId="47D91FBF" w14:textId="77777777" w:rsidR="00C4104D" w:rsidRPr="003400D5" w:rsidRDefault="00C4104D" w:rsidP="005F2E4B">
            <w:pPr>
              <w:widowControl w:val="0"/>
              <w:suppressAutoHyphens/>
              <w:spacing w:line="256" w:lineRule="auto"/>
              <w:jc w:val="center"/>
              <w:rPr>
                <w:rFonts w:cs="Arial"/>
                <w:sz w:val="20"/>
                <w:szCs w:val="20"/>
                <w:lang w:eastAsia="zh-CN"/>
              </w:rPr>
            </w:pPr>
            <w:r w:rsidRPr="003400D5">
              <w:rPr>
                <w:rFonts w:eastAsia="Calibri" w:cs="Arial"/>
                <w:bCs/>
                <w:sz w:val="20"/>
                <w:szCs w:val="20"/>
              </w:rPr>
              <w:t>2,64</w:t>
            </w:r>
          </w:p>
        </w:tc>
      </w:tr>
      <w:tr w:rsidR="00C4104D" w:rsidRPr="00094DA0" w14:paraId="302C69A0" w14:textId="77777777" w:rsidTr="005F2E4B">
        <w:trPr>
          <w:trHeight w:val="315"/>
        </w:trPr>
        <w:tc>
          <w:tcPr>
            <w:tcW w:w="960" w:type="dxa"/>
            <w:vMerge/>
            <w:tcBorders>
              <w:left w:val="single" w:sz="12" w:space="0" w:color="auto"/>
              <w:bottom w:val="single" w:sz="12" w:space="0" w:color="auto"/>
              <w:right w:val="single" w:sz="4" w:space="0" w:color="auto"/>
            </w:tcBorders>
            <w:vAlign w:val="center"/>
          </w:tcPr>
          <w:p w14:paraId="7775EEDE" w14:textId="77777777" w:rsidR="00C4104D" w:rsidRPr="003400D5" w:rsidRDefault="00C4104D" w:rsidP="005F2E4B">
            <w:pPr>
              <w:rPr>
                <w:rFonts w:cs="Arial"/>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0259BE9A" w14:textId="77777777" w:rsidR="00C4104D" w:rsidRPr="003400D5" w:rsidRDefault="00C4104D" w:rsidP="005F2E4B">
            <w:pPr>
              <w:jc w:val="center"/>
              <w:rPr>
                <w:rFonts w:eastAsia="Calibri" w:cs="Arial"/>
                <w:bCs/>
                <w:sz w:val="20"/>
                <w:szCs w:val="20"/>
              </w:rPr>
            </w:pPr>
            <w:r w:rsidRPr="003400D5">
              <w:rPr>
                <w:rFonts w:eastAsia="Calibri" w:cs="Arial"/>
                <w:bCs/>
                <w:sz w:val="20"/>
                <w:szCs w:val="20"/>
              </w:rPr>
              <w:t>2023</w:t>
            </w:r>
          </w:p>
        </w:tc>
        <w:tc>
          <w:tcPr>
            <w:tcW w:w="2020" w:type="dxa"/>
            <w:tcBorders>
              <w:top w:val="single" w:sz="4" w:space="0" w:color="auto"/>
              <w:left w:val="nil"/>
              <w:bottom w:val="single" w:sz="4" w:space="0" w:color="auto"/>
              <w:right w:val="single" w:sz="4" w:space="0" w:color="auto"/>
            </w:tcBorders>
            <w:shd w:val="clear" w:color="auto" w:fill="auto"/>
            <w:vAlign w:val="center"/>
          </w:tcPr>
          <w:p w14:paraId="47F1C87A" w14:textId="77777777" w:rsidR="00C4104D" w:rsidRPr="003400D5" w:rsidRDefault="00C4104D" w:rsidP="005F2E4B">
            <w:pPr>
              <w:widowControl w:val="0"/>
              <w:suppressAutoHyphens/>
              <w:spacing w:line="256" w:lineRule="auto"/>
              <w:jc w:val="center"/>
              <w:rPr>
                <w:rFonts w:eastAsia="Calibri" w:cs="Arial"/>
                <w:bCs/>
                <w:sz w:val="20"/>
                <w:szCs w:val="20"/>
              </w:rPr>
            </w:pPr>
            <w:r w:rsidRPr="003400D5">
              <w:rPr>
                <w:rFonts w:eastAsia="Calibri"/>
                <w:bCs/>
                <w:sz w:val="20"/>
                <w:szCs w:val="20"/>
              </w:rPr>
              <w:t>2,67</w:t>
            </w:r>
          </w:p>
        </w:tc>
        <w:tc>
          <w:tcPr>
            <w:tcW w:w="2738" w:type="dxa"/>
            <w:tcBorders>
              <w:top w:val="single" w:sz="4" w:space="0" w:color="auto"/>
              <w:left w:val="nil"/>
              <w:bottom w:val="single" w:sz="4" w:space="0" w:color="auto"/>
              <w:right w:val="single" w:sz="4" w:space="0" w:color="auto"/>
            </w:tcBorders>
            <w:shd w:val="clear" w:color="auto" w:fill="auto"/>
            <w:vAlign w:val="center"/>
          </w:tcPr>
          <w:p w14:paraId="21A4C272" w14:textId="77777777" w:rsidR="00C4104D" w:rsidRPr="003400D5" w:rsidRDefault="00C4104D" w:rsidP="005F2E4B">
            <w:pPr>
              <w:widowControl w:val="0"/>
              <w:suppressAutoHyphens/>
              <w:spacing w:line="256" w:lineRule="auto"/>
              <w:jc w:val="center"/>
              <w:rPr>
                <w:rFonts w:cs="Arial"/>
                <w:sz w:val="20"/>
                <w:szCs w:val="20"/>
                <w:lang w:eastAsia="zh-CN"/>
              </w:rPr>
            </w:pPr>
            <w:r w:rsidRPr="003400D5">
              <w:rPr>
                <w:rFonts w:eastAsia="Calibri" w:cs="Arial"/>
                <w:bCs/>
                <w:sz w:val="20"/>
                <w:szCs w:val="20"/>
                <w:lang w:eastAsia="zh-CN"/>
              </w:rPr>
              <w:t>0</w:t>
            </w:r>
          </w:p>
        </w:tc>
        <w:tc>
          <w:tcPr>
            <w:tcW w:w="2551" w:type="dxa"/>
            <w:tcBorders>
              <w:top w:val="single" w:sz="4" w:space="0" w:color="auto"/>
              <w:left w:val="nil"/>
              <w:bottom w:val="single" w:sz="4" w:space="0" w:color="auto"/>
              <w:right w:val="single" w:sz="12" w:space="0" w:color="auto"/>
            </w:tcBorders>
            <w:shd w:val="clear" w:color="auto" w:fill="auto"/>
            <w:vAlign w:val="center"/>
          </w:tcPr>
          <w:p w14:paraId="48C45CE4" w14:textId="77777777" w:rsidR="00C4104D" w:rsidRPr="003400D5" w:rsidRDefault="00C4104D" w:rsidP="005F2E4B">
            <w:pPr>
              <w:widowControl w:val="0"/>
              <w:suppressAutoHyphens/>
              <w:spacing w:line="256" w:lineRule="auto"/>
              <w:jc w:val="center"/>
              <w:rPr>
                <w:rFonts w:eastAsia="Calibri" w:cs="Arial"/>
                <w:bCs/>
                <w:sz w:val="20"/>
                <w:szCs w:val="20"/>
              </w:rPr>
            </w:pPr>
            <w:r w:rsidRPr="003400D5">
              <w:rPr>
                <w:rFonts w:eastAsia="Calibri"/>
                <w:bCs/>
                <w:sz w:val="20"/>
                <w:szCs w:val="20"/>
              </w:rPr>
              <w:t>2,67</w:t>
            </w:r>
          </w:p>
        </w:tc>
      </w:tr>
      <w:tr w:rsidR="00C4104D" w:rsidRPr="00094DA0" w14:paraId="16ED6A6E" w14:textId="77777777" w:rsidTr="005F2E4B">
        <w:trPr>
          <w:trHeight w:val="315"/>
        </w:trPr>
        <w:tc>
          <w:tcPr>
            <w:tcW w:w="960" w:type="dxa"/>
            <w:vMerge w:val="restart"/>
            <w:tcBorders>
              <w:top w:val="double" w:sz="4" w:space="0" w:color="auto"/>
              <w:left w:val="single" w:sz="12" w:space="0" w:color="auto"/>
              <w:right w:val="single" w:sz="4" w:space="0" w:color="auto"/>
            </w:tcBorders>
            <w:vAlign w:val="center"/>
          </w:tcPr>
          <w:p w14:paraId="32DCEDF3" w14:textId="77777777" w:rsidR="00C4104D" w:rsidRPr="00FA3359" w:rsidRDefault="00C4104D" w:rsidP="005F2E4B">
            <w:pPr>
              <w:rPr>
                <w:rFonts w:cs="Arial"/>
                <w:color w:val="000000"/>
                <w:sz w:val="20"/>
                <w:szCs w:val="20"/>
              </w:rPr>
            </w:pPr>
            <w:r w:rsidRPr="00FA3359">
              <w:rPr>
                <w:rFonts w:cs="Arial"/>
                <w:sz w:val="20"/>
                <w:szCs w:val="20"/>
              </w:rPr>
              <w:t>MRK</w:t>
            </w:r>
          </w:p>
        </w:tc>
        <w:tc>
          <w:tcPr>
            <w:tcW w:w="960" w:type="dxa"/>
            <w:tcBorders>
              <w:top w:val="double" w:sz="4" w:space="0" w:color="auto"/>
              <w:left w:val="nil"/>
              <w:bottom w:val="single" w:sz="4" w:space="0" w:color="auto"/>
              <w:right w:val="single" w:sz="4" w:space="0" w:color="auto"/>
            </w:tcBorders>
            <w:shd w:val="clear" w:color="auto" w:fill="auto"/>
            <w:vAlign w:val="center"/>
          </w:tcPr>
          <w:p w14:paraId="60A16069" w14:textId="77777777" w:rsidR="00C4104D" w:rsidRPr="00FA3359" w:rsidRDefault="00C4104D" w:rsidP="005F2E4B">
            <w:pPr>
              <w:jc w:val="center"/>
              <w:rPr>
                <w:rFonts w:eastAsia="Calibri" w:cs="Arial"/>
                <w:bCs/>
                <w:sz w:val="20"/>
                <w:szCs w:val="20"/>
              </w:rPr>
            </w:pPr>
            <w:r w:rsidRPr="00FA3359">
              <w:rPr>
                <w:rFonts w:eastAsia="Calibri" w:cs="Arial"/>
                <w:bCs/>
                <w:sz w:val="20"/>
                <w:szCs w:val="20"/>
              </w:rPr>
              <w:t>2022</w:t>
            </w:r>
          </w:p>
        </w:tc>
        <w:tc>
          <w:tcPr>
            <w:tcW w:w="2020" w:type="dxa"/>
            <w:tcBorders>
              <w:top w:val="double" w:sz="4" w:space="0" w:color="auto"/>
              <w:left w:val="nil"/>
              <w:bottom w:val="single" w:sz="4" w:space="0" w:color="auto"/>
              <w:right w:val="single" w:sz="4" w:space="0" w:color="auto"/>
            </w:tcBorders>
            <w:shd w:val="clear" w:color="auto" w:fill="auto"/>
            <w:vAlign w:val="center"/>
          </w:tcPr>
          <w:p w14:paraId="29FC93E2" w14:textId="77777777" w:rsidR="00C4104D" w:rsidRPr="00FA3359" w:rsidRDefault="00C4104D" w:rsidP="005F2E4B">
            <w:pPr>
              <w:widowControl w:val="0"/>
              <w:suppressAutoHyphens/>
              <w:spacing w:line="256" w:lineRule="auto"/>
              <w:jc w:val="center"/>
              <w:rPr>
                <w:rFonts w:cs="Arial"/>
                <w:sz w:val="20"/>
                <w:szCs w:val="20"/>
                <w:lang w:eastAsia="zh-CN"/>
              </w:rPr>
            </w:pPr>
            <w:r w:rsidRPr="00FA3359">
              <w:rPr>
                <w:rFonts w:cs="Arial"/>
                <w:sz w:val="20"/>
                <w:szCs w:val="20"/>
                <w:lang w:eastAsia="zh-CN"/>
              </w:rPr>
              <w:t>4</w:t>
            </w:r>
          </w:p>
        </w:tc>
        <w:tc>
          <w:tcPr>
            <w:tcW w:w="2738" w:type="dxa"/>
            <w:tcBorders>
              <w:top w:val="double" w:sz="4" w:space="0" w:color="auto"/>
              <w:left w:val="nil"/>
              <w:bottom w:val="single" w:sz="4" w:space="0" w:color="auto"/>
              <w:right w:val="single" w:sz="4" w:space="0" w:color="auto"/>
            </w:tcBorders>
            <w:shd w:val="clear" w:color="auto" w:fill="auto"/>
            <w:vAlign w:val="center"/>
          </w:tcPr>
          <w:p w14:paraId="59C2029E" w14:textId="77777777" w:rsidR="00C4104D" w:rsidRPr="00FA3359" w:rsidRDefault="00C4104D" w:rsidP="005F2E4B">
            <w:pPr>
              <w:widowControl w:val="0"/>
              <w:suppressAutoHyphens/>
              <w:spacing w:line="256" w:lineRule="auto"/>
              <w:jc w:val="center"/>
              <w:rPr>
                <w:rFonts w:cs="Arial"/>
                <w:sz w:val="20"/>
                <w:szCs w:val="20"/>
                <w:lang w:eastAsia="zh-CN"/>
              </w:rPr>
            </w:pPr>
            <w:r w:rsidRPr="00FA3359">
              <w:rPr>
                <w:rFonts w:cs="Arial"/>
                <w:sz w:val="20"/>
                <w:szCs w:val="20"/>
                <w:lang w:eastAsia="zh-CN"/>
              </w:rPr>
              <w:t>1</w:t>
            </w:r>
          </w:p>
        </w:tc>
        <w:tc>
          <w:tcPr>
            <w:tcW w:w="2551" w:type="dxa"/>
            <w:tcBorders>
              <w:top w:val="double" w:sz="4" w:space="0" w:color="auto"/>
              <w:left w:val="nil"/>
              <w:bottom w:val="single" w:sz="4" w:space="0" w:color="auto"/>
              <w:right w:val="single" w:sz="12" w:space="0" w:color="auto"/>
            </w:tcBorders>
            <w:shd w:val="clear" w:color="auto" w:fill="auto"/>
            <w:vAlign w:val="center"/>
          </w:tcPr>
          <w:p w14:paraId="02EB461D" w14:textId="77777777" w:rsidR="00C4104D" w:rsidRPr="00FA3359" w:rsidRDefault="00C4104D" w:rsidP="005F2E4B">
            <w:pPr>
              <w:widowControl w:val="0"/>
              <w:suppressAutoHyphens/>
              <w:spacing w:line="256" w:lineRule="auto"/>
              <w:jc w:val="center"/>
              <w:rPr>
                <w:rFonts w:cs="Arial"/>
                <w:sz w:val="20"/>
                <w:szCs w:val="20"/>
                <w:lang w:eastAsia="zh-CN"/>
              </w:rPr>
            </w:pPr>
            <w:r w:rsidRPr="00FA3359">
              <w:rPr>
                <w:rFonts w:cs="Arial"/>
                <w:sz w:val="20"/>
                <w:szCs w:val="20"/>
                <w:lang w:eastAsia="zh-CN"/>
              </w:rPr>
              <w:t>3</w:t>
            </w:r>
          </w:p>
        </w:tc>
      </w:tr>
      <w:tr w:rsidR="00C4104D" w:rsidRPr="00094DA0" w14:paraId="15BB88B2" w14:textId="77777777" w:rsidTr="005F2E4B">
        <w:trPr>
          <w:trHeight w:val="315"/>
        </w:trPr>
        <w:tc>
          <w:tcPr>
            <w:tcW w:w="960" w:type="dxa"/>
            <w:vMerge/>
            <w:tcBorders>
              <w:left w:val="single" w:sz="12" w:space="0" w:color="auto"/>
              <w:bottom w:val="single" w:sz="12" w:space="0" w:color="auto"/>
              <w:right w:val="single" w:sz="4" w:space="0" w:color="auto"/>
            </w:tcBorders>
            <w:vAlign w:val="center"/>
          </w:tcPr>
          <w:p w14:paraId="2D18B1AA" w14:textId="77777777" w:rsidR="00C4104D" w:rsidRPr="00FA3359" w:rsidRDefault="00C4104D" w:rsidP="005F2E4B">
            <w:pPr>
              <w:rPr>
                <w:rFonts w:cs="Arial"/>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27649DFA" w14:textId="77777777" w:rsidR="00C4104D" w:rsidRPr="00FA3359" w:rsidRDefault="00C4104D" w:rsidP="005F2E4B">
            <w:pPr>
              <w:jc w:val="center"/>
              <w:rPr>
                <w:rFonts w:eastAsia="Calibri" w:cs="Arial"/>
                <w:bCs/>
                <w:sz w:val="20"/>
                <w:szCs w:val="20"/>
              </w:rPr>
            </w:pPr>
            <w:r w:rsidRPr="00FA3359">
              <w:rPr>
                <w:rFonts w:eastAsia="Calibri" w:cs="Arial"/>
                <w:bCs/>
                <w:sz w:val="20"/>
                <w:szCs w:val="20"/>
              </w:rPr>
              <w:t>2023</w:t>
            </w:r>
          </w:p>
        </w:tc>
        <w:tc>
          <w:tcPr>
            <w:tcW w:w="2020" w:type="dxa"/>
            <w:tcBorders>
              <w:top w:val="single" w:sz="4" w:space="0" w:color="auto"/>
              <w:left w:val="nil"/>
              <w:bottom w:val="single" w:sz="4" w:space="0" w:color="auto"/>
              <w:right w:val="single" w:sz="4" w:space="0" w:color="auto"/>
            </w:tcBorders>
            <w:shd w:val="clear" w:color="auto" w:fill="auto"/>
            <w:vAlign w:val="center"/>
          </w:tcPr>
          <w:p w14:paraId="5A0D43C7" w14:textId="77777777" w:rsidR="00C4104D" w:rsidRPr="00FA3359" w:rsidRDefault="00C4104D" w:rsidP="005F2E4B">
            <w:pPr>
              <w:widowControl w:val="0"/>
              <w:suppressAutoHyphens/>
              <w:spacing w:line="256" w:lineRule="auto"/>
              <w:jc w:val="center"/>
              <w:rPr>
                <w:rFonts w:cs="Arial"/>
                <w:sz w:val="20"/>
                <w:szCs w:val="20"/>
                <w:lang w:eastAsia="zh-CN"/>
              </w:rPr>
            </w:pPr>
            <w:r w:rsidRPr="00FA3359">
              <w:rPr>
                <w:rFonts w:eastAsia="Calibri" w:cs="Arial"/>
                <w:bCs/>
                <w:sz w:val="20"/>
                <w:szCs w:val="20"/>
                <w:lang w:eastAsia="zh-CN"/>
              </w:rPr>
              <w:t>4</w:t>
            </w:r>
          </w:p>
        </w:tc>
        <w:tc>
          <w:tcPr>
            <w:tcW w:w="2738" w:type="dxa"/>
            <w:tcBorders>
              <w:top w:val="single" w:sz="4" w:space="0" w:color="auto"/>
              <w:left w:val="nil"/>
              <w:bottom w:val="single" w:sz="4" w:space="0" w:color="auto"/>
              <w:right w:val="single" w:sz="4" w:space="0" w:color="auto"/>
            </w:tcBorders>
            <w:shd w:val="clear" w:color="auto" w:fill="auto"/>
            <w:vAlign w:val="center"/>
          </w:tcPr>
          <w:p w14:paraId="49EE1FD4" w14:textId="77777777" w:rsidR="00C4104D" w:rsidRPr="00FA3359" w:rsidRDefault="00C4104D" w:rsidP="005F2E4B">
            <w:pPr>
              <w:widowControl w:val="0"/>
              <w:suppressAutoHyphens/>
              <w:spacing w:line="256" w:lineRule="auto"/>
              <w:jc w:val="center"/>
              <w:rPr>
                <w:rFonts w:cs="Arial"/>
                <w:sz w:val="20"/>
                <w:szCs w:val="20"/>
                <w:lang w:eastAsia="zh-CN"/>
              </w:rPr>
            </w:pPr>
            <w:r w:rsidRPr="00FA3359">
              <w:rPr>
                <w:rFonts w:eastAsia="Calibri" w:cs="Arial"/>
                <w:bCs/>
                <w:sz w:val="20"/>
                <w:szCs w:val="20"/>
                <w:lang w:eastAsia="zh-CN"/>
              </w:rPr>
              <w:t>1</w:t>
            </w:r>
          </w:p>
        </w:tc>
        <w:tc>
          <w:tcPr>
            <w:tcW w:w="2551" w:type="dxa"/>
            <w:tcBorders>
              <w:top w:val="single" w:sz="4" w:space="0" w:color="auto"/>
              <w:left w:val="nil"/>
              <w:bottom w:val="single" w:sz="4" w:space="0" w:color="auto"/>
              <w:right w:val="single" w:sz="12" w:space="0" w:color="auto"/>
            </w:tcBorders>
            <w:shd w:val="clear" w:color="auto" w:fill="auto"/>
            <w:vAlign w:val="center"/>
          </w:tcPr>
          <w:p w14:paraId="4F47EF7E" w14:textId="77777777" w:rsidR="00C4104D" w:rsidRPr="00FA3359" w:rsidRDefault="00C4104D" w:rsidP="005F2E4B">
            <w:pPr>
              <w:widowControl w:val="0"/>
              <w:suppressAutoHyphens/>
              <w:spacing w:line="256" w:lineRule="auto"/>
              <w:jc w:val="center"/>
              <w:rPr>
                <w:rFonts w:cs="Arial"/>
                <w:sz w:val="20"/>
                <w:szCs w:val="20"/>
                <w:lang w:eastAsia="zh-CN"/>
              </w:rPr>
            </w:pPr>
            <w:r w:rsidRPr="00FA3359">
              <w:rPr>
                <w:rFonts w:eastAsia="Calibri" w:cs="Arial"/>
                <w:bCs/>
                <w:sz w:val="20"/>
                <w:szCs w:val="20"/>
                <w:lang w:eastAsia="zh-CN"/>
              </w:rPr>
              <w:t>3</w:t>
            </w:r>
          </w:p>
        </w:tc>
      </w:tr>
      <w:tr w:rsidR="00C4104D" w:rsidRPr="00094DA0" w14:paraId="672D3960" w14:textId="77777777" w:rsidTr="005F2E4B">
        <w:trPr>
          <w:trHeight w:val="315"/>
        </w:trPr>
        <w:tc>
          <w:tcPr>
            <w:tcW w:w="960" w:type="dxa"/>
            <w:vMerge w:val="restart"/>
            <w:tcBorders>
              <w:top w:val="double" w:sz="4" w:space="0" w:color="auto"/>
              <w:left w:val="single" w:sz="12" w:space="0" w:color="auto"/>
              <w:right w:val="single" w:sz="4" w:space="0" w:color="auto"/>
            </w:tcBorders>
            <w:vAlign w:val="center"/>
          </w:tcPr>
          <w:p w14:paraId="5677D8EC" w14:textId="77777777" w:rsidR="00C4104D" w:rsidRPr="00826006" w:rsidRDefault="00C4104D" w:rsidP="005F2E4B">
            <w:pPr>
              <w:rPr>
                <w:rFonts w:cs="Arial"/>
                <w:color w:val="000000"/>
                <w:sz w:val="20"/>
                <w:szCs w:val="20"/>
              </w:rPr>
            </w:pPr>
            <w:r w:rsidRPr="00826006">
              <w:rPr>
                <w:rFonts w:cs="Arial"/>
                <w:color w:val="000000"/>
                <w:sz w:val="20"/>
                <w:szCs w:val="20"/>
              </w:rPr>
              <w:t>PNP</w:t>
            </w:r>
          </w:p>
        </w:tc>
        <w:tc>
          <w:tcPr>
            <w:tcW w:w="960" w:type="dxa"/>
            <w:tcBorders>
              <w:top w:val="double" w:sz="4" w:space="0" w:color="auto"/>
              <w:left w:val="nil"/>
              <w:bottom w:val="single" w:sz="4" w:space="0" w:color="auto"/>
              <w:right w:val="single" w:sz="4" w:space="0" w:color="auto"/>
            </w:tcBorders>
            <w:shd w:val="clear" w:color="auto" w:fill="auto"/>
            <w:vAlign w:val="center"/>
          </w:tcPr>
          <w:p w14:paraId="4EC9C1C8" w14:textId="77777777" w:rsidR="00C4104D" w:rsidRPr="00826006" w:rsidRDefault="00C4104D" w:rsidP="005F2E4B">
            <w:pPr>
              <w:jc w:val="center"/>
              <w:rPr>
                <w:rFonts w:eastAsia="Calibri" w:cs="Arial"/>
                <w:bCs/>
                <w:sz w:val="20"/>
                <w:szCs w:val="20"/>
              </w:rPr>
            </w:pPr>
            <w:r w:rsidRPr="00826006">
              <w:rPr>
                <w:rFonts w:eastAsia="Calibri" w:cs="Arial"/>
                <w:bCs/>
                <w:sz w:val="20"/>
                <w:szCs w:val="20"/>
              </w:rPr>
              <w:t>2022</w:t>
            </w:r>
          </w:p>
        </w:tc>
        <w:tc>
          <w:tcPr>
            <w:tcW w:w="2020" w:type="dxa"/>
            <w:tcBorders>
              <w:top w:val="double" w:sz="4" w:space="0" w:color="auto"/>
              <w:left w:val="nil"/>
              <w:bottom w:val="single" w:sz="4" w:space="0" w:color="auto"/>
              <w:right w:val="single" w:sz="4" w:space="0" w:color="auto"/>
            </w:tcBorders>
            <w:shd w:val="clear" w:color="auto" w:fill="auto"/>
            <w:vAlign w:val="center"/>
          </w:tcPr>
          <w:p w14:paraId="2D1BECA6" w14:textId="77777777" w:rsidR="00C4104D" w:rsidRPr="00D92308" w:rsidRDefault="00C4104D" w:rsidP="005F2E4B">
            <w:pPr>
              <w:widowControl w:val="0"/>
              <w:suppressAutoHyphens/>
              <w:spacing w:line="256" w:lineRule="auto"/>
              <w:jc w:val="center"/>
              <w:rPr>
                <w:rFonts w:cs="Arial"/>
                <w:sz w:val="20"/>
                <w:szCs w:val="20"/>
                <w:lang w:eastAsia="zh-CN"/>
              </w:rPr>
            </w:pPr>
            <w:r w:rsidRPr="00D92308">
              <w:rPr>
                <w:rFonts w:cs="Arial"/>
                <w:sz w:val="20"/>
                <w:szCs w:val="20"/>
                <w:lang w:eastAsia="zh-CN"/>
              </w:rPr>
              <w:t>1</w:t>
            </w:r>
          </w:p>
        </w:tc>
        <w:tc>
          <w:tcPr>
            <w:tcW w:w="2738" w:type="dxa"/>
            <w:tcBorders>
              <w:top w:val="double" w:sz="4" w:space="0" w:color="auto"/>
              <w:left w:val="nil"/>
              <w:bottom w:val="single" w:sz="4" w:space="0" w:color="auto"/>
              <w:right w:val="single" w:sz="4" w:space="0" w:color="auto"/>
            </w:tcBorders>
            <w:shd w:val="clear" w:color="auto" w:fill="auto"/>
            <w:vAlign w:val="center"/>
          </w:tcPr>
          <w:p w14:paraId="235271BA" w14:textId="77777777" w:rsidR="00C4104D" w:rsidRPr="00D92308" w:rsidRDefault="00C4104D" w:rsidP="005F2E4B">
            <w:pPr>
              <w:widowControl w:val="0"/>
              <w:suppressAutoHyphens/>
              <w:spacing w:line="256" w:lineRule="auto"/>
              <w:jc w:val="center"/>
              <w:rPr>
                <w:rFonts w:cs="Arial"/>
                <w:sz w:val="20"/>
                <w:szCs w:val="20"/>
                <w:lang w:eastAsia="zh-CN"/>
              </w:rPr>
            </w:pPr>
            <w:r w:rsidRPr="00D92308">
              <w:rPr>
                <w:rFonts w:cs="Arial"/>
                <w:sz w:val="20"/>
                <w:szCs w:val="20"/>
                <w:lang w:eastAsia="zh-CN"/>
              </w:rPr>
              <w:t>1</w:t>
            </w:r>
          </w:p>
        </w:tc>
        <w:tc>
          <w:tcPr>
            <w:tcW w:w="2551" w:type="dxa"/>
            <w:tcBorders>
              <w:top w:val="double" w:sz="4" w:space="0" w:color="auto"/>
              <w:left w:val="nil"/>
              <w:bottom w:val="single" w:sz="4" w:space="0" w:color="auto"/>
              <w:right w:val="single" w:sz="12" w:space="0" w:color="auto"/>
            </w:tcBorders>
            <w:shd w:val="clear" w:color="auto" w:fill="auto"/>
            <w:vAlign w:val="center"/>
          </w:tcPr>
          <w:p w14:paraId="2CE1A2BF" w14:textId="77777777" w:rsidR="00C4104D" w:rsidRPr="00D92308" w:rsidRDefault="00C4104D" w:rsidP="005F2E4B">
            <w:pPr>
              <w:widowControl w:val="0"/>
              <w:suppressAutoHyphens/>
              <w:spacing w:line="256" w:lineRule="auto"/>
              <w:jc w:val="center"/>
              <w:rPr>
                <w:rFonts w:cs="Arial"/>
                <w:sz w:val="20"/>
                <w:szCs w:val="20"/>
                <w:lang w:eastAsia="zh-CN"/>
              </w:rPr>
            </w:pPr>
            <w:r w:rsidRPr="00D92308">
              <w:rPr>
                <w:rFonts w:cs="Arial"/>
                <w:sz w:val="20"/>
                <w:szCs w:val="20"/>
                <w:lang w:eastAsia="zh-CN"/>
              </w:rPr>
              <w:t>0</w:t>
            </w:r>
          </w:p>
        </w:tc>
      </w:tr>
      <w:tr w:rsidR="00C4104D" w:rsidRPr="00094DA0" w14:paraId="1750BD84" w14:textId="77777777" w:rsidTr="005F2E4B">
        <w:trPr>
          <w:trHeight w:val="315"/>
        </w:trPr>
        <w:tc>
          <w:tcPr>
            <w:tcW w:w="960" w:type="dxa"/>
            <w:vMerge/>
            <w:tcBorders>
              <w:left w:val="single" w:sz="12" w:space="0" w:color="auto"/>
              <w:right w:val="single" w:sz="4" w:space="0" w:color="auto"/>
            </w:tcBorders>
            <w:vAlign w:val="center"/>
          </w:tcPr>
          <w:p w14:paraId="4CFEF65C" w14:textId="77777777" w:rsidR="00C4104D" w:rsidRPr="00826006" w:rsidRDefault="00C4104D" w:rsidP="005F2E4B">
            <w:pPr>
              <w:rPr>
                <w:rFonts w:cs="Arial"/>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6C3E0322" w14:textId="77777777" w:rsidR="00C4104D" w:rsidRPr="00826006" w:rsidRDefault="00C4104D" w:rsidP="005F2E4B">
            <w:pPr>
              <w:jc w:val="center"/>
              <w:rPr>
                <w:rFonts w:eastAsia="Calibri" w:cs="Arial"/>
                <w:bCs/>
                <w:sz w:val="20"/>
                <w:szCs w:val="20"/>
              </w:rPr>
            </w:pPr>
            <w:r w:rsidRPr="00826006">
              <w:rPr>
                <w:rFonts w:eastAsia="Calibri" w:cs="Arial"/>
                <w:bCs/>
                <w:sz w:val="20"/>
                <w:szCs w:val="20"/>
              </w:rPr>
              <w:t>2023</w:t>
            </w:r>
          </w:p>
        </w:tc>
        <w:tc>
          <w:tcPr>
            <w:tcW w:w="2020" w:type="dxa"/>
            <w:tcBorders>
              <w:top w:val="single" w:sz="4" w:space="0" w:color="auto"/>
              <w:left w:val="nil"/>
              <w:bottom w:val="single" w:sz="4" w:space="0" w:color="auto"/>
              <w:right w:val="single" w:sz="4" w:space="0" w:color="auto"/>
            </w:tcBorders>
            <w:shd w:val="clear" w:color="auto" w:fill="auto"/>
            <w:vAlign w:val="center"/>
          </w:tcPr>
          <w:p w14:paraId="220B15C8" w14:textId="77777777" w:rsidR="00C4104D" w:rsidRPr="00D92308" w:rsidRDefault="00C4104D" w:rsidP="005F2E4B">
            <w:pPr>
              <w:widowControl w:val="0"/>
              <w:suppressAutoHyphens/>
              <w:spacing w:line="256" w:lineRule="auto"/>
              <w:jc w:val="center"/>
              <w:rPr>
                <w:rFonts w:cs="Arial"/>
                <w:sz w:val="20"/>
                <w:szCs w:val="20"/>
                <w:lang w:eastAsia="zh-CN"/>
              </w:rPr>
            </w:pPr>
            <w:r w:rsidRPr="00D92308">
              <w:rPr>
                <w:rFonts w:eastAsia="Calibri" w:cs="Arial"/>
                <w:bCs/>
                <w:sz w:val="20"/>
                <w:szCs w:val="20"/>
                <w:lang w:eastAsia="zh-CN"/>
              </w:rPr>
              <w:t>0</w:t>
            </w:r>
          </w:p>
        </w:tc>
        <w:tc>
          <w:tcPr>
            <w:tcW w:w="2738" w:type="dxa"/>
            <w:tcBorders>
              <w:top w:val="single" w:sz="4" w:space="0" w:color="auto"/>
              <w:left w:val="nil"/>
              <w:bottom w:val="single" w:sz="4" w:space="0" w:color="auto"/>
              <w:right w:val="single" w:sz="4" w:space="0" w:color="auto"/>
            </w:tcBorders>
            <w:shd w:val="clear" w:color="auto" w:fill="auto"/>
            <w:vAlign w:val="center"/>
          </w:tcPr>
          <w:p w14:paraId="1E4F58D3" w14:textId="77777777" w:rsidR="00C4104D" w:rsidRPr="00D92308" w:rsidRDefault="00C4104D" w:rsidP="005F2E4B">
            <w:pPr>
              <w:widowControl w:val="0"/>
              <w:suppressAutoHyphens/>
              <w:spacing w:line="256" w:lineRule="auto"/>
              <w:jc w:val="center"/>
              <w:rPr>
                <w:rFonts w:cs="Arial"/>
                <w:sz w:val="20"/>
                <w:szCs w:val="20"/>
                <w:lang w:eastAsia="zh-CN"/>
              </w:rPr>
            </w:pPr>
            <w:r w:rsidRPr="00D92308">
              <w:rPr>
                <w:rFonts w:eastAsia="Calibri" w:cs="Arial"/>
                <w:bCs/>
                <w:sz w:val="20"/>
                <w:szCs w:val="20"/>
                <w:lang w:eastAsia="zh-CN"/>
              </w:rPr>
              <w:t>0</w:t>
            </w:r>
          </w:p>
        </w:tc>
        <w:tc>
          <w:tcPr>
            <w:tcW w:w="2551" w:type="dxa"/>
            <w:tcBorders>
              <w:top w:val="single" w:sz="4" w:space="0" w:color="auto"/>
              <w:left w:val="nil"/>
              <w:bottom w:val="single" w:sz="4" w:space="0" w:color="auto"/>
              <w:right w:val="single" w:sz="12" w:space="0" w:color="auto"/>
            </w:tcBorders>
            <w:shd w:val="clear" w:color="auto" w:fill="auto"/>
            <w:vAlign w:val="center"/>
          </w:tcPr>
          <w:p w14:paraId="650F4ED9" w14:textId="77777777" w:rsidR="00C4104D" w:rsidRPr="00D92308" w:rsidRDefault="00C4104D" w:rsidP="005F2E4B">
            <w:pPr>
              <w:widowControl w:val="0"/>
              <w:suppressAutoHyphens/>
              <w:spacing w:line="256" w:lineRule="auto"/>
              <w:jc w:val="center"/>
              <w:rPr>
                <w:rFonts w:cs="Arial"/>
                <w:sz w:val="20"/>
                <w:szCs w:val="20"/>
                <w:lang w:eastAsia="zh-CN"/>
              </w:rPr>
            </w:pPr>
            <w:r w:rsidRPr="00D92308">
              <w:rPr>
                <w:rFonts w:eastAsia="Calibri" w:cs="Arial"/>
                <w:bCs/>
                <w:sz w:val="20"/>
                <w:szCs w:val="20"/>
                <w:lang w:eastAsia="zh-CN"/>
              </w:rPr>
              <w:t>0</w:t>
            </w:r>
          </w:p>
        </w:tc>
      </w:tr>
      <w:tr w:rsidR="00C4104D" w:rsidRPr="00AE6D8B" w14:paraId="2E6CFF45" w14:textId="77777777" w:rsidTr="005F2E4B">
        <w:trPr>
          <w:trHeight w:val="315"/>
        </w:trPr>
        <w:tc>
          <w:tcPr>
            <w:tcW w:w="960" w:type="dxa"/>
            <w:vMerge w:val="restart"/>
            <w:tcBorders>
              <w:top w:val="double" w:sz="4" w:space="0" w:color="auto"/>
              <w:left w:val="single" w:sz="12" w:space="0" w:color="auto"/>
              <w:right w:val="single" w:sz="4" w:space="0" w:color="auto"/>
            </w:tcBorders>
            <w:vAlign w:val="center"/>
          </w:tcPr>
          <w:p w14:paraId="0F832CE6" w14:textId="77777777" w:rsidR="00C4104D" w:rsidRPr="00A265A0" w:rsidRDefault="00C4104D" w:rsidP="005F2E4B">
            <w:pPr>
              <w:rPr>
                <w:rFonts w:cs="Arial"/>
                <w:color w:val="000000"/>
                <w:sz w:val="20"/>
                <w:szCs w:val="20"/>
              </w:rPr>
            </w:pPr>
            <w:r w:rsidRPr="00A265A0">
              <w:rPr>
                <w:rFonts w:cs="Arial"/>
                <w:color w:val="000000"/>
                <w:sz w:val="20"/>
                <w:szCs w:val="20"/>
              </w:rPr>
              <w:t>PT</w:t>
            </w:r>
          </w:p>
        </w:tc>
        <w:tc>
          <w:tcPr>
            <w:tcW w:w="960" w:type="dxa"/>
            <w:tcBorders>
              <w:top w:val="double" w:sz="4" w:space="0" w:color="auto"/>
              <w:left w:val="nil"/>
              <w:bottom w:val="single" w:sz="4" w:space="0" w:color="auto"/>
              <w:right w:val="single" w:sz="4" w:space="0" w:color="auto"/>
            </w:tcBorders>
            <w:shd w:val="clear" w:color="auto" w:fill="auto"/>
            <w:vAlign w:val="center"/>
          </w:tcPr>
          <w:p w14:paraId="365E3305" w14:textId="77777777" w:rsidR="00C4104D" w:rsidRPr="00A265A0" w:rsidRDefault="00C4104D" w:rsidP="005F2E4B">
            <w:pPr>
              <w:jc w:val="center"/>
              <w:rPr>
                <w:rFonts w:eastAsia="Calibri" w:cs="Arial"/>
                <w:bCs/>
                <w:sz w:val="20"/>
                <w:szCs w:val="20"/>
              </w:rPr>
            </w:pPr>
            <w:r w:rsidRPr="00A265A0">
              <w:rPr>
                <w:rFonts w:eastAsia="Calibri" w:cs="Arial"/>
                <w:bCs/>
                <w:sz w:val="20"/>
                <w:szCs w:val="20"/>
              </w:rPr>
              <w:t>2022</w:t>
            </w:r>
          </w:p>
        </w:tc>
        <w:tc>
          <w:tcPr>
            <w:tcW w:w="2020" w:type="dxa"/>
            <w:tcBorders>
              <w:top w:val="double" w:sz="4" w:space="0" w:color="auto"/>
              <w:left w:val="nil"/>
              <w:bottom w:val="single" w:sz="4" w:space="0" w:color="auto"/>
              <w:right w:val="single" w:sz="4" w:space="0" w:color="auto"/>
            </w:tcBorders>
            <w:shd w:val="clear" w:color="auto" w:fill="auto"/>
            <w:vAlign w:val="center"/>
          </w:tcPr>
          <w:p w14:paraId="56D81AE3" w14:textId="77777777" w:rsidR="00C4104D" w:rsidRPr="00AE6D8B" w:rsidRDefault="00C4104D" w:rsidP="005F2E4B">
            <w:pPr>
              <w:widowControl w:val="0"/>
              <w:suppressAutoHyphens/>
              <w:spacing w:line="256" w:lineRule="auto"/>
              <w:jc w:val="center"/>
              <w:rPr>
                <w:rFonts w:cs="Arial"/>
                <w:sz w:val="20"/>
                <w:szCs w:val="20"/>
                <w:lang w:eastAsia="zh-CN"/>
              </w:rPr>
            </w:pPr>
            <w:r w:rsidRPr="00AE6D8B">
              <w:rPr>
                <w:rFonts w:cs="Arial"/>
                <w:sz w:val="20"/>
                <w:szCs w:val="20"/>
                <w:lang w:eastAsia="zh-CN"/>
              </w:rPr>
              <w:t>7</w:t>
            </w:r>
          </w:p>
        </w:tc>
        <w:tc>
          <w:tcPr>
            <w:tcW w:w="2738" w:type="dxa"/>
            <w:tcBorders>
              <w:top w:val="double" w:sz="4" w:space="0" w:color="auto"/>
              <w:left w:val="nil"/>
              <w:bottom w:val="single" w:sz="4" w:space="0" w:color="auto"/>
              <w:right w:val="single" w:sz="4" w:space="0" w:color="auto"/>
            </w:tcBorders>
            <w:shd w:val="clear" w:color="auto" w:fill="auto"/>
            <w:vAlign w:val="center"/>
          </w:tcPr>
          <w:p w14:paraId="3B8C48A9" w14:textId="77777777" w:rsidR="00C4104D" w:rsidRPr="00AE6D8B" w:rsidRDefault="00C4104D" w:rsidP="005F2E4B">
            <w:pPr>
              <w:widowControl w:val="0"/>
              <w:suppressAutoHyphens/>
              <w:spacing w:line="256" w:lineRule="auto"/>
              <w:jc w:val="center"/>
              <w:rPr>
                <w:rFonts w:cs="Arial"/>
                <w:sz w:val="20"/>
                <w:szCs w:val="20"/>
                <w:lang w:eastAsia="zh-CN"/>
              </w:rPr>
            </w:pPr>
            <w:r w:rsidRPr="00AE6D8B">
              <w:rPr>
                <w:rFonts w:cs="Arial"/>
                <w:sz w:val="20"/>
                <w:szCs w:val="20"/>
                <w:lang w:eastAsia="zh-CN"/>
              </w:rPr>
              <w:t>4</w:t>
            </w:r>
          </w:p>
        </w:tc>
        <w:tc>
          <w:tcPr>
            <w:tcW w:w="2551" w:type="dxa"/>
            <w:tcBorders>
              <w:top w:val="double" w:sz="4" w:space="0" w:color="auto"/>
              <w:left w:val="nil"/>
              <w:bottom w:val="single" w:sz="4" w:space="0" w:color="auto"/>
              <w:right w:val="single" w:sz="12" w:space="0" w:color="auto"/>
            </w:tcBorders>
            <w:shd w:val="clear" w:color="auto" w:fill="auto"/>
            <w:vAlign w:val="center"/>
          </w:tcPr>
          <w:p w14:paraId="0FCC5F34" w14:textId="77777777" w:rsidR="00C4104D" w:rsidRPr="00AE6D8B" w:rsidRDefault="00C4104D" w:rsidP="005F2E4B">
            <w:pPr>
              <w:widowControl w:val="0"/>
              <w:suppressAutoHyphens/>
              <w:spacing w:line="256" w:lineRule="auto"/>
              <w:jc w:val="center"/>
              <w:rPr>
                <w:rFonts w:cs="Arial"/>
                <w:sz w:val="20"/>
                <w:szCs w:val="20"/>
                <w:lang w:eastAsia="zh-CN"/>
              </w:rPr>
            </w:pPr>
            <w:r w:rsidRPr="00AE6D8B">
              <w:rPr>
                <w:rFonts w:cs="Arial"/>
                <w:sz w:val="20"/>
                <w:szCs w:val="20"/>
                <w:lang w:eastAsia="zh-CN"/>
              </w:rPr>
              <w:t>3</w:t>
            </w:r>
          </w:p>
        </w:tc>
      </w:tr>
      <w:tr w:rsidR="00C4104D" w:rsidRPr="00AE6D8B" w14:paraId="6D258619" w14:textId="77777777" w:rsidTr="005F2E4B">
        <w:trPr>
          <w:trHeight w:val="315"/>
        </w:trPr>
        <w:tc>
          <w:tcPr>
            <w:tcW w:w="960" w:type="dxa"/>
            <w:vMerge/>
            <w:tcBorders>
              <w:left w:val="single" w:sz="12" w:space="0" w:color="auto"/>
              <w:bottom w:val="single" w:sz="12" w:space="0" w:color="auto"/>
              <w:right w:val="single" w:sz="4" w:space="0" w:color="auto"/>
            </w:tcBorders>
            <w:vAlign w:val="center"/>
          </w:tcPr>
          <w:p w14:paraId="2689C871" w14:textId="77777777" w:rsidR="00C4104D" w:rsidRPr="00A265A0" w:rsidRDefault="00C4104D" w:rsidP="005F2E4B">
            <w:pPr>
              <w:rPr>
                <w:rFonts w:cs="Arial"/>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0EDB70BE" w14:textId="77777777" w:rsidR="00C4104D" w:rsidRPr="00A265A0" w:rsidRDefault="00C4104D" w:rsidP="005F2E4B">
            <w:pPr>
              <w:jc w:val="center"/>
              <w:rPr>
                <w:rFonts w:eastAsia="Calibri" w:cs="Arial"/>
                <w:bCs/>
                <w:sz w:val="20"/>
                <w:szCs w:val="20"/>
              </w:rPr>
            </w:pPr>
            <w:r w:rsidRPr="00A265A0">
              <w:rPr>
                <w:rFonts w:eastAsia="Calibri" w:cs="Arial"/>
                <w:bCs/>
                <w:sz w:val="20"/>
                <w:szCs w:val="20"/>
              </w:rPr>
              <w:t>2023</w:t>
            </w:r>
          </w:p>
        </w:tc>
        <w:tc>
          <w:tcPr>
            <w:tcW w:w="2020" w:type="dxa"/>
            <w:tcBorders>
              <w:top w:val="single" w:sz="4" w:space="0" w:color="auto"/>
              <w:left w:val="nil"/>
              <w:bottom w:val="single" w:sz="4" w:space="0" w:color="auto"/>
              <w:right w:val="single" w:sz="4" w:space="0" w:color="auto"/>
            </w:tcBorders>
            <w:shd w:val="clear" w:color="auto" w:fill="auto"/>
            <w:vAlign w:val="center"/>
          </w:tcPr>
          <w:p w14:paraId="1380ECC3" w14:textId="77777777" w:rsidR="00C4104D" w:rsidRPr="00AE6D8B" w:rsidRDefault="00C4104D" w:rsidP="005F2E4B">
            <w:pPr>
              <w:widowControl w:val="0"/>
              <w:suppressAutoHyphens/>
              <w:spacing w:line="256" w:lineRule="auto"/>
              <w:jc w:val="center"/>
              <w:rPr>
                <w:rFonts w:cs="Arial"/>
                <w:sz w:val="20"/>
                <w:szCs w:val="20"/>
                <w:lang w:eastAsia="zh-CN"/>
              </w:rPr>
            </w:pPr>
            <w:r w:rsidRPr="00AE6D8B">
              <w:rPr>
                <w:rFonts w:cs="Arial"/>
                <w:sz w:val="20"/>
                <w:szCs w:val="20"/>
                <w:lang w:eastAsia="zh-CN"/>
              </w:rPr>
              <w:t>8</w:t>
            </w:r>
          </w:p>
        </w:tc>
        <w:tc>
          <w:tcPr>
            <w:tcW w:w="2738" w:type="dxa"/>
            <w:tcBorders>
              <w:top w:val="single" w:sz="4" w:space="0" w:color="auto"/>
              <w:left w:val="nil"/>
              <w:bottom w:val="single" w:sz="4" w:space="0" w:color="auto"/>
              <w:right w:val="single" w:sz="4" w:space="0" w:color="auto"/>
            </w:tcBorders>
            <w:shd w:val="clear" w:color="auto" w:fill="auto"/>
            <w:vAlign w:val="center"/>
          </w:tcPr>
          <w:p w14:paraId="5407B01B" w14:textId="77777777" w:rsidR="00C4104D" w:rsidRPr="00AE6D8B" w:rsidRDefault="00C4104D" w:rsidP="005F2E4B">
            <w:pPr>
              <w:widowControl w:val="0"/>
              <w:suppressAutoHyphens/>
              <w:spacing w:line="256" w:lineRule="auto"/>
              <w:jc w:val="center"/>
              <w:rPr>
                <w:rFonts w:cs="Arial"/>
                <w:sz w:val="20"/>
                <w:szCs w:val="20"/>
                <w:lang w:eastAsia="zh-CN"/>
              </w:rPr>
            </w:pPr>
            <w:r w:rsidRPr="00AE6D8B">
              <w:rPr>
                <w:rFonts w:cs="Arial"/>
                <w:sz w:val="20"/>
                <w:szCs w:val="20"/>
                <w:lang w:eastAsia="zh-CN"/>
              </w:rPr>
              <w:t>4</w:t>
            </w:r>
          </w:p>
        </w:tc>
        <w:tc>
          <w:tcPr>
            <w:tcW w:w="2551" w:type="dxa"/>
            <w:tcBorders>
              <w:top w:val="single" w:sz="4" w:space="0" w:color="auto"/>
              <w:left w:val="nil"/>
              <w:bottom w:val="single" w:sz="4" w:space="0" w:color="auto"/>
              <w:right w:val="single" w:sz="12" w:space="0" w:color="auto"/>
            </w:tcBorders>
            <w:shd w:val="clear" w:color="auto" w:fill="auto"/>
            <w:vAlign w:val="center"/>
          </w:tcPr>
          <w:p w14:paraId="45FBEFA6" w14:textId="77777777" w:rsidR="00C4104D" w:rsidRPr="00AE6D8B" w:rsidRDefault="00C4104D" w:rsidP="005F2E4B">
            <w:pPr>
              <w:widowControl w:val="0"/>
              <w:suppressAutoHyphens/>
              <w:spacing w:line="256" w:lineRule="auto"/>
              <w:jc w:val="center"/>
              <w:rPr>
                <w:rFonts w:cs="Arial"/>
                <w:sz w:val="20"/>
                <w:szCs w:val="20"/>
                <w:lang w:eastAsia="zh-CN"/>
              </w:rPr>
            </w:pPr>
            <w:r w:rsidRPr="00AE6D8B">
              <w:rPr>
                <w:rFonts w:cs="Arial"/>
                <w:sz w:val="20"/>
                <w:szCs w:val="20"/>
                <w:lang w:eastAsia="zh-CN"/>
              </w:rPr>
              <w:t>4</w:t>
            </w:r>
          </w:p>
        </w:tc>
      </w:tr>
      <w:tr w:rsidR="00C4104D" w:rsidRPr="00094DA0" w14:paraId="75C65256" w14:textId="77777777" w:rsidTr="005F2E4B">
        <w:trPr>
          <w:trHeight w:val="315"/>
        </w:trPr>
        <w:tc>
          <w:tcPr>
            <w:tcW w:w="960" w:type="dxa"/>
            <w:vMerge w:val="restart"/>
            <w:tcBorders>
              <w:top w:val="double" w:sz="4" w:space="0" w:color="auto"/>
              <w:left w:val="single" w:sz="12" w:space="0" w:color="auto"/>
              <w:right w:val="single" w:sz="4" w:space="0" w:color="auto"/>
            </w:tcBorders>
            <w:vAlign w:val="center"/>
          </w:tcPr>
          <w:p w14:paraId="53966245" w14:textId="77777777" w:rsidR="00C4104D" w:rsidRPr="008F648B" w:rsidRDefault="00C4104D" w:rsidP="005F2E4B">
            <w:pPr>
              <w:rPr>
                <w:rFonts w:cs="Arial"/>
                <w:color w:val="000000"/>
                <w:sz w:val="20"/>
                <w:szCs w:val="20"/>
              </w:rPr>
            </w:pPr>
            <w:r w:rsidRPr="008F648B">
              <w:rPr>
                <w:rFonts w:cs="Arial"/>
                <w:color w:val="000000"/>
                <w:sz w:val="20"/>
                <w:szCs w:val="20"/>
              </w:rPr>
              <w:t>PL</w:t>
            </w:r>
          </w:p>
        </w:tc>
        <w:tc>
          <w:tcPr>
            <w:tcW w:w="960" w:type="dxa"/>
            <w:tcBorders>
              <w:top w:val="double" w:sz="4" w:space="0" w:color="auto"/>
              <w:left w:val="nil"/>
              <w:bottom w:val="single" w:sz="4" w:space="0" w:color="auto"/>
              <w:right w:val="single" w:sz="4" w:space="0" w:color="auto"/>
            </w:tcBorders>
            <w:shd w:val="clear" w:color="auto" w:fill="auto"/>
            <w:vAlign w:val="center"/>
          </w:tcPr>
          <w:p w14:paraId="4B44CE34" w14:textId="77777777" w:rsidR="00C4104D" w:rsidRPr="008F648B" w:rsidRDefault="00C4104D" w:rsidP="005F2E4B">
            <w:pPr>
              <w:jc w:val="center"/>
              <w:rPr>
                <w:rFonts w:eastAsia="Calibri" w:cs="Arial"/>
                <w:bCs/>
                <w:sz w:val="20"/>
                <w:szCs w:val="20"/>
              </w:rPr>
            </w:pPr>
            <w:r w:rsidRPr="008F648B">
              <w:rPr>
                <w:rFonts w:eastAsia="Calibri" w:cs="Arial"/>
                <w:bCs/>
                <w:sz w:val="20"/>
                <w:szCs w:val="20"/>
              </w:rPr>
              <w:t>2022</w:t>
            </w:r>
          </w:p>
        </w:tc>
        <w:tc>
          <w:tcPr>
            <w:tcW w:w="2020" w:type="dxa"/>
            <w:tcBorders>
              <w:top w:val="double" w:sz="4" w:space="0" w:color="auto"/>
              <w:left w:val="nil"/>
              <w:bottom w:val="single" w:sz="4" w:space="0" w:color="auto"/>
              <w:right w:val="single" w:sz="4" w:space="0" w:color="auto"/>
            </w:tcBorders>
            <w:shd w:val="clear" w:color="auto" w:fill="auto"/>
            <w:vAlign w:val="center"/>
          </w:tcPr>
          <w:p w14:paraId="29A77244" w14:textId="77777777" w:rsidR="00C4104D" w:rsidRPr="008F648B" w:rsidRDefault="00C4104D" w:rsidP="005F2E4B">
            <w:pPr>
              <w:widowControl w:val="0"/>
              <w:suppressAutoHyphens/>
              <w:spacing w:line="256" w:lineRule="auto"/>
              <w:jc w:val="center"/>
              <w:rPr>
                <w:rFonts w:cs="Arial"/>
                <w:sz w:val="20"/>
                <w:szCs w:val="20"/>
                <w:lang w:eastAsia="zh-CN"/>
              </w:rPr>
            </w:pPr>
            <w:r w:rsidRPr="008F648B">
              <w:rPr>
                <w:rFonts w:cs="Arial"/>
                <w:sz w:val="20"/>
                <w:szCs w:val="20"/>
                <w:lang w:eastAsia="zh-CN"/>
              </w:rPr>
              <w:t>3</w:t>
            </w:r>
          </w:p>
        </w:tc>
        <w:tc>
          <w:tcPr>
            <w:tcW w:w="2738" w:type="dxa"/>
            <w:tcBorders>
              <w:top w:val="double" w:sz="4" w:space="0" w:color="auto"/>
              <w:left w:val="nil"/>
              <w:bottom w:val="single" w:sz="4" w:space="0" w:color="auto"/>
              <w:right w:val="single" w:sz="4" w:space="0" w:color="auto"/>
            </w:tcBorders>
            <w:shd w:val="clear" w:color="auto" w:fill="auto"/>
            <w:vAlign w:val="center"/>
          </w:tcPr>
          <w:p w14:paraId="17D75839" w14:textId="77777777" w:rsidR="00C4104D" w:rsidRPr="008F648B" w:rsidRDefault="00C4104D" w:rsidP="005F2E4B">
            <w:pPr>
              <w:widowControl w:val="0"/>
              <w:suppressAutoHyphens/>
              <w:spacing w:line="256" w:lineRule="auto"/>
              <w:jc w:val="center"/>
              <w:rPr>
                <w:rFonts w:cs="Arial"/>
                <w:sz w:val="20"/>
                <w:szCs w:val="20"/>
                <w:lang w:eastAsia="zh-CN"/>
              </w:rPr>
            </w:pPr>
            <w:r w:rsidRPr="008F648B">
              <w:rPr>
                <w:rFonts w:cs="Arial"/>
                <w:sz w:val="20"/>
                <w:szCs w:val="20"/>
                <w:lang w:eastAsia="zh-CN"/>
              </w:rPr>
              <w:t>0</w:t>
            </w:r>
          </w:p>
        </w:tc>
        <w:tc>
          <w:tcPr>
            <w:tcW w:w="2551" w:type="dxa"/>
            <w:tcBorders>
              <w:top w:val="double" w:sz="4" w:space="0" w:color="auto"/>
              <w:left w:val="nil"/>
              <w:bottom w:val="single" w:sz="4" w:space="0" w:color="auto"/>
              <w:right w:val="single" w:sz="12" w:space="0" w:color="auto"/>
            </w:tcBorders>
            <w:shd w:val="clear" w:color="auto" w:fill="auto"/>
            <w:vAlign w:val="center"/>
          </w:tcPr>
          <w:p w14:paraId="3B603B0E" w14:textId="77777777" w:rsidR="00C4104D" w:rsidRPr="008F648B" w:rsidRDefault="00C4104D" w:rsidP="005F2E4B">
            <w:pPr>
              <w:widowControl w:val="0"/>
              <w:suppressAutoHyphens/>
              <w:spacing w:line="256" w:lineRule="auto"/>
              <w:jc w:val="center"/>
              <w:rPr>
                <w:rFonts w:cs="Arial"/>
                <w:sz w:val="20"/>
                <w:szCs w:val="20"/>
                <w:lang w:eastAsia="zh-CN"/>
              </w:rPr>
            </w:pPr>
            <w:r w:rsidRPr="008F648B">
              <w:rPr>
                <w:rFonts w:cs="Arial"/>
                <w:sz w:val="20"/>
                <w:szCs w:val="20"/>
                <w:lang w:eastAsia="zh-CN"/>
              </w:rPr>
              <w:t>3</w:t>
            </w:r>
          </w:p>
        </w:tc>
      </w:tr>
      <w:tr w:rsidR="00C4104D" w:rsidRPr="00094DA0" w14:paraId="2449B701" w14:textId="77777777" w:rsidTr="005F2E4B">
        <w:trPr>
          <w:trHeight w:val="315"/>
        </w:trPr>
        <w:tc>
          <w:tcPr>
            <w:tcW w:w="960" w:type="dxa"/>
            <w:vMerge/>
            <w:tcBorders>
              <w:left w:val="single" w:sz="12" w:space="0" w:color="auto"/>
              <w:bottom w:val="single" w:sz="12" w:space="0" w:color="auto"/>
              <w:right w:val="single" w:sz="4" w:space="0" w:color="auto"/>
            </w:tcBorders>
            <w:vAlign w:val="center"/>
          </w:tcPr>
          <w:p w14:paraId="5451ADAB" w14:textId="77777777" w:rsidR="00C4104D" w:rsidRPr="008F648B" w:rsidRDefault="00C4104D" w:rsidP="005F2E4B">
            <w:pPr>
              <w:rPr>
                <w:rFonts w:cs="Arial"/>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5C805FD9" w14:textId="77777777" w:rsidR="00C4104D" w:rsidRPr="008F648B" w:rsidRDefault="00C4104D" w:rsidP="005F2E4B">
            <w:pPr>
              <w:jc w:val="center"/>
              <w:rPr>
                <w:rFonts w:eastAsia="Calibri" w:cs="Arial"/>
                <w:bCs/>
                <w:sz w:val="20"/>
                <w:szCs w:val="20"/>
              </w:rPr>
            </w:pPr>
            <w:r w:rsidRPr="008F648B">
              <w:rPr>
                <w:rFonts w:eastAsia="Calibri" w:cs="Arial"/>
                <w:bCs/>
                <w:sz w:val="20"/>
                <w:szCs w:val="20"/>
              </w:rPr>
              <w:t>2023</w:t>
            </w:r>
          </w:p>
        </w:tc>
        <w:tc>
          <w:tcPr>
            <w:tcW w:w="2020" w:type="dxa"/>
            <w:tcBorders>
              <w:top w:val="single" w:sz="4" w:space="0" w:color="auto"/>
              <w:left w:val="nil"/>
              <w:bottom w:val="single" w:sz="4" w:space="0" w:color="auto"/>
              <w:right w:val="single" w:sz="4" w:space="0" w:color="auto"/>
            </w:tcBorders>
            <w:shd w:val="clear" w:color="auto" w:fill="auto"/>
            <w:vAlign w:val="center"/>
          </w:tcPr>
          <w:p w14:paraId="43E9E2CC" w14:textId="77777777" w:rsidR="00C4104D" w:rsidRPr="008F648B" w:rsidRDefault="00C4104D" w:rsidP="005F2E4B">
            <w:pPr>
              <w:widowControl w:val="0"/>
              <w:suppressAutoHyphens/>
              <w:spacing w:line="256" w:lineRule="auto"/>
              <w:jc w:val="center"/>
              <w:rPr>
                <w:rFonts w:cs="Arial"/>
                <w:sz w:val="20"/>
                <w:szCs w:val="20"/>
                <w:lang w:eastAsia="zh-CN"/>
              </w:rPr>
            </w:pPr>
            <w:r w:rsidRPr="008F648B">
              <w:rPr>
                <w:rFonts w:eastAsia="Calibri" w:cs="Arial"/>
                <w:bCs/>
                <w:sz w:val="20"/>
                <w:szCs w:val="20"/>
                <w:lang w:eastAsia="zh-CN"/>
              </w:rPr>
              <w:t>3</w:t>
            </w:r>
          </w:p>
        </w:tc>
        <w:tc>
          <w:tcPr>
            <w:tcW w:w="2738" w:type="dxa"/>
            <w:tcBorders>
              <w:top w:val="single" w:sz="4" w:space="0" w:color="auto"/>
              <w:left w:val="nil"/>
              <w:bottom w:val="single" w:sz="4" w:space="0" w:color="auto"/>
              <w:right w:val="single" w:sz="4" w:space="0" w:color="auto"/>
            </w:tcBorders>
            <w:shd w:val="clear" w:color="auto" w:fill="auto"/>
            <w:vAlign w:val="center"/>
          </w:tcPr>
          <w:p w14:paraId="7EAE7336" w14:textId="77777777" w:rsidR="00C4104D" w:rsidRPr="008F648B" w:rsidRDefault="00C4104D" w:rsidP="005F2E4B">
            <w:pPr>
              <w:widowControl w:val="0"/>
              <w:suppressAutoHyphens/>
              <w:spacing w:line="256" w:lineRule="auto"/>
              <w:jc w:val="center"/>
              <w:rPr>
                <w:rFonts w:cs="Arial"/>
                <w:sz w:val="20"/>
                <w:szCs w:val="20"/>
                <w:lang w:eastAsia="zh-CN"/>
              </w:rPr>
            </w:pPr>
            <w:r w:rsidRPr="008F648B">
              <w:rPr>
                <w:rFonts w:eastAsia="Calibri" w:cs="Arial"/>
                <w:bCs/>
                <w:sz w:val="20"/>
                <w:szCs w:val="20"/>
                <w:lang w:eastAsia="zh-CN"/>
              </w:rPr>
              <w:t>0</w:t>
            </w:r>
          </w:p>
        </w:tc>
        <w:tc>
          <w:tcPr>
            <w:tcW w:w="2551" w:type="dxa"/>
            <w:tcBorders>
              <w:top w:val="single" w:sz="4" w:space="0" w:color="auto"/>
              <w:left w:val="nil"/>
              <w:bottom w:val="single" w:sz="4" w:space="0" w:color="auto"/>
              <w:right w:val="single" w:sz="12" w:space="0" w:color="auto"/>
            </w:tcBorders>
            <w:shd w:val="clear" w:color="auto" w:fill="auto"/>
            <w:vAlign w:val="center"/>
          </w:tcPr>
          <w:p w14:paraId="0586ED49" w14:textId="77777777" w:rsidR="00C4104D" w:rsidRPr="008F648B" w:rsidRDefault="00C4104D" w:rsidP="005F2E4B">
            <w:pPr>
              <w:widowControl w:val="0"/>
              <w:suppressAutoHyphens/>
              <w:spacing w:line="256" w:lineRule="auto"/>
              <w:jc w:val="center"/>
              <w:rPr>
                <w:rFonts w:cs="Arial"/>
                <w:sz w:val="20"/>
                <w:szCs w:val="20"/>
                <w:lang w:eastAsia="zh-CN"/>
              </w:rPr>
            </w:pPr>
            <w:r w:rsidRPr="008F648B">
              <w:rPr>
                <w:rFonts w:eastAsia="Calibri" w:cs="Arial"/>
                <w:bCs/>
                <w:sz w:val="20"/>
                <w:szCs w:val="20"/>
                <w:lang w:eastAsia="zh-CN"/>
              </w:rPr>
              <w:t>3</w:t>
            </w:r>
          </w:p>
        </w:tc>
      </w:tr>
      <w:tr w:rsidR="00C4104D" w:rsidRPr="00094DA0" w14:paraId="0E94A0CB" w14:textId="77777777" w:rsidTr="005F2E4B">
        <w:trPr>
          <w:trHeight w:val="315"/>
        </w:trPr>
        <w:tc>
          <w:tcPr>
            <w:tcW w:w="960" w:type="dxa"/>
            <w:vMerge w:val="restart"/>
            <w:tcBorders>
              <w:top w:val="double" w:sz="4" w:space="0" w:color="auto"/>
              <w:left w:val="single" w:sz="12" w:space="0" w:color="auto"/>
              <w:bottom w:val="single" w:sz="12" w:space="0" w:color="auto"/>
              <w:right w:val="single" w:sz="4" w:space="0" w:color="auto"/>
            </w:tcBorders>
            <w:vAlign w:val="center"/>
          </w:tcPr>
          <w:p w14:paraId="3AFE5EA8" w14:textId="77777777" w:rsidR="00C4104D" w:rsidRPr="00544BA5" w:rsidRDefault="00C4104D" w:rsidP="005F2E4B">
            <w:pPr>
              <w:rPr>
                <w:rFonts w:cs="Arial"/>
                <w:color w:val="000000"/>
                <w:sz w:val="20"/>
                <w:szCs w:val="20"/>
              </w:rPr>
            </w:pPr>
            <w:r w:rsidRPr="00544BA5">
              <w:rPr>
                <w:rFonts w:cs="Arial"/>
                <w:color w:val="000000"/>
                <w:sz w:val="20"/>
                <w:szCs w:val="20"/>
              </w:rPr>
              <w:t>NFA</w:t>
            </w:r>
          </w:p>
        </w:tc>
        <w:tc>
          <w:tcPr>
            <w:tcW w:w="960" w:type="dxa"/>
            <w:tcBorders>
              <w:top w:val="double" w:sz="4" w:space="0" w:color="auto"/>
              <w:left w:val="nil"/>
              <w:bottom w:val="single" w:sz="4" w:space="0" w:color="auto"/>
              <w:right w:val="single" w:sz="4" w:space="0" w:color="auto"/>
            </w:tcBorders>
            <w:shd w:val="clear" w:color="auto" w:fill="auto"/>
            <w:vAlign w:val="center"/>
          </w:tcPr>
          <w:p w14:paraId="4B821CD6" w14:textId="77777777" w:rsidR="00C4104D" w:rsidRPr="00544BA5" w:rsidRDefault="00C4104D" w:rsidP="005F2E4B">
            <w:pPr>
              <w:jc w:val="center"/>
              <w:rPr>
                <w:rFonts w:eastAsia="Calibri" w:cs="Arial"/>
                <w:bCs/>
                <w:sz w:val="20"/>
                <w:szCs w:val="20"/>
              </w:rPr>
            </w:pPr>
            <w:r w:rsidRPr="00544BA5">
              <w:rPr>
                <w:rFonts w:eastAsia="Calibri" w:cs="Arial"/>
                <w:bCs/>
                <w:sz w:val="20"/>
                <w:szCs w:val="20"/>
              </w:rPr>
              <w:t>2022</w:t>
            </w:r>
          </w:p>
        </w:tc>
        <w:tc>
          <w:tcPr>
            <w:tcW w:w="2020" w:type="dxa"/>
            <w:tcBorders>
              <w:top w:val="double" w:sz="4" w:space="0" w:color="auto"/>
              <w:left w:val="nil"/>
              <w:bottom w:val="single" w:sz="4" w:space="0" w:color="auto"/>
              <w:right w:val="single" w:sz="4" w:space="0" w:color="auto"/>
            </w:tcBorders>
            <w:shd w:val="clear" w:color="auto" w:fill="auto"/>
            <w:vAlign w:val="center"/>
          </w:tcPr>
          <w:p w14:paraId="5999145C" w14:textId="77777777" w:rsidR="00C4104D" w:rsidRPr="00544BA5" w:rsidRDefault="00C4104D" w:rsidP="005F2E4B">
            <w:pPr>
              <w:widowControl w:val="0"/>
              <w:suppressAutoHyphens/>
              <w:spacing w:line="256" w:lineRule="auto"/>
              <w:jc w:val="center"/>
              <w:rPr>
                <w:rFonts w:cs="Arial"/>
                <w:sz w:val="20"/>
                <w:szCs w:val="20"/>
                <w:lang w:eastAsia="zh-CN"/>
              </w:rPr>
            </w:pPr>
            <w:r w:rsidRPr="00544BA5">
              <w:rPr>
                <w:rFonts w:cs="Arial"/>
                <w:sz w:val="20"/>
                <w:szCs w:val="20"/>
                <w:lang w:eastAsia="zh-CN"/>
              </w:rPr>
              <w:t>10</w:t>
            </w:r>
          </w:p>
        </w:tc>
        <w:tc>
          <w:tcPr>
            <w:tcW w:w="2738" w:type="dxa"/>
            <w:tcBorders>
              <w:top w:val="double" w:sz="4" w:space="0" w:color="auto"/>
              <w:left w:val="nil"/>
              <w:bottom w:val="single" w:sz="4" w:space="0" w:color="auto"/>
              <w:right w:val="single" w:sz="4" w:space="0" w:color="auto"/>
            </w:tcBorders>
            <w:shd w:val="clear" w:color="auto" w:fill="auto"/>
            <w:vAlign w:val="center"/>
          </w:tcPr>
          <w:p w14:paraId="60AEE65C" w14:textId="77777777" w:rsidR="00C4104D" w:rsidRPr="00544BA5" w:rsidRDefault="00C4104D" w:rsidP="005F2E4B">
            <w:pPr>
              <w:widowControl w:val="0"/>
              <w:suppressAutoHyphens/>
              <w:spacing w:line="256" w:lineRule="auto"/>
              <w:jc w:val="center"/>
              <w:rPr>
                <w:rFonts w:cs="Arial"/>
                <w:sz w:val="20"/>
                <w:szCs w:val="20"/>
                <w:lang w:eastAsia="zh-CN"/>
              </w:rPr>
            </w:pPr>
            <w:r w:rsidRPr="00544BA5">
              <w:rPr>
                <w:rFonts w:cs="Arial"/>
                <w:sz w:val="20"/>
                <w:szCs w:val="20"/>
                <w:lang w:eastAsia="zh-CN"/>
              </w:rPr>
              <w:t>5</w:t>
            </w:r>
          </w:p>
        </w:tc>
        <w:tc>
          <w:tcPr>
            <w:tcW w:w="2551" w:type="dxa"/>
            <w:tcBorders>
              <w:top w:val="double" w:sz="4" w:space="0" w:color="auto"/>
              <w:left w:val="nil"/>
              <w:bottom w:val="single" w:sz="4" w:space="0" w:color="auto"/>
              <w:right w:val="single" w:sz="12" w:space="0" w:color="auto"/>
            </w:tcBorders>
            <w:shd w:val="clear" w:color="auto" w:fill="auto"/>
            <w:vAlign w:val="center"/>
          </w:tcPr>
          <w:p w14:paraId="30C84891" w14:textId="77777777" w:rsidR="00C4104D" w:rsidRPr="00544BA5" w:rsidRDefault="00C4104D" w:rsidP="005F2E4B">
            <w:pPr>
              <w:widowControl w:val="0"/>
              <w:suppressAutoHyphens/>
              <w:spacing w:line="256" w:lineRule="auto"/>
              <w:jc w:val="center"/>
              <w:rPr>
                <w:rFonts w:cs="Arial"/>
                <w:sz w:val="20"/>
                <w:szCs w:val="20"/>
                <w:lang w:eastAsia="zh-CN"/>
              </w:rPr>
            </w:pPr>
            <w:r w:rsidRPr="00544BA5">
              <w:rPr>
                <w:rFonts w:cs="Arial"/>
                <w:sz w:val="20"/>
                <w:szCs w:val="20"/>
                <w:lang w:eastAsia="zh-CN"/>
              </w:rPr>
              <w:t>5</w:t>
            </w:r>
          </w:p>
        </w:tc>
      </w:tr>
      <w:tr w:rsidR="00C4104D" w:rsidRPr="00094DA0" w14:paraId="1FADB23C" w14:textId="77777777" w:rsidTr="005F2E4B">
        <w:trPr>
          <w:trHeight w:val="315"/>
        </w:trPr>
        <w:tc>
          <w:tcPr>
            <w:tcW w:w="960" w:type="dxa"/>
            <w:vMerge/>
            <w:tcBorders>
              <w:left w:val="single" w:sz="12" w:space="0" w:color="auto"/>
              <w:bottom w:val="double" w:sz="4" w:space="0" w:color="auto"/>
              <w:right w:val="single" w:sz="4" w:space="0" w:color="auto"/>
            </w:tcBorders>
            <w:vAlign w:val="center"/>
          </w:tcPr>
          <w:p w14:paraId="76E95579" w14:textId="77777777" w:rsidR="00C4104D" w:rsidRPr="00544BA5" w:rsidRDefault="00C4104D" w:rsidP="005F2E4B">
            <w:pPr>
              <w:rPr>
                <w:rFonts w:cs="Arial"/>
                <w:color w:val="000000"/>
                <w:sz w:val="20"/>
                <w:szCs w:val="20"/>
              </w:rPr>
            </w:pPr>
          </w:p>
        </w:tc>
        <w:tc>
          <w:tcPr>
            <w:tcW w:w="960" w:type="dxa"/>
            <w:tcBorders>
              <w:top w:val="single" w:sz="4" w:space="0" w:color="auto"/>
              <w:left w:val="nil"/>
              <w:bottom w:val="double" w:sz="4" w:space="0" w:color="auto"/>
              <w:right w:val="single" w:sz="4" w:space="0" w:color="auto"/>
            </w:tcBorders>
            <w:shd w:val="clear" w:color="auto" w:fill="auto"/>
            <w:vAlign w:val="center"/>
          </w:tcPr>
          <w:p w14:paraId="7080F8F7" w14:textId="77777777" w:rsidR="00C4104D" w:rsidRPr="00544BA5" w:rsidRDefault="00C4104D" w:rsidP="005F2E4B">
            <w:pPr>
              <w:jc w:val="center"/>
              <w:rPr>
                <w:rFonts w:eastAsia="Calibri" w:cs="Arial"/>
                <w:bCs/>
                <w:sz w:val="20"/>
                <w:szCs w:val="20"/>
              </w:rPr>
            </w:pPr>
            <w:r w:rsidRPr="00544BA5">
              <w:rPr>
                <w:rFonts w:eastAsia="Calibri" w:cs="Arial"/>
                <w:bCs/>
                <w:sz w:val="20"/>
                <w:szCs w:val="20"/>
              </w:rPr>
              <w:t>2023</w:t>
            </w:r>
          </w:p>
        </w:tc>
        <w:tc>
          <w:tcPr>
            <w:tcW w:w="2020" w:type="dxa"/>
            <w:tcBorders>
              <w:top w:val="single" w:sz="4" w:space="0" w:color="auto"/>
              <w:left w:val="nil"/>
              <w:bottom w:val="double" w:sz="4" w:space="0" w:color="auto"/>
              <w:right w:val="single" w:sz="4" w:space="0" w:color="auto"/>
            </w:tcBorders>
            <w:shd w:val="clear" w:color="auto" w:fill="auto"/>
            <w:vAlign w:val="center"/>
          </w:tcPr>
          <w:p w14:paraId="1EDC1F3B" w14:textId="77777777" w:rsidR="00C4104D" w:rsidRPr="00544BA5" w:rsidRDefault="00C4104D" w:rsidP="005F2E4B">
            <w:pPr>
              <w:widowControl w:val="0"/>
              <w:suppressAutoHyphens/>
              <w:spacing w:line="252" w:lineRule="auto"/>
              <w:jc w:val="center"/>
              <w:rPr>
                <w:rFonts w:eastAsia="Calibri" w:cs="Arial"/>
                <w:bCs/>
                <w:sz w:val="20"/>
                <w:szCs w:val="20"/>
                <w:lang w:eastAsia="zh-CN"/>
              </w:rPr>
            </w:pPr>
            <w:r w:rsidRPr="00544BA5">
              <w:rPr>
                <w:rFonts w:eastAsia="Calibri" w:cs="Arial"/>
                <w:bCs/>
                <w:sz w:val="20"/>
                <w:szCs w:val="20"/>
                <w:lang w:eastAsia="zh-CN"/>
              </w:rPr>
              <w:t>10</w:t>
            </w:r>
          </w:p>
        </w:tc>
        <w:tc>
          <w:tcPr>
            <w:tcW w:w="2738" w:type="dxa"/>
            <w:tcBorders>
              <w:top w:val="single" w:sz="4" w:space="0" w:color="auto"/>
              <w:left w:val="nil"/>
              <w:bottom w:val="double" w:sz="4" w:space="0" w:color="auto"/>
              <w:right w:val="single" w:sz="4" w:space="0" w:color="auto"/>
            </w:tcBorders>
            <w:shd w:val="clear" w:color="auto" w:fill="auto"/>
            <w:vAlign w:val="center"/>
          </w:tcPr>
          <w:p w14:paraId="7DA6EBE1" w14:textId="77777777" w:rsidR="00C4104D" w:rsidRPr="00544BA5" w:rsidRDefault="00C4104D" w:rsidP="005F2E4B">
            <w:pPr>
              <w:widowControl w:val="0"/>
              <w:suppressAutoHyphens/>
              <w:spacing w:line="252" w:lineRule="auto"/>
              <w:jc w:val="center"/>
              <w:rPr>
                <w:rFonts w:eastAsia="Calibri" w:cs="Arial"/>
                <w:bCs/>
                <w:sz w:val="20"/>
                <w:szCs w:val="20"/>
                <w:lang w:eastAsia="zh-CN"/>
              </w:rPr>
            </w:pPr>
            <w:r w:rsidRPr="00544BA5">
              <w:rPr>
                <w:rFonts w:eastAsia="Calibri" w:cs="Arial"/>
                <w:bCs/>
                <w:sz w:val="20"/>
                <w:szCs w:val="20"/>
                <w:lang w:eastAsia="zh-CN"/>
              </w:rPr>
              <w:t>5</w:t>
            </w:r>
          </w:p>
        </w:tc>
        <w:tc>
          <w:tcPr>
            <w:tcW w:w="2551" w:type="dxa"/>
            <w:tcBorders>
              <w:top w:val="single" w:sz="4" w:space="0" w:color="auto"/>
              <w:left w:val="nil"/>
              <w:bottom w:val="double" w:sz="4" w:space="0" w:color="auto"/>
              <w:right w:val="single" w:sz="12" w:space="0" w:color="auto"/>
            </w:tcBorders>
            <w:shd w:val="clear" w:color="auto" w:fill="auto"/>
            <w:vAlign w:val="center"/>
          </w:tcPr>
          <w:p w14:paraId="07B40197" w14:textId="77777777" w:rsidR="00C4104D" w:rsidRPr="00544BA5" w:rsidRDefault="00C4104D" w:rsidP="005F2E4B">
            <w:pPr>
              <w:widowControl w:val="0"/>
              <w:suppressAutoHyphens/>
              <w:spacing w:line="252" w:lineRule="auto"/>
              <w:jc w:val="center"/>
              <w:rPr>
                <w:rFonts w:eastAsia="Calibri" w:cs="Arial"/>
                <w:bCs/>
                <w:sz w:val="20"/>
                <w:szCs w:val="20"/>
                <w:lang w:eastAsia="zh-CN"/>
              </w:rPr>
            </w:pPr>
            <w:r w:rsidRPr="00544BA5">
              <w:rPr>
                <w:rFonts w:eastAsia="Calibri" w:cs="Arial"/>
                <w:bCs/>
                <w:sz w:val="20"/>
                <w:szCs w:val="20"/>
                <w:lang w:eastAsia="zh-CN"/>
              </w:rPr>
              <w:t>5</w:t>
            </w:r>
          </w:p>
        </w:tc>
      </w:tr>
      <w:tr w:rsidR="00C4104D" w:rsidRPr="00094DA0" w14:paraId="06034B59" w14:textId="77777777" w:rsidTr="004C278F">
        <w:trPr>
          <w:trHeight w:val="315"/>
        </w:trPr>
        <w:tc>
          <w:tcPr>
            <w:tcW w:w="960" w:type="dxa"/>
            <w:vMerge w:val="restart"/>
            <w:tcBorders>
              <w:top w:val="double" w:sz="4" w:space="0" w:color="auto"/>
              <w:left w:val="single" w:sz="12" w:space="0" w:color="auto"/>
              <w:right w:val="single" w:sz="4" w:space="0" w:color="auto"/>
            </w:tcBorders>
            <w:vAlign w:val="center"/>
          </w:tcPr>
          <w:p w14:paraId="659B59FF" w14:textId="77777777" w:rsidR="00C4104D" w:rsidRPr="00544BA5" w:rsidRDefault="00C4104D" w:rsidP="005F2E4B">
            <w:pPr>
              <w:rPr>
                <w:rFonts w:cs="Arial"/>
                <w:color w:val="000000"/>
                <w:sz w:val="20"/>
                <w:szCs w:val="20"/>
              </w:rPr>
            </w:pPr>
            <w:r>
              <w:rPr>
                <w:rFonts w:cs="Arial"/>
                <w:color w:val="000000"/>
                <w:sz w:val="20"/>
                <w:szCs w:val="20"/>
              </w:rPr>
              <w:t>NTM</w:t>
            </w:r>
          </w:p>
        </w:tc>
        <w:tc>
          <w:tcPr>
            <w:tcW w:w="960" w:type="dxa"/>
            <w:tcBorders>
              <w:top w:val="double" w:sz="4" w:space="0" w:color="auto"/>
              <w:left w:val="nil"/>
              <w:bottom w:val="single" w:sz="4" w:space="0" w:color="auto"/>
              <w:right w:val="single" w:sz="4" w:space="0" w:color="auto"/>
            </w:tcBorders>
            <w:shd w:val="clear" w:color="auto" w:fill="auto"/>
            <w:vAlign w:val="center"/>
          </w:tcPr>
          <w:p w14:paraId="13D8804E" w14:textId="77777777" w:rsidR="00C4104D" w:rsidRPr="00544BA5" w:rsidRDefault="00C4104D" w:rsidP="005F2E4B">
            <w:pPr>
              <w:jc w:val="center"/>
              <w:rPr>
                <w:rFonts w:eastAsia="Calibri" w:cs="Arial"/>
                <w:bCs/>
                <w:sz w:val="20"/>
                <w:szCs w:val="20"/>
              </w:rPr>
            </w:pPr>
            <w:r>
              <w:rPr>
                <w:rFonts w:eastAsia="Calibri" w:cs="Arial"/>
                <w:bCs/>
                <w:sz w:val="20"/>
                <w:szCs w:val="20"/>
              </w:rPr>
              <w:t>2022</w:t>
            </w:r>
          </w:p>
        </w:tc>
        <w:tc>
          <w:tcPr>
            <w:tcW w:w="2020" w:type="dxa"/>
            <w:tcBorders>
              <w:top w:val="double" w:sz="4" w:space="0" w:color="auto"/>
              <w:left w:val="nil"/>
              <w:bottom w:val="single" w:sz="4" w:space="0" w:color="auto"/>
              <w:right w:val="single" w:sz="4" w:space="0" w:color="auto"/>
            </w:tcBorders>
            <w:shd w:val="clear" w:color="auto" w:fill="auto"/>
            <w:vAlign w:val="center"/>
          </w:tcPr>
          <w:p w14:paraId="73BEDCB1" w14:textId="77777777" w:rsidR="00C4104D" w:rsidRPr="00544BA5"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8</w:t>
            </w:r>
          </w:p>
        </w:tc>
        <w:tc>
          <w:tcPr>
            <w:tcW w:w="2738" w:type="dxa"/>
            <w:tcBorders>
              <w:top w:val="double" w:sz="4" w:space="0" w:color="auto"/>
              <w:left w:val="nil"/>
              <w:bottom w:val="single" w:sz="4" w:space="0" w:color="auto"/>
              <w:right w:val="single" w:sz="4" w:space="0" w:color="auto"/>
            </w:tcBorders>
            <w:shd w:val="clear" w:color="auto" w:fill="auto"/>
            <w:vAlign w:val="center"/>
          </w:tcPr>
          <w:p w14:paraId="7C256084" w14:textId="77777777" w:rsidR="00C4104D" w:rsidRPr="00544BA5"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4</w:t>
            </w:r>
          </w:p>
        </w:tc>
        <w:tc>
          <w:tcPr>
            <w:tcW w:w="2551" w:type="dxa"/>
            <w:tcBorders>
              <w:top w:val="double" w:sz="4" w:space="0" w:color="auto"/>
              <w:left w:val="nil"/>
              <w:bottom w:val="single" w:sz="4" w:space="0" w:color="auto"/>
              <w:right w:val="single" w:sz="12" w:space="0" w:color="auto"/>
            </w:tcBorders>
            <w:shd w:val="clear" w:color="auto" w:fill="auto"/>
            <w:vAlign w:val="center"/>
          </w:tcPr>
          <w:p w14:paraId="40F4AFA6" w14:textId="77777777" w:rsidR="00C4104D" w:rsidRPr="00544BA5"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4</w:t>
            </w:r>
          </w:p>
        </w:tc>
      </w:tr>
      <w:tr w:rsidR="00C4104D" w:rsidRPr="00094DA0" w14:paraId="771A9D4C" w14:textId="77777777" w:rsidTr="005F2E4B">
        <w:trPr>
          <w:trHeight w:val="315"/>
        </w:trPr>
        <w:tc>
          <w:tcPr>
            <w:tcW w:w="960" w:type="dxa"/>
            <w:vMerge/>
            <w:tcBorders>
              <w:left w:val="single" w:sz="12" w:space="0" w:color="auto"/>
              <w:bottom w:val="double" w:sz="4" w:space="0" w:color="auto"/>
              <w:right w:val="single" w:sz="4" w:space="0" w:color="auto"/>
            </w:tcBorders>
            <w:vAlign w:val="center"/>
          </w:tcPr>
          <w:p w14:paraId="476E5938" w14:textId="77777777" w:rsidR="00C4104D" w:rsidRPr="00544BA5" w:rsidRDefault="00C4104D" w:rsidP="005F2E4B">
            <w:pPr>
              <w:rPr>
                <w:rFonts w:cs="Arial"/>
                <w:color w:val="000000"/>
                <w:sz w:val="20"/>
                <w:szCs w:val="20"/>
              </w:rPr>
            </w:pPr>
          </w:p>
        </w:tc>
        <w:tc>
          <w:tcPr>
            <w:tcW w:w="960" w:type="dxa"/>
            <w:tcBorders>
              <w:top w:val="single" w:sz="4" w:space="0" w:color="auto"/>
              <w:left w:val="nil"/>
              <w:bottom w:val="double" w:sz="4" w:space="0" w:color="auto"/>
              <w:right w:val="single" w:sz="4" w:space="0" w:color="auto"/>
            </w:tcBorders>
            <w:shd w:val="clear" w:color="auto" w:fill="auto"/>
            <w:vAlign w:val="center"/>
          </w:tcPr>
          <w:p w14:paraId="6F61828C" w14:textId="77777777" w:rsidR="00C4104D" w:rsidRPr="00544BA5" w:rsidRDefault="00C4104D" w:rsidP="005F2E4B">
            <w:pPr>
              <w:jc w:val="center"/>
              <w:rPr>
                <w:rFonts w:eastAsia="Calibri" w:cs="Arial"/>
                <w:bCs/>
                <w:sz w:val="20"/>
                <w:szCs w:val="20"/>
              </w:rPr>
            </w:pPr>
            <w:r>
              <w:rPr>
                <w:rFonts w:eastAsia="Calibri" w:cs="Arial"/>
                <w:bCs/>
                <w:sz w:val="20"/>
                <w:szCs w:val="20"/>
              </w:rPr>
              <w:t>2023</w:t>
            </w:r>
          </w:p>
        </w:tc>
        <w:tc>
          <w:tcPr>
            <w:tcW w:w="2020" w:type="dxa"/>
            <w:tcBorders>
              <w:top w:val="single" w:sz="4" w:space="0" w:color="auto"/>
              <w:left w:val="nil"/>
              <w:bottom w:val="double" w:sz="4" w:space="0" w:color="auto"/>
              <w:right w:val="single" w:sz="4" w:space="0" w:color="auto"/>
            </w:tcBorders>
            <w:shd w:val="clear" w:color="auto" w:fill="auto"/>
            <w:vAlign w:val="center"/>
          </w:tcPr>
          <w:p w14:paraId="0ADA2076" w14:textId="77777777" w:rsidR="00C4104D" w:rsidRPr="00544BA5"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7</w:t>
            </w:r>
          </w:p>
        </w:tc>
        <w:tc>
          <w:tcPr>
            <w:tcW w:w="2738" w:type="dxa"/>
            <w:tcBorders>
              <w:top w:val="single" w:sz="4" w:space="0" w:color="auto"/>
              <w:left w:val="nil"/>
              <w:bottom w:val="double" w:sz="4" w:space="0" w:color="auto"/>
              <w:right w:val="single" w:sz="4" w:space="0" w:color="auto"/>
            </w:tcBorders>
            <w:shd w:val="clear" w:color="auto" w:fill="auto"/>
            <w:vAlign w:val="center"/>
          </w:tcPr>
          <w:p w14:paraId="6D1BFC0C" w14:textId="77777777" w:rsidR="00C4104D" w:rsidRPr="00544BA5"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3</w:t>
            </w:r>
          </w:p>
        </w:tc>
        <w:tc>
          <w:tcPr>
            <w:tcW w:w="2551" w:type="dxa"/>
            <w:tcBorders>
              <w:top w:val="single" w:sz="4" w:space="0" w:color="auto"/>
              <w:left w:val="nil"/>
              <w:bottom w:val="double" w:sz="4" w:space="0" w:color="auto"/>
              <w:right w:val="single" w:sz="12" w:space="0" w:color="auto"/>
            </w:tcBorders>
            <w:shd w:val="clear" w:color="auto" w:fill="auto"/>
            <w:vAlign w:val="center"/>
          </w:tcPr>
          <w:p w14:paraId="65A14681" w14:textId="77777777" w:rsidR="00C4104D" w:rsidRPr="00544BA5"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4</w:t>
            </w:r>
          </w:p>
        </w:tc>
      </w:tr>
      <w:tr w:rsidR="00C4104D" w:rsidRPr="00094DA0" w14:paraId="2C2A45CD" w14:textId="77777777" w:rsidTr="004C278F">
        <w:trPr>
          <w:trHeight w:val="315"/>
        </w:trPr>
        <w:tc>
          <w:tcPr>
            <w:tcW w:w="960" w:type="dxa"/>
            <w:vMerge w:val="restart"/>
            <w:tcBorders>
              <w:top w:val="double" w:sz="4" w:space="0" w:color="auto"/>
              <w:left w:val="single" w:sz="12" w:space="0" w:color="auto"/>
              <w:right w:val="single" w:sz="4" w:space="0" w:color="auto"/>
            </w:tcBorders>
            <w:vAlign w:val="center"/>
          </w:tcPr>
          <w:p w14:paraId="53117607" w14:textId="77777777" w:rsidR="00C4104D" w:rsidRPr="00544BA5" w:rsidRDefault="00C4104D" w:rsidP="005F2E4B">
            <w:pPr>
              <w:rPr>
                <w:rFonts w:cs="Arial"/>
                <w:color w:val="000000"/>
                <w:sz w:val="20"/>
                <w:szCs w:val="20"/>
              </w:rPr>
            </w:pPr>
            <w:r>
              <w:rPr>
                <w:rFonts w:cs="Arial"/>
                <w:color w:val="000000"/>
                <w:sz w:val="20"/>
                <w:szCs w:val="20"/>
              </w:rPr>
              <w:t>UMP</w:t>
            </w:r>
          </w:p>
        </w:tc>
        <w:tc>
          <w:tcPr>
            <w:tcW w:w="960" w:type="dxa"/>
            <w:tcBorders>
              <w:top w:val="double" w:sz="4" w:space="0" w:color="auto"/>
              <w:left w:val="nil"/>
              <w:bottom w:val="single" w:sz="4" w:space="0" w:color="auto"/>
              <w:right w:val="single" w:sz="4" w:space="0" w:color="auto"/>
            </w:tcBorders>
            <w:shd w:val="clear" w:color="auto" w:fill="auto"/>
            <w:vAlign w:val="center"/>
          </w:tcPr>
          <w:p w14:paraId="5FE9C97A" w14:textId="77777777" w:rsidR="00C4104D" w:rsidRDefault="00C4104D" w:rsidP="005F2E4B">
            <w:pPr>
              <w:jc w:val="center"/>
              <w:rPr>
                <w:rFonts w:eastAsia="Calibri" w:cs="Arial"/>
                <w:bCs/>
                <w:sz w:val="20"/>
                <w:szCs w:val="20"/>
              </w:rPr>
            </w:pPr>
            <w:r>
              <w:rPr>
                <w:rFonts w:eastAsia="Calibri" w:cs="Arial"/>
                <w:bCs/>
                <w:sz w:val="20"/>
                <w:szCs w:val="20"/>
              </w:rPr>
              <w:t>2022</w:t>
            </w:r>
          </w:p>
        </w:tc>
        <w:tc>
          <w:tcPr>
            <w:tcW w:w="2020" w:type="dxa"/>
            <w:tcBorders>
              <w:top w:val="double" w:sz="4" w:space="0" w:color="auto"/>
              <w:left w:val="nil"/>
              <w:bottom w:val="single" w:sz="4" w:space="0" w:color="auto"/>
              <w:right w:val="single" w:sz="4" w:space="0" w:color="auto"/>
            </w:tcBorders>
            <w:shd w:val="clear" w:color="auto" w:fill="auto"/>
            <w:vAlign w:val="center"/>
          </w:tcPr>
          <w:p w14:paraId="26E32C7B"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c>
          <w:tcPr>
            <w:tcW w:w="2738" w:type="dxa"/>
            <w:tcBorders>
              <w:top w:val="double" w:sz="4" w:space="0" w:color="auto"/>
              <w:left w:val="nil"/>
              <w:bottom w:val="single" w:sz="4" w:space="0" w:color="auto"/>
              <w:right w:val="single" w:sz="4" w:space="0" w:color="auto"/>
            </w:tcBorders>
            <w:shd w:val="clear" w:color="auto" w:fill="auto"/>
            <w:vAlign w:val="center"/>
          </w:tcPr>
          <w:p w14:paraId="742E3862"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c>
          <w:tcPr>
            <w:tcW w:w="2551" w:type="dxa"/>
            <w:tcBorders>
              <w:top w:val="double" w:sz="4" w:space="0" w:color="auto"/>
              <w:left w:val="nil"/>
              <w:bottom w:val="single" w:sz="4" w:space="0" w:color="auto"/>
              <w:right w:val="single" w:sz="12" w:space="0" w:color="auto"/>
            </w:tcBorders>
            <w:shd w:val="clear" w:color="auto" w:fill="auto"/>
            <w:vAlign w:val="center"/>
          </w:tcPr>
          <w:p w14:paraId="2C35EF4E"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r>
      <w:tr w:rsidR="00C4104D" w:rsidRPr="00094DA0" w14:paraId="2E0DD1A7" w14:textId="77777777" w:rsidTr="005F2E4B">
        <w:trPr>
          <w:trHeight w:val="315"/>
        </w:trPr>
        <w:tc>
          <w:tcPr>
            <w:tcW w:w="960" w:type="dxa"/>
            <w:vMerge/>
            <w:tcBorders>
              <w:left w:val="single" w:sz="12" w:space="0" w:color="auto"/>
              <w:bottom w:val="single" w:sz="12" w:space="0" w:color="auto"/>
              <w:right w:val="single" w:sz="4" w:space="0" w:color="auto"/>
            </w:tcBorders>
            <w:vAlign w:val="center"/>
          </w:tcPr>
          <w:p w14:paraId="6CC4815E" w14:textId="77777777" w:rsidR="00C4104D" w:rsidRPr="00544BA5" w:rsidRDefault="00C4104D" w:rsidP="005F2E4B">
            <w:pPr>
              <w:rPr>
                <w:rFonts w:cs="Arial"/>
                <w:color w:val="000000"/>
                <w:sz w:val="20"/>
                <w:szCs w:val="20"/>
              </w:rPr>
            </w:pPr>
          </w:p>
        </w:tc>
        <w:tc>
          <w:tcPr>
            <w:tcW w:w="960" w:type="dxa"/>
            <w:tcBorders>
              <w:top w:val="single" w:sz="4" w:space="0" w:color="auto"/>
              <w:left w:val="nil"/>
              <w:bottom w:val="single" w:sz="12" w:space="0" w:color="auto"/>
              <w:right w:val="single" w:sz="4" w:space="0" w:color="auto"/>
            </w:tcBorders>
            <w:shd w:val="clear" w:color="auto" w:fill="auto"/>
            <w:vAlign w:val="center"/>
          </w:tcPr>
          <w:p w14:paraId="49A3E052" w14:textId="77777777" w:rsidR="00C4104D" w:rsidRDefault="00C4104D" w:rsidP="005F2E4B">
            <w:pPr>
              <w:jc w:val="center"/>
              <w:rPr>
                <w:rFonts w:eastAsia="Calibri" w:cs="Arial"/>
                <w:bCs/>
                <w:sz w:val="20"/>
                <w:szCs w:val="20"/>
              </w:rPr>
            </w:pPr>
            <w:r>
              <w:rPr>
                <w:rFonts w:eastAsia="Calibri" w:cs="Arial"/>
                <w:bCs/>
                <w:sz w:val="20"/>
                <w:szCs w:val="20"/>
              </w:rPr>
              <w:t>2023</w:t>
            </w:r>
          </w:p>
        </w:tc>
        <w:tc>
          <w:tcPr>
            <w:tcW w:w="2020" w:type="dxa"/>
            <w:tcBorders>
              <w:top w:val="single" w:sz="4" w:space="0" w:color="auto"/>
              <w:left w:val="nil"/>
              <w:bottom w:val="single" w:sz="12" w:space="0" w:color="auto"/>
              <w:right w:val="single" w:sz="4" w:space="0" w:color="auto"/>
            </w:tcBorders>
            <w:shd w:val="clear" w:color="auto" w:fill="auto"/>
            <w:vAlign w:val="center"/>
          </w:tcPr>
          <w:p w14:paraId="2EE1764B"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c>
          <w:tcPr>
            <w:tcW w:w="2738" w:type="dxa"/>
            <w:tcBorders>
              <w:top w:val="single" w:sz="4" w:space="0" w:color="auto"/>
              <w:left w:val="nil"/>
              <w:bottom w:val="single" w:sz="12" w:space="0" w:color="auto"/>
              <w:right w:val="single" w:sz="4" w:space="0" w:color="auto"/>
            </w:tcBorders>
            <w:shd w:val="clear" w:color="auto" w:fill="auto"/>
            <w:vAlign w:val="center"/>
          </w:tcPr>
          <w:p w14:paraId="1A83E02F"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c>
          <w:tcPr>
            <w:tcW w:w="2551" w:type="dxa"/>
            <w:tcBorders>
              <w:top w:val="single" w:sz="4" w:space="0" w:color="auto"/>
              <w:left w:val="nil"/>
              <w:bottom w:val="single" w:sz="12" w:space="0" w:color="auto"/>
              <w:right w:val="single" w:sz="12" w:space="0" w:color="auto"/>
            </w:tcBorders>
            <w:shd w:val="clear" w:color="auto" w:fill="auto"/>
            <w:vAlign w:val="center"/>
          </w:tcPr>
          <w:p w14:paraId="503C22BF"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r>
      <w:tr w:rsidR="00C4104D" w:rsidRPr="00094DA0" w14:paraId="433A05AB" w14:textId="77777777" w:rsidTr="004C278F">
        <w:trPr>
          <w:trHeight w:val="315"/>
        </w:trPr>
        <w:tc>
          <w:tcPr>
            <w:tcW w:w="960" w:type="dxa"/>
            <w:vMerge w:val="restart"/>
            <w:tcBorders>
              <w:top w:val="double" w:sz="4" w:space="0" w:color="auto"/>
              <w:left w:val="single" w:sz="12" w:space="0" w:color="auto"/>
              <w:right w:val="single" w:sz="4" w:space="0" w:color="auto"/>
            </w:tcBorders>
            <w:vAlign w:val="center"/>
          </w:tcPr>
          <w:p w14:paraId="6330CC75" w14:textId="77777777" w:rsidR="00C4104D" w:rsidRPr="00544BA5" w:rsidRDefault="00C4104D" w:rsidP="005F2E4B">
            <w:pPr>
              <w:rPr>
                <w:rFonts w:cs="Arial"/>
                <w:color w:val="000000"/>
                <w:sz w:val="20"/>
                <w:szCs w:val="20"/>
              </w:rPr>
            </w:pPr>
            <w:r w:rsidRPr="008B68C7">
              <w:rPr>
                <w:rFonts w:cs="Arial"/>
                <w:bCs/>
                <w:sz w:val="20"/>
                <w:szCs w:val="20"/>
              </w:rPr>
              <w:lastRenderedPageBreak/>
              <w:t>MJAK</w:t>
            </w:r>
          </w:p>
        </w:tc>
        <w:tc>
          <w:tcPr>
            <w:tcW w:w="960" w:type="dxa"/>
            <w:tcBorders>
              <w:top w:val="double" w:sz="4" w:space="0" w:color="auto"/>
              <w:left w:val="nil"/>
              <w:bottom w:val="single" w:sz="4" w:space="0" w:color="auto"/>
              <w:right w:val="single" w:sz="4" w:space="0" w:color="auto"/>
            </w:tcBorders>
            <w:shd w:val="clear" w:color="auto" w:fill="auto"/>
            <w:vAlign w:val="center"/>
          </w:tcPr>
          <w:p w14:paraId="622087B5" w14:textId="77777777" w:rsidR="00C4104D" w:rsidRDefault="00C4104D" w:rsidP="005F2E4B">
            <w:pPr>
              <w:jc w:val="center"/>
              <w:rPr>
                <w:rFonts w:eastAsia="Calibri" w:cs="Arial"/>
                <w:bCs/>
                <w:sz w:val="20"/>
                <w:szCs w:val="20"/>
              </w:rPr>
            </w:pPr>
            <w:r>
              <w:rPr>
                <w:rFonts w:eastAsia="Calibri" w:cs="Arial"/>
                <w:bCs/>
                <w:sz w:val="20"/>
                <w:szCs w:val="20"/>
              </w:rPr>
              <w:t>2022</w:t>
            </w:r>
          </w:p>
        </w:tc>
        <w:tc>
          <w:tcPr>
            <w:tcW w:w="2020" w:type="dxa"/>
            <w:tcBorders>
              <w:top w:val="double" w:sz="4" w:space="0" w:color="auto"/>
              <w:left w:val="nil"/>
              <w:bottom w:val="single" w:sz="4" w:space="0" w:color="auto"/>
              <w:right w:val="single" w:sz="4" w:space="0" w:color="auto"/>
            </w:tcBorders>
            <w:shd w:val="clear" w:color="auto" w:fill="auto"/>
            <w:vAlign w:val="center"/>
          </w:tcPr>
          <w:p w14:paraId="1503177A"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c>
          <w:tcPr>
            <w:tcW w:w="2738" w:type="dxa"/>
            <w:tcBorders>
              <w:top w:val="double" w:sz="4" w:space="0" w:color="auto"/>
              <w:left w:val="nil"/>
              <w:bottom w:val="single" w:sz="4" w:space="0" w:color="auto"/>
              <w:right w:val="single" w:sz="4" w:space="0" w:color="auto"/>
            </w:tcBorders>
            <w:shd w:val="clear" w:color="auto" w:fill="auto"/>
            <w:vAlign w:val="center"/>
          </w:tcPr>
          <w:p w14:paraId="32A86C4D"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c>
          <w:tcPr>
            <w:tcW w:w="2551" w:type="dxa"/>
            <w:tcBorders>
              <w:top w:val="double" w:sz="4" w:space="0" w:color="auto"/>
              <w:left w:val="nil"/>
              <w:bottom w:val="single" w:sz="4" w:space="0" w:color="auto"/>
              <w:right w:val="single" w:sz="12" w:space="0" w:color="auto"/>
            </w:tcBorders>
            <w:shd w:val="clear" w:color="auto" w:fill="auto"/>
            <w:vAlign w:val="center"/>
          </w:tcPr>
          <w:p w14:paraId="024F9CAB"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r>
      <w:tr w:rsidR="00C4104D" w:rsidRPr="00094DA0" w14:paraId="771960FA" w14:textId="77777777" w:rsidTr="005F2E4B">
        <w:trPr>
          <w:trHeight w:val="315"/>
        </w:trPr>
        <w:tc>
          <w:tcPr>
            <w:tcW w:w="960" w:type="dxa"/>
            <w:vMerge/>
            <w:tcBorders>
              <w:left w:val="single" w:sz="12" w:space="0" w:color="auto"/>
              <w:bottom w:val="double" w:sz="4" w:space="0" w:color="auto"/>
              <w:right w:val="single" w:sz="4" w:space="0" w:color="auto"/>
            </w:tcBorders>
            <w:vAlign w:val="center"/>
          </w:tcPr>
          <w:p w14:paraId="23F837C8" w14:textId="77777777" w:rsidR="00C4104D" w:rsidRPr="00544BA5" w:rsidRDefault="00C4104D" w:rsidP="005F2E4B">
            <w:pPr>
              <w:rPr>
                <w:rFonts w:cs="Arial"/>
                <w:color w:val="000000"/>
                <w:sz w:val="20"/>
                <w:szCs w:val="20"/>
              </w:rPr>
            </w:pPr>
          </w:p>
        </w:tc>
        <w:tc>
          <w:tcPr>
            <w:tcW w:w="960" w:type="dxa"/>
            <w:tcBorders>
              <w:top w:val="single" w:sz="4" w:space="0" w:color="auto"/>
              <w:left w:val="nil"/>
              <w:bottom w:val="double" w:sz="4" w:space="0" w:color="auto"/>
              <w:right w:val="single" w:sz="4" w:space="0" w:color="auto"/>
            </w:tcBorders>
            <w:shd w:val="clear" w:color="auto" w:fill="auto"/>
            <w:vAlign w:val="center"/>
          </w:tcPr>
          <w:p w14:paraId="0480C927" w14:textId="77777777" w:rsidR="00C4104D" w:rsidRDefault="00C4104D" w:rsidP="005F2E4B">
            <w:pPr>
              <w:jc w:val="center"/>
              <w:rPr>
                <w:rFonts w:eastAsia="Calibri" w:cs="Arial"/>
                <w:bCs/>
                <w:sz w:val="20"/>
                <w:szCs w:val="20"/>
              </w:rPr>
            </w:pPr>
            <w:r>
              <w:rPr>
                <w:rFonts w:eastAsia="Calibri" w:cs="Arial"/>
                <w:bCs/>
                <w:sz w:val="20"/>
                <w:szCs w:val="20"/>
              </w:rPr>
              <w:t>2023</w:t>
            </w:r>
          </w:p>
        </w:tc>
        <w:tc>
          <w:tcPr>
            <w:tcW w:w="2020" w:type="dxa"/>
            <w:tcBorders>
              <w:top w:val="single" w:sz="4" w:space="0" w:color="auto"/>
              <w:left w:val="nil"/>
              <w:bottom w:val="double" w:sz="4" w:space="0" w:color="auto"/>
              <w:right w:val="single" w:sz="4" w:space="0" w:color="auto"/>
            </w:tcBorders>
            <w:shd w:val="clear" w:color="auto" w:fill="auto"/>
            <w:vAlign w:val="center"/>
          </w:tcPr>
          <w:p w14:paraId="5BB19A4F"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c>
          <w:tcPr>
            <w:tcW w:w="2738" w:type="dxa"/>
            <w:tcBorders>
              <w:top w:val="single" w:sz="4" w:space="0" w:color="auto"/>
              <w:left w:val="nil"/>
              <w:bottom w:val="double" w:sz="4" w:space="0" w:color="auto"/>
              <w:right w:val="single" w:sz="4" w:space="0" w:color="auto"/>
            </w:tcBorders>
            <w:shd w:val="clear" w:color="auto" w:fill="auto"/>
            <w:vAlign w:val="center"/>
          </w:tcPr>
          <w:p w14:paraId="4779AAEE"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c>
          <w:tcPr>
            <w:tcW w:w="2551" w:type="dxa"/>
            <w:tcBorders>
              <w:top w:val="single" w:sz="4" w:space="0" w:color="auto"/>
              <w:left w:val="nil"/>
              <w:bottom w:val="double" w:sz="4" w:space="0" w:color="auto"/>
              <w:right w:val="single" w:sz="12" w:space="0" w:color="auto"/>
            </w:tcBorders>
            <w:shd w:val="clear" w:color="auto" w:fill="auto"/>
            <w:vAlign w:val="center"/>
          </w:tcPr>
          <w:p w14:paraId="219F4B53"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r>
      <w:tr w:rsidR="00C4104D" w:rsidRPr="00094DA0" w14:paraId="634CF691" w14:textId="77777777" w:rsidTr="004C278F">
        <w:trPr>
          <w:trHeight w:val="315"/>
        </w:trPr>
        <w:tc>
          <w:tcPr>
            <w:tcW w:w="960" w:type="dxa"/>
            <w:vMerge w:val="restart"/>
            <w:tcBorders>
              <w:top w:val="double" w:sz="4" w:space="0" w:color="auto"/>
              <w:left w:val="single" w:sz="12" w:space="0" w:color="auto"/>
              <w:right w:val="single" w:sz="4" w:space="0" w:color="auto"/>
            </w:tcBorders>
            <w:vAlign w:val="center"/>
          </w:tcPr>
          <w:p w14:paraId="23AA4F02" w14:textId="77777777" w:rsidR="00C4104D" w:rsidRPr="00544BA5" w:rsidRDefault="00C4104D" w:rsidP="005F2E4B">
            <w:pPr>
              <w:rPr>
                <w:rFonts w:cs="Arial"/>
                <w:color w:val="000000"/>
                <w:sz w:val="20"/>
                <w:szCs w:val="20"/>
              </w:rPr>
            </w:pPr>
            <w:r>
              <w:rPr>
                <w:rFonts w:cs="Arial"/>
                <w:color w:val="000000"/>
                <w:sz w:val="20"/>
                <w:szCs w:val="20"/>
              </w:rPr>
              <w:t>MLK</w:t>
            </w:r>
          </w:p>
        </w:tc>
        <w:tc>
          <w:tcPr>
            <w:tcW w:w="960" w:type="dxa"/>
            <w:tcBorders>
              <w:top w:val="double" w:sz="4" w:space="0" w:color="auto"/>
              <w:left w:val="nil"/>
              <w:bottom w:val="single" w:sz="4" w:space="0" w:color="auto"/>
              <w:right w:val="single" w:sz="4" w:space="0" w:color="auto"/>
            </w:tcBorders>
            <w:shd w:val="clear" w:color="auto" w:fill="auto"/>
            <w:vAlign w:val="center"/>
          </w:tcPr>
          <w:p w14:paraId="57A5C0B0" w14:textId="77777777" w:rsidR="00C4104D" w:rsidRDefault="00C4104D" w:rsidP="005F2E4B">
            <w:pPr>
              <w:jc w:val="center"/>
              <w:rPr>
                <w:rFonts w:eastAsia="Calibri" w:cs="Arial"/>
                <w:bCs/>
                <w:sz w:val="20"/>
                <w:szCs w:val="20"/>
              </w:rPr>
            </w:pPr>
            <w:r>
              <w:rPr>
                <w:rFonts w:eastAsia="Calibri" w:cs="Arial"/>
                <w:bCs/>
                <w:sz w:val="20"/>
                <w:szCs w:val="20"/>
              </w:rPr>
              <w:t>2022</w:t>
            </w:r>
          </w:p>
        </w:tc>
        <w:tc>
          <w:tcPr>
            <w:tcW w:w="2020" w:type="dxa"/>
            <w:tcBorders>
              <w:top w:val="double" w:sz="4" w:space="0" w:color="auto"/>
              <w:left w:val="nil"/>
              <w:bottom w:val="single" w:sz="4" w:space="0" w:color="auto"/>
              <w:right w:val="single" w:sz="4" w:space="0" w:color="auto"/>
            </w:tcBorders>
            <w:shd w:val="clear" w:color="auto" w:fill="auto"/>
            <w:vAlign w:val="center"/>
          </w:tcPr>
          <w:p w14:paraId="0CDE0C4A"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c>
          <w:tcPr>
            <w:tcW w:w="2738" w:type="dxa"/>
            <w:tcBorders>
              <w:top w:val="double" w:sz="4" w:space="0" w:color="auto"/>
              <w:left w:val="nil"/>
              <w:bottom w:val="single" w:sz="4" w:space="0" w:color="auto"/>
              <w:right w:val="single" w:sz="4" w:space="0" w:color="auto"/>
            </w:tcBorders>
            <w:shd w:val="clear" w:color="auto" w:fill="auto"/>
            <w:vAlign w:val="center"/>
          </w:tcPr>
          <w:p w14:paraId="3D8A1906"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c>
          <w:tcPr>
            <w:tcW w:w="2551" w:type="dxa"/>
            <w:tcBorders>
              <w:top w:val="double" w:sz="4" w:space="0" w:color="auto"/>
              <w:left w:val="nil"/>
              <w:bottom w:val="single" w:sz="4" w:space="0" w:color="auto"/>
              <w:right w:val="single" w:sz="12" w:space="0" w:color="auto"/>
            </w:tcBorders>
            <w:shd w:val="clear" w:color="auto" w:fill="auto"/>
            <w:vAlign w:val="center"/>
          </w:tcPr>
          <w:p w14:paraId="75EEC01C"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r>
      <w:tr w:rsidR="00C4104D" w:rsidRPr="00094DA0" w14:paraId="725B6911" w14:textId="77777777" w:rsidTr="005F2E4B">
        <w:trPr>
          <w:trHeight w:val="315"/>
        </w:trPr>
        <w:tc>
          <w:tcPr>
            <w:tcW w:w="960" w:type="dxa"/>
            <w:vMerge/>
            <w:tcBorders>
              <w:left w:val="single" w:sz="12" w:space="0" w:color="auto"/>
              <w:bottom w:val="double" w:sz="4" w:space="0" w:color="auto"/>
              <w:right w:val="single" w:sz="4" w:space="0" w:color="auto"/>
            </w:tcBorders>
            <w:vAlign w:val="center"/>
          </w:tcPr>
          <w:p w14:paraId="1A9C1762" w14:textId="77777777" w:rsidR="00C4104D" w:rsidRPr="00544BA5" w:rsidRDefault="00C4104D" w:rsidP="005F2E4B">
            <w:pPr>
              <w:rPr>
                <w:rFonts w:cs="Arial"/>
                <w:color w:val="000000"/>
                <w:sz w:val="20"/>
                <w:szCs w:val="20"/>
              </w:rPr>
            </w:pPr>
          </w:p>
        </w:tc>
        <w:tc>
          <w:tcPr>
            <w:tcW w:w="960" w:type="dxa"/>
            <w:tcBorders>
              <w:top w:val="single" w:sz="4" w:space="0" w:color="auto"/>
              <w:left w:val="nil"/>
              <w:bottom w:val="double" w:sz="4" w:space="0" w:color="auto"/>
              <w:right w:val="single" w:sz="4" w:space="0" w:color="auto"/>
            </w:tcBorders>
            <w:shd w:val="clear" w:color="auto" w:fill="auto"/>
            <w:vAlign w:val="center"/>
          </w:tcPr>
          <w:p w14:paraId="7139C3FE" w14:textId="77777777" w:rsidR="00C4104D" w:rsidRDefault="00C4104D" w:rsidP="005F2E4B">
            <w:pPr>
              <w:jc w:val="center"/>
              <w:rPr>
                <w:rFonts w:eastAsia="Calibri" w:cs="Arial"/>
                <w:bCs/>
                <w:sz w:val="20"/>
                <w:szCs w:val="20"/>
              </w:rPr>
            </w:pPr>
            <w:r>
              <w:rPr>
                <w:rFonts w:eastAsia="Calibri" w:cs="Arial"/>
                <w:bCs/>
                <w:sz w:val="20"/>
                <w:szCs w:val="20"/>
              </w:rPr>
              <w:t>2023</w:t>
            </w:r>
          </w:p>
        </w:tc>
        <w:tc>
          <w:tcPr>
            <w:tcW w:w="2020" w:type="dxa"/>
            <w:tcBorders>
              <w:top w:val="single" w:sz="4" w:space="0" w:color="auto"/>
              <w:left w:val="nil"/>
              <w:bottom w:val="double" w:sz="4" w:space="0" w:color="auto"/>
              <w:right w:val="single" w:sz="4" w:space="0" w:color="auto"/>
            </w:tcBorders>
            <w:shd w:val="clear" w:color="auto" w:fill="auto"/>
            <w:vAlign w:val="center"/>
          </w:tcPr>
          <w:p w14:paraId="5020ECB8"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c>
          <w:tcPr>
            <w:tcW w:w="2738" w:type="dxa"/>
            <w:tcBorders>
              <w:top w:val="single" w:sz="4" w:space="0" w:color="auto"/>
              <w:left w:val="nil"/>
              <w:bottom w:val="double" w:sz="4" w:space="0" w:color="auto"/>
              <w:right w:val="single" w:sz="4" w:space="0" w:color="auto"/>
            </w:tcBorders>
            <w:shd w:val="clear" w:color="auto" w:fill="auto"/>
            <w:vAlign w:val="center"/>
          </w:tcPr>
          <w:p w14:paraId="1A263C04"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c>
          <w:tcPr>
            <w:tcW w:w="2551" w:type="dxa"/>
            <w:tcBorders>
              <w:top w:val="single" w:sz="4" w:space="0" w:color="auto"/>
              <w:left w:val="nil"/>
              <w:bottom w:val="double" w:sz="4" w:space="0" w:color="auto"/>
              <w:right w:val="single" w:sz="12" w:space="0" w:color="auto"/>
            </w:tcBorders>
            <w:shd w:val="clear" w:color="auto" w:fill="auto"/>
            <w:vAlign w:val="center"/>
          </w:tcPr>
          <w:p w14:paraId="47D931E1"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r>
      <w:tr w:rsidR="00C4104D" w:rsidRPr="00094DA0" w14:paraId="03164911" w14:textId="77777777" w:rsidTr="004C278F">
        <w:trPr>
          <w:trHeight w:val="315"/>
        </w:trPr>
        <w:tc>
          <w:tcPr>
            <w:tcW w:w="960" w:type="dxa"/>
            <w:vMerge w:val="restart"/>
            <w:tcBorders>
              <w:top w:val="double" w:sz="4" w:space="0" w:color="auto"/>
              <w:left w:val="single" w:sz="12" w:space="0" w:color="auto"/>
              <w:right w:val="single" w:sz="4" w:space="0" w:color="auto"/>
            </w:tcBorders>
            <w:vAlign w:val="center"/>
          </w:tcPr>
          <w:p w14:paraId="37DA9355" w14:textId="77777777" w:rsidR="00C4104D" w:rsidRPr="00544BA5" w:rsidRDefault="00C4104D" w:rsidP="005F2E4B">
            <w:pPr>
              <w:rPr>
                <w:rFonts w:cs="Arial"/>
                <w:color w:val="000000"/>
                <w:sz w:val="20"/>
                <w:szCs w:val="20"/>
              </w:rPr>
            </w:pPr>
            <w:r>
              <w:rPr>
                <w:rFonts w:cs="Arial"/>
                <w:color w:val="000000"/>
                <w:sz w:val="20"/>
                <w:szCs w:val="20"/>
              </w:rPr>
              <w:t>PFS</w:t>
            </w:r>
          </w:p>
        </w:tc>
        <w:tc>
          <w:tcPr>
            <w:tcW w:w="960" w:type="dxa"/>
            <w:tcBorders>
              <w:top w:val="double" w:sz="4" w:space="0" w:color="auto"/>
              <w:left w:val="nil"/>
              <w:bottom w:val="single" w:sz="4" w:space="0" w:color="auto"/>
              <w:right w:val="single" w:sz="4" w:space="0" w:color="auto"/>
            </w:tcBorders>
            <w:shd w:val="clear" w:color="auto" w:fill="auto"/>
            <w:vAlign w:val="center"/>
          </w:tcPr>
          <w:p w14:paraId="5752FBEB" w14:textId="77777777" w:rsidR="00C4104D" w:rsidRDefault="00C4104D" w:rsidP="005F2E4B">
            <w:pPr>
              <w:jc w:val="center"/>
              <w:rPr>
                <w:rFonts w:eastAsia="Calibri" w:cs="Arial"/>
                <w:bCs/>
                <w:sz w:val="20"/>
                <w:szCs w:val="20"/>
              </w:rPr>
            </w:pPr>
            <w:r>
              <w:rPr>
                <w:rFonts w:eastAsia="Calibri" w:cs="Arial"/>
                <w:bCs/>
                <w:sz w:val="20"/>
                <w:szCs w:val="20"/>
              </w:rPr>
              <w:t>2022</w:t>
            </w:r>
          </w:p>
        </w:tc>
        <w:tc>
          <w:tcPr>
            <w:tcW w:w="2020" w:type="dxa"/>
            <w:tcBorders>
              <w:top w:val="double" w:sz="4" w:space="0" w:color="auto"/>
              <w:left w:val="nil"/>
              <w:bottom w:val="single" w:sz="4" w:space="0" w:color="auto"/>
              <w:right w:val="single" w:sz="4" w:space="0" w:color="auto"/>
            </w:tcBorders>
            <w:shd w:val="clear" w:color="auto" w:fill="auto"/>
            <w:vAlign w:val="center"/>
          </w:tcPr>
          <w:p w14:paraId="2597509F"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c>
          <w:tcPr>
            <w:tcW w:w="2738" w:type="dxa"/>
            <w:tcBorders>
              <w:top w:val="double" w:sz="4" w:space="0" w:color="auto"/>
              <w:left w:val="nil"/>
              <w:bottom w:val="single" w:sz="4" w:space="0" w:color="auto"/>
              <w:right w:val="single" w:sz="4" w:space="0" w:color="auto"/>
            </w:tcBorders>
            <w:shd w:val="clear" w:color="auto" w:fill="auto"/>
            <w:vAlign w:val="center"/>
          </w:tcPr>
          <w:p w14:paraId="38FCACF8"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c>
          <w:tcPr>
            <w:tcW w:w="2551" w:type="dxa"/>
            <w:tcBorders>
              <w:top w:val="double" w:sz="4" w:space="0" w:color="auto"/>
              <w:left w:val="nil"/>
              <w:bottom w:val="single" w:sz="4" w:space="0" w:color="auto"/>
              <w:right w:val="single" w:sz="12" w:space="0" w:color="auto"/>
            </w:tcBorders>
            <w:shd w:val="clear" w:color="auto" w:fill="auto"/>
            <w:vAlign w:val="center"/>
          </w:tcPr>
          <w:p w14:paraId="50846B54"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r>
      <w:tr w:rsidR="00C4104D" w:rsidRPr="00094DA0" w14:paraId="190DAB5E" w14:textId="77777777" w:rsidTr="005F2E4B">
        <w:trPr>
          <w:trHeight w:val="315"/>
        </w:trPr>
        <w:tc>
          <w:tcPr>
            <w:tcW w:w="960" w:type="dxa"/>
            <w:vMerge/>
            <w:tcBorders>
              <w:left w:val="single" w:sz="12" w:space="0" w:color="auto"/>
              <w:bottom w:val="single" w:sz="12" w:space="0" w:color="auto"/>
              <w:right w:val="single" w:sz="4" w:space="0" w:color="auto"/>
            </w:tcBorders>
            <w:vAlign w:val="center"/>
          </w:tcPr>
          <w:p w14:paraId="08FDB299" w14:textId="77777777" w:rsidR="00C4104D" w:rsidRPr="00544BA5" w:rsidRDefault="00C4104D" w:rsidP="005F2E4B">
            <w:pPr>
              <w:rPr>
                <w:rFonts w:cs="Arial"/>
                <w:color w:val="000000"/>
                <w:sz w:val="20"/>
                <w:szCs w:val="20"/>
              </w:rPr>
            </w:pPr>
          </w:p>
        </w:tc>
        <w:tc>
          <w:tcPr>
            <w:tcW w:w="960" w:type="dxa"/>
            <w:tcBorders>
              <w:top w:val="single" w:sz="4" w:space="0" w:color="auto"/>
              <w:left w:val="nil"/>
              <w:bottom w:val="single" w:sz="12" w:space="0" w:color="auto"/>
              <w:right w:val="single" w:sz="4" w:space="0" w:color="auto"/>
            </w:tcBorders>
            <w:shd w:val="clear" w:color="auto" w:fill="auto"/>
            <w:vAlign w:val="center"/>
          </w:tcPr>
          <w:p w14:paraId="07B94B83" w14:textId="77777777" w:rsidR="00C4104D" w:rsidRDefault="00C4104D" w:rsidP="005F2E4B">
            <w:pPr>
              <w:jc w:val="center"/>
              <w:rPr>
                <w:rFonts w:eastAsia="Calibri" w:cs="Arial"/>
                <w:bCs/>
                <w:sz w:val="20"/>
                <w:szCs w:val="20"/>
              </w:rPr>
            </w:pPr>
            <w:r>
              <w:rPr>
                <w:rFonts w:eastAsia="Calibri" w:cs="Arial"/>
                <w:bCs/>
                <w:sz w:val="20"/>
                <w:szCs w:val="20"/>
              </w:rPr>
              <w:t>2023</w:t>
            </w:r>
          </w:p>
        </w:tc>
        <w:tc>
          <w:tcPr>
            <w:tcW w:w="2020" w:type="dxa"/>
            <w:tcBorders>
              <w:top w:val="single" w:sz="4" w:space="0" w:color="auto"/>
              <w:left w:val="nil"/>
              <w:bottom w:val="single" w:sz="12" w:space="0" w:color="auto"/>
              <w:right w:val="single" w:sz="4" w:space="0" w:color="auto"/>
            </w:tcBorders>
            <w:shd w:val="clear" w:color="auto" w:fill="auto"/>
            <w:vAlign w:val="center"/>
          </w:tcPr>
          <w:p w14:paraId="6A92A656"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c>
          <w:tcPr>
            <w:tcW w:w="2738" w:type="dxa"/>
            <w:tcBorders>
              <w:top w:val="single" w:sz="4" w:space="0" w:color="auto"/>
              <w:left w:val="nil"/>
              <w:bottom w:val="single" w:sz="12" w:space="0" w:color="auto"/>
              <w:right w:val="single" w:sz="4" w:space="0" w:color="auto"/>
            </w:tcBorders>
            <w:shd w:val="clear" w:color="auto" w:fill="auto"/>
            <w:vAlign w:val="center"/>
          </w:tcPr>
          <w:p w14:paraId="17042650"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c>
          <w:tcPr>
            <w:tcW w:w="2551" w:type="dxa"/>
            <w:tcBorders>
              <w:top w:val="single" w:sz="4" w:space="0" w:color="auto"/>
              <w:left w:val="nil"/>
              <w:bottom w:val="single" w:sz="12" w:space="0" w:color="auto"/>
              <w:right w:val="single" w:sz="12" w:space="0" w:color="auto"/>
            </w:tcBorders>
            <w:shd w:val="clear" w:color="auto" w:fill="auto"/>
            <w:vAlign w:val="center"/>
          </w:tcPr>
          <w:p w14:paraId="153E7B52" w14:textId="77777777" w:rsidR="00C4104D" w:rsidRDefault="00C4104D" w:rsidP="005F2E4B">
            <w:pPr>
              <w:widowControl w:val="0"/>
              <w:suppressAutoHyphens/>
              <w:spacing w:line="252" w:lineRule="auto"/>
              <w:jc w:val="center"/>
              <w:rPr>
                <w:rFonts w:eastAsia="Calibri" w:cs="Arial"/>
                <w:bCs/>
                <w:sz w:val="20"/>
                <w:szCs w:val="20"/>
                <w:lang w:eastAsia="zh-CN"/>
              </w:rPr>
            </w:pPr>
            <w:r>
              <w:rPr>
                <w:rFonts w:eastAsia="Calibri" w:cs="Arial"/>
                <w:bCs/>
                <w:sz w:val="20"/>
                <w:szCs w:val="20"/>
                <w:lang w:eastAsia="zh-CN"/>
              </w:rPr>
              <w:t>0</w:t>
            </w:r>
          </w:p>
        </w:tc>
      </w:tr>
      <w:tr w:rsidR="00C4104D" w:rsidRPr="00094DA0" w14:paraId="247B1909" w14:textId="77777777" w:rsidTr="005F2E4B">
        <w:trPr>
          <w:trHeight w:val="300"/>
        </w:trPr>
        <w:tc>
          <w:tcPr>
            <w:tcW w:w="960"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14:paraId="3C73FFED" w14:textId="77777777" w:rsidR="00C4104D" w:rsidRPr="003C72C7" w:rsidRDefault="00C4104D" w:rsidP="005F2E4B">
            <w:pPr>
              <w:rPr>
                <w:rFonts w:cs="Arial"/>
                <w:b/>
                <w:bCs/>
                <w:color w:val="000000"/>
                <w:sz w:val="20"/>
                <w:szCs w:val="20"/>
              </w:rPr>
            </w:pPr>
            <w:r w:rsidRPr="003C72C7">
              <w:rPr>
                <w:rFonts w:cs="Arial"/>
                <w:b/>
                <w:bCs/>
                <w:color w:val="000000"/>
                <w:sz w:val="20"/>
                <w:szCs w:val="20"/>
              </w:rPr>
              <w:t>MMR</w:t>
            </w:r>
          </w:p>
        </w:tc>
        <w:tc>
          <w:tcPr>
            <w:tcW w:w="960" w:type="dxa"/>
            <w:tcBorders>
              <w:top w:val="single" w:sz="12" w:space="0" w:color="auto"/>
              <w:left w:val="nil"/>
              <w:bottom w:val="single" w:sz="4" w:space="0" w:color="auto"/>
              <w:right w:val="single" w:sz="4" w:space="0" w:color="auto"/>
            </w:tcBorders>
            <w:shd w:val="clear" w:color="auto" w:fill="auto"/>
            <w:vAlign w:val="center"/>
            <w:hideMark/>
          </w:tcPr>
          <w:p w14:paraId="492E0B94" w14:textId="77777777" w:rsidR="00C4104D" w:rsidRPr="003C72C7" w:rsidRDefault="00C4104D" w:rsidP="005F2E4B">
            <w:pPr>
              <w:jc w:val="center"/>
              <w:rPr>
                <w:rFonts w:eastAsia="Calibri" w:cs="Arial"/>
                <w:bCs/>
                <w:sz w:val="20"/>
                <w:szCs w:val="20"/>
              </w:rPr>
            </w:pPr>
            <w:r w:rsidRPr="003C72C7">
              <w:rPr>
                <w:rFonts w:eastAsia="Calibri" w:cs="Arial"/>
                <w:bCs/>
                <w:sz w:val="20"/>
                <w:szCs w:val="20"/>
              </w:rPr>
              <w:t>2022</w:t>
            </w:r>
          </w:p>
        </w:tc>
        <w:tc>
          <w:tcPr>
            <w:tcW w:w="2020" w:type="dxa"/>
            <w:tcBorders>
              <w:top w:val="single" w:sz="12" w:space="0" w:color="auto"/>
              <w:left w:val="nil"/>
              <w:bottom w:val="single" w:sz="4" w:space="0" w:color="auto"/>
              <w:right w:val="single" w:sz="4" w:space="0" w:color="auto"/>
            </w:tcBorders>
            <w:shd w:val="clear" w:color="auto" w:fill="auto"/>
            <w:vAlign w:val="center"/>
          </w:tcPr>
          <w:p w14:paraId="067EF680" w14:textId="77777777" w:rsidR="00C4104D" w:rsidRPr="003C72C7" w:rsidRDefault="00C4104D" w:rsidP="005F2E4B">
            <w:pPr>
              <w:jc w:val="center"/>
              <w:rPr>
                <w:rFonts w:eastAsia="Calibri" w:cs="Arial"/>
                <w:bCs/>
                <w:sz w:val="20"/>
                <w:szCs w:val="20"/>
                <w:highlight w:val="yellow"/>
              </w:rPr>
            </w:pPr>
            <w:r w:rsidRPr="003C72C7">
              <w:rPr>
                <w:rFonts w:eastAsia="Calibri" w:cs="Arial"/>
                <w:bCs/>
                <w:sz w:val="20"/>
                <w:szCs w:val="20"/>
              </w:rPr>
              <w:t>15</w:t>
            </w:r>
          </w:p>
        </w:tc>
        <w:tc>
          <w:tcPr>
            <w:tcW w:w="2738" w:type="dxa"/>
            <w:tcBorders>
              <w:top w:val="single" w:sz="12" w:space="0" w:color="auto"/>
              <w:left w:val="nil"/>
              <w:bottom w:val="single" w:sz="4" w:space="0" w:color="auto"/>
              <w:right w:val="single" w:sz="4" w:space="0" w:color="auto"/>
            </w:tcBorders>
            <w:shd w:val="clear" w:color="auto" w:fill="auto"/>
            <w:vAlign w:val="center"/>
          </w:tcPr>
          <w:p w14:paraId="4FC335C9" w14:textId="77777777" w:rsidR="00C4104D" w:rsidRPr="003C72C7" w:rsidRDefault="00C4104D" w:rsidP="005F2E4B">
            <w:pPr>
              <w:jc w:val="center"/>
              <w:rPr>
                <w:rFonts w:eastAsia="Calibri" w:cs="Arial"/>
                <w:bCs/>
                <w:sz w:val="20"/>
                <w:szCs w:val="20"/>
                <w:highlight w:val="yellow"/>
              </w:rPr>
            </w:pPr>
            <w:r w:rsidRPr="003C72C7">
              <w:rPr>
                <w:rFonts w:eastAsia="Calibri" w:cs="Arial"/>
                <w:bCs/>
                <w:sz w:val="20"/>
                <w:szCs w:val="20"/>
              </w:rPr>
              <w:t>5</w:t>
            </w:r>
          </w:p>
        </w:tc>
        <w:tc>
          <w:tcPr>
            <w:tcW w:w="2551" w:type="dxa"/>
            <w:tcBorders>
              <w:top w:val="single" w:sz="12" w:space="0" w:color="auto"/>
              <w:left w:val="nil"/>
              <w:bottom w:val="single" w:sz="4" w:space="0" w:color="auto"/>
              <w:right w:val="single" w:sz="12" w:space="0" w:color="auto"/>
            </w:tcBorders>
            <w:shd w:val="clear" w:color="auto" w:fill="auto"/>
            <w:vAlign w:val="center"/>
          </w:tcPr>
          <w:p w14:paraId="0EF33D15" w14:textId="77777777" w:rsidR="00C4104D" w:rsidRPr="003C72C7" w:rsidRDefault="00C4104D" w:rsidP="005F2E4B">
            <w:pPr>
              <w:jc w:val="center"/>
              <w:rPr>
                <w:rFonts w:eastAsia="Calibri" w:cs="Arial"/>
                <w:bCs/>
                <w:sz w:val="20"/>
                <w:szCs w:val="20"/>
                <w:highlight w:val="yellow"/>
              </w:rPr>
            </w:pPr>
            <w:r w:rsidRPr="003C72C7">
              <w:rPr>
                <w:rFonts w:eastAsia="Calibri" w:cs="Arial"/>
                <w:bCs/>
                <w:sz w:val="20"/>
                <w:szCs w:val="20"/>
              </w:rPr>
              <w:t>10</w:t>
            </w:r>
          </w:p>
        </w:tc>
      </w:tr>
      <w:tr w:rsidR="00C4104D" w:rsidRPr="00094DA0" w14:paraId="6860DC25" w14:textId="77777777" w:rsidTr="005F2E4B">
        <w:trPr>
          <w:trHeight w:val="315"/>
        </w:trPr>
        <w:tc>
          <w:tcPr>
            <w:tcW w:w="960" w:type="dxa"/>
            <w:vMerge/>
            <w:tcBorders>
              <w:top w:val="nil"/>
              <w:left w:val="single" w:sz="12" w:space="0" w:color="auto"/>
              <w:bottom w:val="single" w:sz="12" w:space="0" w:color="auto"/>
              <w:right w:val="single" w:sz="4" w:space="0" w:color="auto"/>
            </w:tcBorders>
            <w:vAlign w:val="center"/>
            <w:hideMark/>
          </w:tcPr>
          <w:p w14:paraId="217C2FE9" w14:textId="77777777" w:rsidR="00C4104D" w:rsidRPr="003C72C7" w:rsidRDefault="00C4104D" w:rsidP="005F2E4B">
            <w:pPr>
              <w:rPr>
                <w:rFonts w:cs="Arial"/>
                <w:b/>
                <w:bCs/>
                <w:color w:val="000000"/>
                <w:sz w:val="20"/>
                <w:szCs w:val="20"/>
              </w:rPr>
            </w:pPr>
          </w:p>
        </w:tc>
        <w:tc>
          <w:tcPr>
            <w:tcW w:w="960" w:type="dxa"/>
            <w:tcBorders>
              <w:top w:val="nil"/>
              <w:left w:val="nil"/>
              <w:bottom w:val="single" w:sz="12" w:space="0" w:color="auto"/>
              <w:right w:val="single" w:sz="4" w:space="0" w:color="auto"/>
            </w:tcBorders>
            <w:shd w:val="clear" w:color="auto" w:fill="auto"/>
            <w:vAlign w:val="center"/>
            <w:hideMark/>
          </w:tcPr>
          <w:p w14:paraId="3446B59E" w14:textId="77777777" w:rsidR="00C4104D" w:rsidRPr="003C72C7" w:rsidRDefault="00C4104D" w:rsidP="005F2E4B">
            <w:pPr>
              <w:jc w:val="center"/>
              <w:rPr>
                <w:rFonts w:eastAsia="Calibri" w:cs="Arial"/>
                <w:bCs/>
                <w:sz w:val="20"/>
                <w:szCs w:val="20"/>
              </w:rPr>
            </w:pPr>
            <w:r w:rsidRPr="003C72C7">
              <w:rPr>
                <w:rFonts w:eastAsia="Calibri" w:cs="Arial"/>
                <w:bCs/>
                <w:sz w:val="20"/>
                <w:szCs w:val="20"/>
              </w:rPr>
              <w:t>2023</w:t>
            </w:r>
          </w:p>
        </w:tc>
        <w:tc>
          <w:tcPr>
            <w:tcW w:w="2020" w:type="dxa"/>
            <w:tcBorders>
              <w:top w:val="nil"/>
              <w:left w:val="nil"/>
              <w:bottom w:val="single" w:sz="12" w:space="0" w:color="auto"/>
              <w:right w:val="single" w:sz="4" w:space="0" w:color="auto"/>
            </w:tcBorders>
            <w:shd w:val="clear" w:color="auto" w:fill="auto"/>
            <w:vAlign w:val="center"/>
          </w:tcPr>
          <w:p w14:paraId="17B23C2D" w14:textId="77777777" w:rsidR="00C4104D" w:rsidRPr="003C72C7" w:rsidRDefault="00C4104D" w:rsidP="005F2E4B">
            <w:pPr>
              <w:spacing w:line="254" w:lineRule="auto"/>
              <w:jc w:val="center"/>
              <w:rPr>
                <w:rFonts w:eastAsia="Calibri" w:cs="Arial"/>
                <w:bCs/>
                <w:sz w:val="20"/>
                <w:szCs w:val="20"/>
                <w:highlight w:val="yellow"/>
              </w:rPr>
            </w:pPr>
            <w:r w:rsidRPr="003C72C7">
              <w:rPr>
                <w:rFonts w:eastAsia="Calibri" w:cs="Arial"/>
                <w:bCs/>
                <w:sz w:val="20"/>
                <w:szCs w:val="20"/>
              </w:rPr>
              <w:t>14</w:t>
            </w:r>
          </w:p>
        </w:tc>
        <w:tc>
          <w:tcPr>
            <w:tcW w:w="2738" w:type="dxa"/>
            <w:tcBorders>
              <w:top w:val="nil"/>
              <w:left w:val="nil"/>
              <w:bottom w:val="single" w:sz="12" w:space="0" w:color="auto"/>
              <w:right w:val="single" w:sz="4" w:space="0" w:color="auto"/>
            </w:tcBorders>
            <w:shd w:val="clear" w:color="auto" w:fill="auto"/>
            <w:vAlign w:val="center"/>
          </w:tcPr>
          <w:p w14:paraId="2BBB52A8" w14:textId="77777777" w:rsidR="00C4104D" w:rsidRPr="003C72C7" w:rsidRDefault="00C4104D" w:rsidP="005F2E4B">
            <w:pPr>
              <w:spacing w:line="254" w:lineRule="auto"/>
              <w:jc w:val="center"/>
              <w:rPr>
                <w:rFonts w:eastAsia="Calibri" w:cs="Arial"/>
                <w:bCs/>
                <w:sz w:val="20"/>
                <w:szCs w:val="20"/>
                <w:highlight w:val="yellow"/>
              </w:rPr>
            </w:pPr>
            <w:r w:rsidRPr="003C72C7">
              <w:rPr>
                <w:rFonts w:eastAsia="Calibri" w:cs="Arial"/>
                <w:bCs/>
                <w:sz w:val="20"/>
                <w:szCs w:val="20"/>
              </w:rPr>
              <w:t>7</w:t>
            </w:r>
          </w:p>
        </w:tc>
        <w:tc>
          <w:tcPr>
            <w:tcW w:w="2551" w:type="dxa"/>
            <w:tcBorders>
              <w:top w:val="nil"/>
              <w:left w:val="nil"/>
              <w:bottom w:val="single" w:sz="12" w:space="0" w:color="auto"/>
              <w:right w:val="single" w:sz="12" w:space="0" w:color="auto"/>
            </w:tcBorders>
            <w:shd w:val="clear" w:color="auto" w:fill="auto"/>
            <w:vAlign w:val="center"/>
          </w:tcPr>
          <w:p w14:paraId="4C5EB55F" w14:textId="77777777" w:rsidR="00C4104D" w:rsidRPr="003C72C7" w:rsidRDefault="00C4104D" w:rsidP="005F2E4B">
            <w:pPr>
              <w:spacing w:line="254" w:lineRule="auto"/>
              <w:jc w:val="center"/>
              <w:rPr>
                <w:rFonts w:eastAsia="Calibri" w:cs="Arial"/>
                <w:bCs/>
                <w:sz w:val="20"/>
                <w:szCs w:val="20"/>
                <w:highlight w:val="yellow"/>
              </w:rPr>
            </w:pPr>
            <w:r w:rsidRPr="003C72C7">
              <w:rPr>
                <w:rFonts w:eastAsia="Calibri" w:cs="Arial"/>
                <w:bCs/>
                <w:sz w:val="20"/>
                <w:szCs w:val="20"/>
              </w:rPr>
              <w:t>7</w:t>
            </w:r>
          </w:p>
        </w:tc>
      </w:tr>
      <w:tr w:rsidR="00C4104D" w:rsidRPr="00094DA0" w14:paraId="6B333A11" w14:textId="77777777" w:rsidTr="005F2E4B">
        <w:trPr>
          <w:trHeight w:val="300"/>
        </w:trPr>
        <w:tc>
          <w:tcPr>
            <w:tcW w:w="960"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14:paraId="66EA6117" w14:textId="77777777" w:rsidR="00C4104D" w:rsidRPr="00E93979" w:rsidRDefault="00C4104D" w:rsidP="005F2E4B">
            <w:pPr>
              <w:rPr>
                <w:rFonts w:cs="Arial"/>
                <w:b/>
                <w:bCs/>
                <w:color w:val="000000"/>
                <w:sz w:val="20"/>
                <w:szCs w:val="20"/>
              </w:rPr>
            </w:pPr>
            <w:r w:rsidRPr="00E93979">
              <w:rPr>
                <w:rFonts w:cs="Arial"/>
                <w:b/>
                <w:bCs/>
                <w:color w:val="000000"/>
                <w:sz w:val="20"/>
                <w:szCs w:val="20"/>
              </w:rPr>
              <w:t>MO</w:t>
            </w:r>
          </w:p>
        </w:tc>
        <w:tc>
          <w:tcPr>
            <w:tcW w:w="960" w:type="dxa"/>
            <w:tcBorders>
              <w:top w:val="single" w:sz="12" w:space="0" w:color="auto"/>
              <w:left w:val="nil"/>
              <w:bottom w:val="single" w:sz="4" w:space="0" w:color="auto"/>
              <w:right w:val="single" w:sz="4" w:space="0" w:color="auto"/>
            </w:tcBorders>
            <w:shd w:val="clear" w:color="auto" w:fill="auto"/>
            <w:vAlign w:val="center"/>
            <w:hideMark/>
          </w:tcPr>
          <w:p w14:paraId="489B8D8A" w14:textId="77777777" w:rsidR="00C4104D" w:rsidRPr="00E93979" w:rsidRDefault="00C4104D" w:rsidP="005F2E4B">
            <w:pPr>
              <w:jc w:val="center"/>
              <w:rPr>
                <w:rFonts w:cs="Arial"/>
                <w:color w:val="000000"/>
                <w:sz w:val="20"/>
                <w:szCs w:val="20"/>
              </w:rPr>
            </w:pPr>
            <w:r w:rsidRPr="00E93979">
              <w:rPr>
                <w:rFonts w:cs="Arial"/>
                <w:color w:val="000000"/>
                <w:sz w:val="20"/>
                <w:szCs w:val="20"/>
              </w:rPr>
              <w:t>2022</w:t>
            </w:r>
          </w:p>
        </w:tc>
        <w:tc>
          <w:tcPr>
            <w:tcW w:w="2020" w:type="dxa"/>
            <w:tcBorders>
              <w:top w:val="single" w:sz="12" w:space="0" w:color="auto"/>
              <w:left w:val="nil"/>
              <w:bottom w:val="single" w:sz="4" w:space="0" w:color="auto"/>
              <w:right w:val="single" w:sz="4" w:space="0" w:color="auto"/>
            </w:tcBorders>
            <w:shd w:val="clear" w:color="auto" w:fill="auto"/>
            <w:vAlign w:val="center"/>
          </w:tcPr>
          <w:p w14:paraId="1291CD57" w14:textId="77777777" w:rsidR="00C4104D" w:rsidRPr="00A27EAD" w:rsidRDefault="00C4104D" w:rsidP="005F2E4B">
            <w:pPr>
              <w:jc w:val="center"/>
              <w:rPr>
                <w:rFonts w:cs="Arial"/>
                <w:color w:val="000000"/>
                <w:sz w:val="20"/>
                <w:szCs w:val="20"/>
                <w:highlight w:val="yellow"/>
              </w:rPr>
            </w:pPr>
            <w:r w:rsidRPr="00A27EAD">
              <w:rPr>
                <w:rFonts w:eastAsia="Calibri" w:cs="Arial"/>
                <w:bCs/>
                <w:sz w:val="20"/>
                <w:szCs w:val="20"/>
              </w:rPr>
              <w:t>6</w:t>
            </w:r>
          </w:p>
        </w:tc>
        <w:tc>
          <w:tcPr>
            <w:tcW w:w="2738" w:type="dxa"/>
            <w:tcBorders>
              <w:top w:val="single" w:sz="12" w:space="0" w:color="auto"/>
              <w:left w:val="nil"/>
              <w:bottom w:val="single" w:sz="4" w:space="0" w:color="auto"/>
              <w:right w:val="single" w:sz="4" w:space="0" w:color="auto"/>
            </w:tcBorders>
            <w:shd w:val="clear" w:color="auto" w:fill="auto"/>
            <w:vAlign w:val="center"/>
          </w:tcPr>
          <w:p w14:paraId="7E7F2CC9" w14:textId="77777777" w:rsidR="00C4104D" w:rsidRPr="00A27EAD" w:rsidRDefault="00C4104D" w:rsidP="005F2E4B">
            <w:pPr>
              <w:jc w:val="center"/>
              <w:rPr>
                <w:rFonts w:cs="Arial"/>
                <w:color w:val="000000"/>
                <w:sz w:val="20"/>
                <w:szCs w:val="20"/>
                <w:highlight w:val="yellow"/>
              </w:rPr>
            </w:pPr>
            <w:r w:rsidRPr="00A27EAD">
              <w:rPr>
                <w:rFonts w:eastAsia="Calibri" w:cs="Arial"/>
                <w:bCs/>
                <w:sz w:val="20"/>
                <w:szCs w:val="20"/>
              </w:rPr>
              <w:t>1</w:t>
            </w:r>
          </w:p>
        </w:tc>
        <w:tc>
          <w:tcPr>
            <w:tcW w:w="2551" w:type="dxa"/>
            <w:tcBorders>
              <w:top w:val="single" w:sz="12" w:space="0" w:color="auto"/>
              <w:left w:val="nil"/>
              <w:bottom w:val="single" w:sz="4" w:space="0" w:color="auto"/>
              <w:right w:val="single" w:sz="12" w:space="0" w:color="auto"/>
            </w:tcBorders>
            <w:shd w:val="clear" w:color="auto" w:fill="auto"/>
            <w:vAlign w:val="center"/>
          </w:tcPr>
          <w:p w14:paraId="6FE62556" w14:textId="77777777" w:rsidR="00C4104D" w:rsidRPr="00A27EAD" w:rsidRDefault="00C4104D" w:rsidP="005F2E4B">
            <w:pPr>
              <w:jc w:val="center"/>
              <w:rPr>
                <w:rFonts w:cs="Arial"/>
                <w:color w:val="000000"/>
                <w:sz w:val="20"/>
                <w:szCs w:val="20"/>
                <w:highlight w:val="yellow"/>
              </w:rPr>
            </w:pPr>
            <w:r w:rsidRPr="00A27EAD">
              <w:rPr>
                <w:rFonts w:eastAsia="Calibri" w:cs="Arial"/>
                <w:bCs/>
                <w:sz w:val="20"/>
                <w:szCs w:val="20"/>
              </w:rPr>
              <w:t>5</w:t>
            </w:r>
          </w:p>
        </w:tc>
      </w:tr>
      <w:tr w:rsidR="00C4104D" w:rsidRPr="00094DA0" w14:paraId="23E39780" w14:textId="77777777" w:rsidTr="005F2E4B">
        <w:trPr>
          <w:trHeight w:val="315"/>
        </w:trPr>
        <w:tc>
          <w:tcPr>
            <w:tcW w:w="960" w:type="dxa"/>
            <w:vMerge/>
            <w:tcBorders>
              <w:top w:val="nil"/>
              <w:left w:val="single" w:sz="12" w:space="0" w:color="auto"/>
              <w:bottom w:val="single" w:sz="12" w:space="0" w:color="auto"/>
              <w:right w:val="single" w:sz="4" w:space="0" w:color="auto"/>
            </w:tcBorders>
            <w:vAlign w:val="center"/>
            <w:hideMark/>
          </w:tcPr>
          <w:p w14:paraId="274798AF" w14:textId="77777777" w:rsidR="00C4104D" w:rsidRPr="00E93979" w:rsidRDefault="00C4104D" w:rsidP="005F2E4B">
            <w:pPr>
              <w:rPr>
                <w:rFonts w:cs="Arial"/>
                <w:b/>
                <w:bCs/>
                <w:color w:val="000000"/>
                <w:sz w:val="20"/>
                <w:szCs w:val="20"/>
              </w:rPr>
            </w:pPr>
          </w:p>
        </w:tc>
        <w:tc>
          <w:tcPr>
            <w:tcW w:w="960" w:type="dxa"/>
            <w:tcBorders>
              <w:top w:val="nil"/>
              <w:left w:val="nil"/>
              <w:bottom w:val="single" w:sz="12" w:space="0" w:color="auto"/>
              <w:right w:val="single" w:sz="4" w:space="0" w:color="auto"/>
            </w:tcBorders>
            <w:shd w:val="clear" w:color="auto" w:fill="auto"/>
            <w:vAlign w:val="center"/>
            <w:hideMark/>
          </w:tcPr>
          <w:p w14:paraId="00B94AD1" w14:textId="77777777" w:rsidR="00C4104D" w:rsidRPr="00E93979" w:rsidRDefault="00C4104D" w:rsidP="005F2E4B">
            <w:pPr>
              <w:jc w:val="center"/>
              <w:rPr>
                <w:rFonts w:cs="Arial"/>
                <w:color w:val="000000"/>
                <w:sz w:val="20"/>
                <w:szCs w:val="20"/>
              </w:rPr>
            </w:pPr>
            <w:r w:rsidRPr="00E93979">
              <w:rPr>
                <w:rFonts w:cs="Arial"/>
                <w:color w:val="000000"/>
                <w:sz w:val="20"/>
                <w:szCs w:val="20"/>
              </w:rPr>
              <w:t>2023</w:t>
            </w:r>
          </w:p>
        </w:tc>
        <w:tc>
          <w:tcPr>
            <w:tcW w:w="2020" w:type="dxa"/>
            <w:tcBorders>
              <w:top w:val="nil"/>
              <w:left w:val="nil"/>
              <w:bottom w:val="single" w:sz="12" w:space="0" w:color="auto"/>
              <w:right w:val="single" w:sz="4" w:space="0" w:color="auto"/>
            </w:tcBorders>
            <w:shd w:val="clear" w:color="auto" w:fill="auto"/>
            <w:vAlign w:val="center"/>
          </w:tcPr>
          <w:p w14:paraId="5F77F436" w14:textId="77777777" w:rsidR="00C4104D" w:rsidRPr="00A27EAD" w:rsidRDefault="00C4104D" w:rsidP="005F2E4B">
            <w:pPr>
              <w:jc w:val="center"/>
              <w:rPr>
                <w:rFonts w:cs="Arial"/>
                <w:color w:val="000000"/>
                <w:sz w:val="20"/>
                <w:szCs w:val="20"/>
                <w:highlight w:val="yellow"/>
              </w:rPr>
            </w:pPr>
            <w:r w:rsidRPr="00A27EAD">
              <w:rPr>
                <w:rFonts w:eastAsia="Calibri" w:cs="Arial"/>
                <w:bCs/>
                <w:sz w:val="20"/>
                <w:szCs w:val="20"/>
              </w:rPr>
              <w:t>20</w:t>
            </w:r>
          </w:p>
        </w:tc>
        <w:tc>
          <w:tcPr>
            <w:tcW w:w="2738" w:type="dxa"/>
            <w:tcBorders>
              <w:top w:val="nil"/>
              <w:left w:val="nil"/>
              <w:bottom w:val="single" w:sz="12" w:space="0" w:color="auto"/>
              <w:right w:val="single" w:sz="4" w:space="0" w:color="auto"/>
            </w:tcBorders>
            <w:shd w:val="clear" w:color="auto" w:fill="auto"/>
            <w:vAlign w:val="center"/>
          </w:tcPr>
          <w:p w14:paraId="17E0B5FB" w14:textId="77777777" w:rsidR="00C4104D" w:rsidRPr="00A27EAD" w:rsidRDefault="00C4104D" w:rsidP="005F2E4B">
            <w:pPr>
              <w:jc w:val="center"/>
              <w:rPr>
                <w:rFonts w:cs="Arial"/>
                <w:color w:val="000000"/>
                <w:sz w:val="20"/>
                <w:szCs w:val="20"/>
                <w:highlight w:val="yellow"/>
              </w:rPr>
            </w:pPr>
            <w:r w:rsidRPr="00A27EAD">
              <w:rPr>
                <w:rFonts w:eastAsia="Calibri" w:cs="Arial"/>
                <w:bCs/>
                <w:sz w:val="20"/>
                <w:szCs w:val="20"/>
              </w:rPr>
              <w:t>6</w:t>
            </w:r>
          </w:p>
        </w:tc>
        <w:tc>
          <w:tcPr>
            <w:tcW w:w="2551" w:type="dxa"/>
            <w:tcBorders>
              <w:top w:val="nil"/>
              <w:left w:val="nil"/>
              <w:bottom w:val="single" w:sz="12" w:space="0" w:color="auto"/>
              <w:right w:val="single" w:sz="12" w:space="0" w:color="auto"/>
            </w:tcBorders>
            <w:shd w:val="clear" w:color="auto" w:fill="auto"/>
            <w:vAlign w:val="center"/>
          </w:tcPr>
          <w:p w14:paraId="22B20E84" w14:textId="77777777" w:rsidR="00C4104D" w:rsidRPr="00A27EAD" w:rsidRDefault="00C4104D" w:rsidP="005F2E4B">
            <w:pPr>
              <w:jc w:val="center"/>
              <w:rPr>
                <w:rFonts w:cs="Arial"/>
                <w:color w:val="000000"/>
                <w:sz w:val="20"/>
                <w:szCs w:val="20"/>
                <w:highlight w:val="yellow"/>
              </w:rPr>
            </w:pPr>
            <w:r w:rsidRPr="00A27EAD">
              <w:rPr>
                <w:rFonts w:eastAsia="Calibri" w:cs="Arial"/>
                <w:bCs/>
                <w:sz w:val="20"/>
                <w:szCs w:val="20"/>
              </w:rPr>
              <w:t>14</w:t>
            </w:r>
          </w:p>
        </w:tc>
      </w:tr>
      <w:tr w:rsidR="00C4104D" w:rsidRPr="00094DA0" w14:paraId="418508E8" w14:textId="77777777" w:rsidTr="005F2E4B">
        <w:trPr>
          <w:trHeight w:val="300"/>
        </w:trPr>
        <w:tc>
          <w:tcPr>
            <w:tcW w:w="960"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D37D028" w14:textId="77777777" w:rsidR="00C4104D" w:rsidRPr="009A5717" w:rsidRDefault="00C4104D" w:rsidP="005F2E4B">
            <w:pPr>
              <w:rPr>
                <w:rFonts w:cs="Arial"/>
                <w:b/>
                <w:bCs/>
                <w:color w:val="000000"/>
                <w:sz w:val="20"/>
                <w:szCs w:val="20"/>
              </w:rPr>
            </w:pPr>
            <w:r w:rsidRPr="009A5717">
              <w:rPr>
                <w:rFonts w:cs="Arial"/>
                <w:b/>
                <w:bCs/>
                <w:color w:val="000000"/>
                <w:sz w:val="20"/>
                <w:szCs w:val="20"/>
              </w:rPr>
              <w:t>MPO</w:t>
            </w:r>
          </w:p>
        </w:tc>
        <w:tc>
          <w:tcPr>
            <w:tcW w:w="960" w:type="dxa"/>
            <w:tcBorders>
              <w:top w:val="single" w:sz="12" w:space="0" w:color="auto"/>
              <w:left w:val="nil"/>
              <w:bottom w:val="single" w:sz="4" w:space="0" w:color="auto"/>
              <w:right w:val="single" w:sz="4" w:space="0" w:color="auto"/>
            </w:tcBorders>
            <w:shd w:val="clear" w:color="auto" w:fill="auto"/>
            <w:vAlign w:val="center"/>
            <w:hideMark/>
          </w:tcPr>
          <w:p w14:paraId="11397363" w14:textId="77777777" w:rsidR="00C4104D" w:rsidRPr="009A5717" w:rsidRDefault="00C4104D" w:rsidP="005F2E4B">
            <w:pPr>
              <w:jc w:val="center"/>
              <w:rPr>
                <w:rFonts w:eastAsia="Calibri" w:cs="Arial"/>
                <w:bCs/>
                <w:sz w:val="20"/>
                <w:szCs w:val="20"/>
              </w:rPr>
            </w:pPr>
            <w:r w:rsidRPr="009A5717">
              <w:rPr>
                <w:rFonts w:eastAsia="Calibri" w:cs="Arial"/>
                <w:bCs/>
                <w:sz w:val="20"/>
                <w:szCs w:val="20"/>
              </w:rPr>
              <w:t>2022</w:t>
            </w:r>
          </w:p>
        </w:tc>
        <w:tc>
          <w:tcPr>
            <w:tcW w:w="2020" w:type="dxa"/>
            <w:tcBorders>
              <w:top w:val="single" w:sz="12" w:space="0" w:color="auto"/>
              <w:left w:val="nil"/>
              <w:bottom w:val="single" w:sz="4" w:space="0" w:color="auto"/>
              <w:right w:val="single" w:sz="4" w:space="0" w:color="auto"/>
            </w:tcBorders>
            <w:shd w:val="clear" w:color="auto" w:fill="auto"/>
            <w:vAlign w:val="center"/>
          </w:tcPr>
          <w:p w14:paraId="640C6352" w14:textId="77777777" w:rsidR="00C4104D" w:rsidRPr="0082607C" w:rsidRDefault="00C4104D" w:rsidP="005F2E4B">
            <w:pPr>
              <w:spacing w:line="254" w:lineRule="auto"/>
              <w:jc w:val="center"/>
              <w:rPr>
                <w:rFonts w:eastAsia="Calibri" w:cs="Arial"/>
                <w:bCs/>
                <w:sz w:val="20"/>
                <w:szCs w:val="20"/>
                <w:highlight w:val="yellow"/>
              </w:rPr>
            </w:pPr>
            <w:r w:rsidRPr="0082607C">
              <w:rPr>
                <w:rFonts w:eastAsia="Calibri" w:cs="Arial"/>
                <w:sz w:val="20"/>
                <w:szCs w:val="20"/>
              </w:rPr>
              <w:t>14</w:t>
            </w:r>
          </w:p>
        </w:tc>
        <w:tc>
          <w:tcPr>
            <w:tcW w:w="2738" w:type="dxa"/>
            <w:tcBorders>
              <w:top w:val="single" w:sz="12" w:space="0" w:color="auto"/>
              <w:left w:val="nil"/>
              <w:bottom w:val="single" w:sz="4" w:space="0" w:color="auto"/>
              <w:right w:val="single" w:sz="4" w:space="0" w:color="auto"/>
            </w:tcBorders>
            <w:shd w:val="clear" w:color="auto" w:fill="auto"/>
            <w:vAlign w:val="center"/>
          </w:tcPr>
          <w:p w14:paraId="4A4B3022" w14:textId="77777777" w:rsidR="00C4104D" w:rsidRPr="0082607C" w:rsidRDefault="00C4104D" w:rsidP="005F2E4B">
            <w:pPr>
              <w:spacing w:line="254" w:lineRule="auto"/>
              <w:jc w:val="center"/>
              <w:rPr>
                <w:rFonts w:eastAsia="Calibri" w:cs="Arial"/>
                <w:bCs/>
                <w:sz w:val="20"/>
                <w:szCs w:val="20"/>
                <w:highlight w:val="yellow"/>
              </w:rPr>
            </w:pPr>
            <w:r w:rsidRPr="0082607C">
              <w:rPr>
                <w:rFonts w:eastAsia="Calibri" w:cs="Arial"/>
                <w:sz w:val="20"/>
                <w:szCs w:val="20"/>
              </w:rPr>
              <w:t>7</w:t>
            </w:r>
          </w:p>
        </w:tc>
        <w:tc>
          <w:tcPr>
            <w:tcW w:w="2551" w:type="dxa"/>
            <w:tcBorders>
              <w:top w:val="single" w:sz="12" w:space="0" w:color="auto"/>
              <w:left w:val="nil"/>
              <w:bottom w:val="single" w:sz="4" w:space="0" w:color="auto"/>
              <w:right w:val="single" w:sz="12" w:space="0" w:color="auto"/>
            </w:tcBorders>
            <w:shd w:val="clear" w:color="auto" w:fill="auto"/>
            <w:vAlign w:val="center"/>
          </w:tcPr>
          <w:p w14:paraId="41825F0B" w14:textId="77777777" w:rsidR="00C4104D" w:rsidRPr="0082607C" w:rsidRDefault="00C4104D" w:rsidP="005F2E4B">
            <w:pPr>
              <w:spacing w:line="254" w:lineRule="auto"/>
              <w:jc w:val="center"/>
              <w:rPr>
                <w:rFonts w:eastAsia="Calibri" w:cs="Arial"/>
                <w:bCs/>
                <w:sz w:val="20"/>
                <w:szCs w:val="20"/>
                <w:highlight w:val="yellow"/>
              </w:rPr>
            </w:pPr>
            <w:r w:rsidRPr="0082607C">
              <w:rPr>
                <w:rFonts w:eastAsia="Calibri" w:cs="Arial"/>
                <w:sz w:val="20"/>
                <w:szCs w:val="20"/>
              </w:rPr>
              <w:t>7</w:t>
            </w:r>
          </w:p>
        </w:tc>
      </w:tr>
      <w:tr w:rsidR="00C4104D" w:rsidRPr="00094DA0" w14:paraId="16DCFBA8" w14:textId="77777777" w:rsidTr="005F2E4B">
        <w:trPr>
          <w:trHeight w:val="315"/>
        </w:trPr>
        <w:tc>
          <w:tcPr>
            <w:tcW w:w="960" w:type="dxa"/>
            <w:vMerge/>
            <w:tcBorders>
              <w:top w:val="single" w:sz="4" w:space="0" w:color="auto"/>
              <w:left w:val="single" w:sz="12" w:space="0" w:color="auto"/>
              <w:bottom w:val="single" w:sz="12" w:space="0" w:color="auto"/>
              <w:right w:val="single" w:sz="4" w:space="0" w:color="auto"/>
            </w:tcBorders>
            <w:vAlign w:val="center"/>
            <w:hideMark/>
          </w:tcPr>
          <w:p w14:paraId="27B372F1" w14:textId="77777777" w:rsidR="00C4104D" w:rsidRPr="009A5717" w:rsidRDefault="00C4104D" w:rsidP="005F2E4B">
            <w:pPr>
              <w:rPr>
                <w:rFonts w:cs="Arial"/>
                <w:bCs/>
                <w:color w:val="000000"/>
                <w:sz w:val="20"/>
                <w:szCs w:val="20"/>
              </w:rPr>
            </w:pPr>
          </w:p>
        </w:tc>
        <w:tc>
          <w:tcPr>
            <w:tcW w:w="960" w:type="dxa"/>
            <w:tcBorders>
              <w:top w:val="single" w:sz="4" w:space="0" w:color="auto"/>
              <w:left w:val="nil"/>
              <w:bottom w:val="single" w:sz="12" w:space="0" w:color="auto"/>
              <w:right w:val="single" w:sz="4" w:space="0" w:color="auto"/>
            </w:tcBorders>
            <w:shd w:val="clear" w:color="auto" w:fill="auto"/>
            <w:vAlign w:val="center"/>
            <w:hideMark/>
          </w:tcPr>
          <w:p w14:paraId="2A4D460B" w14:textId="77777777" w:rsidR="00C4104D" w:rsidRPr="009A5717" w:rsidRDefault="00C4104D" w:rsidP="005F2E4B">
            <w:pPr>
              <w:jc w:val="center"/>
              <w:rPr>
                <w:rFonts w:eastAsia="Calibri" w:cs="Arial"/>
                <w:bCs/>
                <w:sz w:val="20"/>
                <w:szCs w:val="20"/>
              </w:rPr>
            </w:pPr>
            <w:r w:rsidRPr="009A5717">
              <w:rPr>
                <w:rFonts w:eastAsia="Calibri" w:cs="Arial"/>
                <w:bCs/>
                <w:sz w:val="20"/>
                <w:szCs w:val="20"/>
              </w:rPr>
              <w:t>2023</w:t>
            </w:r>
          </w:p>
        </w:tc>
        <w:tc>
          <w:tcPr>
            <w:tcW w:w="2020" w:type="dxa"/>
            <w:tcBorders>
              <w:top w:val="single" w:sz="4" w:space="0" w:color="auto"/>
              <w:left w:val="nil"/>
              <w:bottom w:val="single" w:sz="12" w:space="0" w:color="auto"/>
              <w:right w:val="single" w:sz="4" w:space="0" w:color="auto"/>
            </w:tcBorders>
            <w:shd w:val="clear" w:color="auto" w:fill="auto"/>
            <w:vAlign w:val="center"/>
          </w:tcPr>
          <w:p w14:paraId="7184DA34" w14:textId="77777777" w:rsidR="00C4104D" w:rsidRPr="0082607C" w:rsidRDefault="00C4104D" w:rsidP="005F2E4B">
            <w:pPr>
              <w:spacing w:line="254" w:lineRule="auto"/>
              <w:jc w:val="center"/>
              <w:rPr>
                <w:rFonts w:eastAsia="Calibri" w:cs="Arial"/>
                <w:bCs/>
                <w:sz w:val="20"/>
                <w:szCs w:val="20"/>
                <w:highlight w:val="yellow"/>
              </w:rPr>
            </w:pPr>
            <w:r w:rsidRPr="0082607C">
              <w:rPr>
                <w:rFonts w:eastAsia="Calibri" w:cs="Arial"/>
                <w:sz w:val="20"/>
                <w:szCs w:val="20"/>
              </w:rPr>
              <w:t>16</w:t>
            </w:r>
          </w:p>
        </w:tc>
        <w:tc>
          <w:tcPr>
            <w:tcW w:w="2738" w:type="dxa"/>
            <w:tcBorders>
              <w:top w:val="single" w:sz="4" w:space="0" w:color="auto"/>
              <w:left w:val="nil"/>
              <w:bottom w:val="single" w:sz="12" w:space="0" w:color="auto"/>
              <w:right w:val="single" w:sz="4" w:space="0" w:color="auto"/>
            </w:tcBorders>
            <w:shd w:val="clear" w:color="auto" w:fill="auto"/>
            <w:vAlign w:val="center"/>
          </w:tcPr>
          <w:p w14:paraId="10B3DE4D" w14:textId="77777777" w:rsidR="00C4104D" w:rsidRPr="0082607C" w:rsidRDefault="00C4104D" w:rsidP="005F2E4B">
            <w:pPr>
              <w:spacing w:line="254" w:lineRule="auto"/>
              <w:jc w:val="center"/>
              <w:rPr>
                <w:rFonts w:eastAsia="Calibri" w:cs="Arial"/>
                <w:bCs/>
                <w:sz w:val="20"/>
                <w:szCs w:val="20"/>
                <w:highlight w:val="yellow"/>
              </w:rPr>
            </w:pPr>
            <w:r w:rsidRPr="0082607C">
              <w:rPr>
                <w:rFonts w:eastAsia="Calibri" w:cs="Arial"/>
                <w:sz w:val="20"/>
                <w:szCs w:val="20"/>
              </w:rPr>
              <w:t>7</w:t>
            </w:r>
          </w:p>
        </w:tc>
        <w:tc>
          <w:tcPr>
            <w:tcW w:w="2551" w:type="dxa"/>
            <w:tcBorders>
              <w:top w:val="single" w:sz="4" w:space="0" w:color="auto"/>
              <w:left w:val="nil"/>
              <w:bottom w:val="single" w:sz="12" w:space="0" w:color="auto"/>
              <w:right w:val="single" w:sz="12" w:space="0" w:color="auto"/>
            </w:tcBorders>
            <w:shd w:val="clear" w:color="auto" w:fill="auto"/>
            <w:vAlign w:val="center"/>
          </w:tcPr>
          <w:p w14:paraId="5F63E88B" w14:textId="77777777" w:rsidR="00C4104D" w:rsidRPr="0082607C" w:rsidRDefault="00C4104D" w:rsidP="005F2E4B">
            <w:pPr>
              <w:spacing w:line="254" w:lineRule="auto"/>
              <w:jc w:val="center"/>
              <w:rPr>
                <w:rFonts w:eastAsia="Calibri" w:cs="Arial"/>
                <w:bCs/>
                <w:sz w:val="20"/>
                <w:szCs w:val="20"/>
                <w:highlight w:val="yellow"/>
              </w:rPr>
            </w:pPr>
            <w:r w:rsidRPr="0082607C">
              <w:rPr>
                <w:rFonts w:eastAsia="Calibri" w:cs="Arial"/>
                <w:sz w:val="20"/>
                <w:szCs w:val="20"/>
              </w:rPr>
              <w:t>9</w:t>
            </w:r>
          </w:p>
        </w:tc>
      </w:tr>
      <w:tr w:rsidR="00C4104D" w:rsidRPr="00094DA0" w14:paraId="0342AB81" w14:textId="77777777" w:rsidTr="005F2E4B">
        <w:trPr>
          <w:trHeight w:val="300"/>
        </w:trPr>
        <w:tc>
          <w:tcPr>
            <w:tcW w:w="960" w:type="dxa"/>
            <w:vMerge w:val="restart"/>
            <w:tcBorders>
              <w:top w:val="single" w:sz="12" w:space="0" w:color="auto"/>
              <w:left w:val="single" w:sz="12" w:space="0" w:color="auto"/>
              <w:bottom w:val="double" w:sz="6" w:space="0" w:color="000000"/>
              <w:right w:val="single" w:sz="4" w:space="0" w:color="auto"/>
            </w:tcBorders>
            <w:shd w:val="clear" w:color="auto" w:fill="auto"/>
            <w:vAlign w:val="center"/>
            <w:hideMark/>
          </w:tcPr>
          <w:p w14:paraId="36AF29BC" w14:textId="77777777" w:rsidR="00C4104D" w:rsidRPr="005A5A30" w:rsidRDefault="00C4104D" w:rsidP="005F2E4B">
            <w:pPr>
              <w:rPr>
                <w:rFonts w:cs="Arial"/>
                <w:b/>
                <w:bCs/>
                <w:color w:val="000000"/>
                <w:sz w:val="20"/>
                <w:szCs w:val="20"/>
              </w:rPr>
            </w:pPr>
            <w:r w:rsidRPr="005A5A30">
              <w:rPr>
                <w:rFonts w:cs="Arial"/>
                <w:b/>
                <w:bCs/>
                <w:color w:val="000000"/>
                <w:sz w:val="20"/>
                <w:szCs w:val="20"/>
              </w:rPr>
              <w:t>MPSV</w:t>
            </w:r>
          </w:p>
        </w:tc>
        <w:tc>
          <w:tcPr>
            <w:tcW w:w="960" w:type="dxa"/>
            <w:tcBorders>
              <w:top w:val="single" w:sz="12" w:space="0" w:color="auto"/>
              <w:left w:val="nil"/>
              <w:bottom w:val="single" w:sz="4" w:space="0" w:color="auto"/>
              <w:right w:val="single" w:sz="4" w:space="0" w:color="auto"/>
            </w:tcBorders>
            <w:shd w:val="clear" w:color="auto" w:fill="auto"/>
            <w:vAlign w:val="center"/>
            <w:hideMark/>
          </w:tcPr>
          <w:p w14:paraId="78E0D2A2" w14:textId="77777777" w:rsidR="00C4104D" w:rsidRPr="00833121" w:rsidRDefault="00C4104D" w:rsidP="005F2E4B">
            <w:pPr>
              <w:jc w:val="center"/>
              <w:rPr>
                <w:rFonts w:eastAsia="Calibri" w:cs="Arial"/>
                <w:bCs/>
                <w:sz w:val="20"/>
                <w:szCs w:val="20"/>
              </w:rPr>
            </w:pPr>
            <w:r w:rsidRPr="00833121">
              <w:rPr>
                <w:rFonts w:eastAsia="Calibri" w:cs="Arial"/>
                <w:bCs/>
                <w:sz w:val="20"/>
                <w:szCs w:val="20"/>
              </w:rPr>
              <w:t>2022</w:t>
            </w:r>
          </w:p>
        </w:tc>
        <w:tc>
          <w:tcPr>
            <w:tcW w:w="2020" w:type="dxa"/>
            <w:tcBorders>
              <w:top w:val="single" w:sz="12" w:space="0" w:color="auto"/>
              <w:left w:val="nil"/>
              <w:bottom w:val="single" w:sz="4" w:space="0" w:color="auto"/>
              <w:right w:val="single" w:sz="4" w:space="0" w:color="auto"/>
            </w:tcBorders>
            <w:shd w:val="clear" w:color="auto" w:fill="auto"/>
            <w:vAlign w:val="center"/>
          </w:tcPr>
          <w:p w14:paraId="63FD79AD" w14:textId="77777777" w:rsidR="00C4104D" w:rsidRPr="00833121" w:rsidRDefault="00C4104D" w:rsidP="005F2E4B">
            <w:pPr>
              <w:spacing w:line="254" w:lineRule="auto"/>
              <w:jc w:val="center"/>
              <w:rPr>
                <w:rFonts w:eastAsia="Calibri" w:cs="Arial"/>
                <w:bCs/>
                <w:sz w:val="20"/>
                <w:szCs w:val="20"/>
                <w:highlight w:val="yellow"/>
              </w:rPr>
            </w:pPr>
            <w:r w:rsidRPr="00833121">
              <w:rPr>
                <w:rFonts w:eastAsia="Calibri" w:cs="Arial"/>
                <w:bCs/>
                <w:sz w:val="20"/>
                <w:szCs w:val="20"/>
              </w:rPr>
              <w:t>17</w:t>
            </w:r>
          </w:p>
        </w:tc>
        <w:tc>
          <w:tcPr>
            <w:tcW w:w="2738" w:type="dxa"/>
            <w:tcBorders>
              <w:top w:val="single" w:sz="12" w:space="0" w:color="auto"/>
              <w:left w:val="nil"/>
              <w:bottom w:val="single" w:sz="4" w:space="0" w:color="auto"/>
              <w:right w:val="single" w:sz="4" w:space="0" w:color="auto"/>
            </w:tcBorders>
            <w:shd w:val="clear" w:color="auto" w:fill="auto"/>
            <w:vAlign w:val="center"/>
          </w:tcPr>
          <w:p w14:paraId="0E31C030" w14:textId="77777777" w:rsidR="00C4104D" w:rsidRPr="00833121" w:rsidRDefault="00C4104D" w:rsidP="005F2E4B">
            <w:pPr>
              <w:spacing w:line="254" w:lineRule="auto"/>
              <w:jc w:val="center"/>
              <w:rPr>
                <w:rFonts w:eastAsia="Calibri" w:cs="Arial"/>
                <w:bCs/>
                <w:sz w:val="20"/>
                <w:szCs w:val="20"/>
                <w:highlight w:val="yellow"/>
              </w:rPr>
            </w:pPr>
            <w:r w:rsidRPr="00833121">
              <w:rPr>
                <w:rFonts w:eastAsia="Calibri" w:cs="Arial"/>
                <w:bCs/>
                <w:sz w:val="20"/>
                <w:szCs w:val="20"/>
              </w:rPr>
              <w:t>4</w:t>
            </w:r>
          </w:p>
        </w:tc>
        <w:tc>
          <w:tcPr>
            <w:tcW w:w="2551" w:type="dxa"/>
            <w:tcBorders>
              <w:top w:val="single" w:sz="12" w:space="0" w:color="auto"/>
              <w:left w:val="nil"/>
              <w:bottom w:val="single" w:sz="4" w:space="0" w:color="auto"/>
              <w:right w:val="single" w:sz="12" w:space="0" w:color="auto"/>
            </w:tcBorders>
            <w:shd w:val="clear" w:color="auto" w:fill="auto"/>
            <w:vAlign w:val="center"/>
          </w:tcPr>
          <w:p w14:paraId="25A698DA" w14:textId="77777777" w:rsidR="00C4104D" w:rsidRPr="00833121" w:rsidRDefault="00C4104D" w:rsidP="005F2E4B">
            <w:pPr>
              <w:spacing w:line="254" w:lineRule="auto"/>
              <w:jc w:val="center"/>
              <w:rPr>
                <w:rFonts w:eastAsia="Calibri" w:cs="Arial"/>
                <w:bCs/>
                <w:sz w:val="20"/>
                <w:szCs w:val="20"/>
                <w:highlight w:val="yellow"/>
              </w:rPr>
            </w:pPr>
            <w:r w:rsidRPr="00833121">
              <w:rPr>
                <w:rFonts w:eastAsia="Calibri" w:cs="Arial"/>
                <w:bCs/>
                <w:sz w:val="20"/>
                <w:szCs w:val="20"/>
              </w:rPr>
              <w:t>13</w:t>
            </w:r>
          </w:p>
        </w:tc>
      </w:tr>
      <w:tr w:rsidR="00C4104D" w:rsidRPr="00094DA0" w14:paraId="0C28583C" w14:textId="77777777" w:rsidTr="005F2E4B">
        <w:trPr>
          <w:trHeight w:val="315"/>
        </w:trPr>
        <w:tc>
          <w:tcPr>
            <w:tcW w:w="960" w:type="dxa"/>
            <w:vMerge/>
            <w:tcBorders>
              <w:top w:val="single" w:sz="8" w:space="0" w:color="auto"/>
              <w:left w:val="single" w:sz="12" w:space="0" w:color="auto"/>
              <w:bottom w:val="double" w:sz="4" w:space="0" w:color="auto"/>
              <w:right w:val="single" w:sz="4" w:space="0" w:color="auto"/>
            </w:tcBorders>
            <w:vAlign w:val="center"/>
            <w:hideMark/>
          </w:tcPr>
          <w:p w14:paraId="2FBA3234" w14:textId="77777777" w:rsidR="00C4104D" w:rsidRPr="005A5A30" w:rsidRDefault="00C4104D" w:rsidP="005F2E4B">
            <w:pPr>
              <w:rPr>
                <w:rFonts w:cs="Arial"/>
                <w:b/>
                <w:bCs/>
                <w:color w:val="000000"/>
                <w:sz w:val="20"/>
                <w:szCs w:val="20"/>
              </w:rPr>
            </w:pPr>
          </w:p>
        </w:tc>
        <w:tc>
          <w:tcPr>
            <w:tcW w:w="960" w:type="dxa"/>
            <w:tcBorders>
              <w:top w:val="nil"/>
              <w:left w:val="nil"/>
              <w:bottom w:val="double" w:sz="4" w:space="0" w:color="auto"/>
              <w:right w:val="single" w:sz="4" w:space="0" w:color="auto"/>
            </w:tcBorders>
            <w:shd w:val="clear" w:color="auto" w:fill="auto"/>
            <w:vAlign w:val="center"/>
            <w:hideMark/>
          </w:tcPr>
          <w:p w14:paraId="1524D388" w14:textId="77777777" w:rsidR="00C4104D" w:rsidRPr="00833121" w:rsidRDefault="00C4104D" w:rsidP="005F2E4B">
            <w:pPr>
              <w:jc w:val="center"/>
              <w:rPr>
                <w:rFonts w:eastAsia="Calibri" w:cs="Arial"/>
                <w:bCs/>
                <w:sz w:val="20"/>
                <w:szCs w:val="20"/>
              </w:rPr>
            </w:pPr>
            <w:r w:rsidRPr="00833121">
              <w:rPr>
                <w:rFonts w:eastAsia="Calibri" w:cs="Arial"/>
                <w:bCs/>
                <w:sz w:val="20"/>
                <w:szCs w:val="20"/>
              </w:rPr>
              <w:t>2023</w:t>
            </w:r>
          </w:p>
        </w:tc>
        <w:tc>
          <w:tcPr>
            <w:tcW w:w="2020" w:type="dxa"/>
            <w:tcBorders>
              <w:top w:val="nil"/>
              <w:left w:val="nil"/>
              <w:bottom w:val="double" w:sz="4" w:space="0" w:color="auto"/>
              <w:right w:val="single" w:sz="4" w:space="0" w:color="auto"/>
            </w:tcBorders>
            <w:shd w:val="clear" w:color="auto" w:fill="auto"/>
            <w:vAlign w:val="center"/>
          </w:tcPr>
          <w:p w14:paraId="40D3BC55" w14:textId="77777777" w:rsidR="00C4104D" w:rsidRPr="00833121" w:rsidRDefault="00C4104D" w:rsidP="005F2E4B">
            <w:pPr>
              <w:spacing w:line="254" w:lineRule="auto"/>
              <w:jc w:val="center"/>
              <w:rPr>
                <w:rFonts w:eastAsia="Calibri" w:cs="Arial"/>
                <w:bCs/>
                <w:sz w:val="20"/>
                <w:szCs w:val="20"/>
                <w:highlight w:val="yellow"/>
              </w:rPr>
            </w:pPr>
            <w:r w:rsidRPr="00833121">
              <w:rPr>
                <w:rFonts w:eastAsia="Calibri" w:cs="Arial"/>
                <w:bCs/>
                <w:sz w:val="20"/>
                <w:szCs w:val="20"/>
              </w:rPr>
              <w:t>14</w:t>
            </w:r>
          </w:p>
        </w:tc>
        <w:tc>
          <w:tcPr>
            <w:tcW w:w="2738" w:type="dxa"/>
            <w:tcBorders>
              <w:top w:val="nil"/>
              <w:left w:val="nil"/>
              <w:bottom w:val="double" w:sz="4" w:space="0" w:color="auto"/>
              <w:right w:val="single" w:sz="4" w:space="0" w:color="auto"/>
            </w:tcBorders>
            <w:shd w:val="clear" w:color="auto" w:fill="auto"/>
            <w:vAlign w:val="center"/>
          </w:tcPr>
          <w:p w14:paraId="15ECDE00" w14:textId="77777777" w:rsidR="00C4104D" w:rsidRPr="00833121" w:rsidRDefault="00C4104D" w:rsidP="005F2E4B">
            <w:pPr>
              <w:spacing w:line="254" w:lineRule="auto"/>
              <w:jc w:val="center"/>
              <w:rPr>
                <w:rFonts w:eastAsia="Calibri" w:cs="Arial"/>
                <w:bCs/>
                <w:sz w:val="20"/>
                <w:szCs w:val="20"/>
                <w:highlight w:val="yellow"/>
              </w:rPr>
            </w:pPr>
            <w:r w:rsidRPr="00833121">
              <w:rPr>
                <w:rFonts w:eastAsia="Calibri" w:cs="Arial"/>
                <w:bCs/>
                <w:sz w:val="20"/>
                <w:szCs w:val="20"/>
              </w:rPr>
              <w:t>4</w:t>
            </w:r>
          </w:p>
        </w:tc>
        <w:tc>
          <w:tcPr>
            <w:tcW w:w="2551" w:type="dxa"/>
            <w:tcBorders>
              <w:top w:val="nil"/>
              <w:left w:val="nil"/>
              <w:bottom w:val="double" w:sz="4" w:space="0" w:color="auto"/>
              <w:right w:val="single" w:sz="12" w:space="0" w:color="auto"/>
            </w:tcBorders>
            <w:shd w:val="clear" w:color="auto" w:fill="auto"/>
            <w:vAlign w:val="center"/>
          </w:tcPr>
          <w:p w14:paraId="3B0D66AA" w14:textId="77777777" w:rsidR="00C4104D" w:rsidRPr="00833121" w:rsidRDefault="00C4104D" w:rsidP="005F2E4B">
            <w:pPr>
              <w:spacing w:line="254" w:lineRule="auto"/>
              <w:jc w:val="center"/>
              <w:rPr>
                <w:rFonts w:eastAsia="Calibri" w:cs="Arial"/>
                <w:bCs/>
                <w:sz w:val="20"/>
                <w:szCs w:val="20"/>
                <w:highlight w:val="yellow"/>
              </w:rPr>
            </w:pPr>
            <w:r w:rsidRPr="00833121">
              <w:rPr>
                <w:rFonts w:eastAsia="Calibri" w:cs="Arial"/>
                <w:bCs/>
                <w:sz w:val="20"/>
                <w:szCs w:val="20"/>
              </w:rPr>
              <w:t>10</w:t>
            </w:r>
          </w:p>
        </w:tc>
      </w:tr>
      <w:tr w:rsidR="00C4104D" w:rsidRPr="00094DA0" w14:paraId="70DD0950" w14:textId="77777777" w:rsidTr="00213E93">
        <w:trPr>
          <w:trHeight w:val="315"/>
        </w:trPr>
        <w:tc>
          <w:tcPr>
            <w:tcW w:w="960" w:type="dxa"/>
            <w:vMerge w:val="restart"/>
            <w:tcBorders>
              <w:top w:val="double" w:sz="4" w:space="0" w:color="auto"/>
              <w:left w:val="single" w:sz="12" w:space="0" w:color="auto"/>
              <w:right w:val="single" w:sz="4" w:space="0" w:color="auto"/>
            </w:tcBorders>
            <w:vAlign w:val="center"/>
          </w:tcPr>
          <w:p w14:paraId="02CDAC6C" w14:textId="77777777" w:rsidR="00C4104D" w:rsidRPr="00270ECD" w:rsidRDefault="00C4104D" w:rsidP="005F2E4B">
            <w:pPr>
              <w:rPr>
                <w:rFonts w:cs="Arial"/>
                <w:bCs/>
                <w:color w:val="000000"/>
                <w:sz w:val="20"/>
                <w:szCs w:val="20"/>
              </w:rPr>
            </w:pPr>
            <w:r w:rsidRPr="00B36B33">
              <w:rPr>
                <w:rFonts w:eastAsia="Calibri" w:cs="Arial"/>
                <w:bCs/>
                <w:sz w:val="20"/>
                <w:szCs w:val="20"/>
              </w:rPr>
              <w:t>Č</w:t>
            </w:r>
            <w:r w:rsidRPr="00270ECD">
              <w:rPr>
                <w:rFonts w:cs="Arial"/>
                <w:bCs/>
                <w:color w:val="000000"/>
                <w:sz w:val="20"/>
                <w:szCs w:val="20"/>
              </w:rPr>
              <w:t>SSZ</w:t>
            </w:r>
          </w:p>
        </w:tc>
        <w:tc>
          <w:tcPr>
            <w:tcW w:w="960" w:type="dxa"/>
            <w:tcBorders>
              <w:top w:val="double" w:sz="4" w:space="0" w:color="auto"/>
              <w:left w:val="nil"/>
              <w:bottom w:val="single" w:sz="4" w:space="0" w:color="auto"/>
              <w:right w:val="single" w:sz="4" w:space="0" w:color="auto"/>
            </w:tcBorders>
            <w:shd w:val="clear" w:color="auto" w:fill="auto"/>
            <w:vAlign w:val="center"/>
          </w:tcPr>
          <w:p w14:paraId="275C6EAC" w14:textId="77777777" w:rsidR="00C4104D" w:rsidRPr="001978E6" w:rsidRDefault="00C4104D" w:rsidP="005F2E4B">
            <w:pPr>
              <w:jc w:val="center"/>
              <w:rPr>
                <w:rFonts w:eastAsia="Calibri" w:cs="Arial"/>
                <w:bCs/>
                <w:sz w:val="20"/>
                <w:szCs w:val="20"/>
              </w:rPr>
            </w:pPr>
            <w:r w:rsidRPr="001978E6">
              <w:rPr>
                <w:rFonts w:eastAsia="Calibri" w:cs="Arial"/>
                <w:bCs/>
                <w:sz w:val="20"/>
                <w:szCs w:val="20"/>
              </w:rPr>
              <w:t>2022</w:t>
            </w:r>
          </w:p>
        </w:tc>
        <w:tc>
          <w:tcPr>
            <w:tcW w:w="2020" w:type="dxa"/>
            <w:tcBorders>
              <w:top w:val="double" w:sz="4" w:space="0" w:color="auto"/>
              <w:left w:val="nil"/>
              <w:bottom w:val="single" w:sz="4" w:space="0" w:color="auto"/>
              <w:right w:val="single" w:sz="4" w:space="0" w:color="auto"/>
            </w:tcBorders>
            <w:shd w:val="clear" w:color="auto" w:fill="auto"/>
            <w:vAlign w:val="center"/>
          </w:tcPr>
          <w:p w14:paraId="200E823F" w14:textId="77777777" w:rsidR="00C4104D" w:rsidRPr="001978E6" w:rsidRDefault="00C4104D" w:rsidP="005F2E4B">
            <w:pPr>
              <w:spacing w:line="254" w:lineRule="auto"/>
              <w:jc w:val="center"/>
              <w:rPr>
                <w:rFonts w:eastAsia="Calibri" w:cs="Arial"/>
                <w:bCs/>
                <w:sz w:val="20"/>
                <w:szCs w:val="20"/>
                <w:highlight w:val="yellow"/>
              </w:rPr>
            </w:pPr>
            <w:r w:rsidRPr="001978E6">
              <w:rPr>
                <w:rFonts w:eastAsia="Calibri" w:cs="Arial"/>
                <w:bCs/>
                <w:sz w:val="20"/>
                <w:szCs w:val="20"/>
              </w:rPr>
              <w:t>391</w:t>
            </w:r>
          </w:p>
        </w:tc>
        <w:tc>
          <w:tcPr>
            <w:tcW w:w="2738" w:type="dxa"/>
            <w:tcBorders>
              <w:top w:val="double" w:sz="4" w:space="0" w:color="auto"/>
              <w:left w:val="nil"/>
              <w:bottom w:val="single" w:sz="4" w:space="0" w:color="auto"/>
              <w:right w:val="single" w:sz="4" w:space="0" w:color="auto"/>
            </w:tcBorders>
            <w:shd w:val="clear" w:color="auto" w:fill="auto"/>
            <w:vAlign w:val="center"/>
          </w:tcPr>
          <w:p w14:paraId="67A7797C" w14:textId="77777777" w:rsidR="00C4104D" w:rsidRPr="001978E6" w:rsidRDefault="00C4104D" w:rsidP="005F2E4B">
            <w:pPr>
              <w:spacing w:line="254" w:lineRule="auto"/>
              <w:jc w:val="center"/>
              <w:rPr>
                <w:rFonts w:eastAsia="Calibri" w:cs="Arial"/>
                <w:bCs/>
                <w:sz w:val="20"/>
                <w:szCs w:val="20"/>
                <w:highlight w:val="yellow"/>
              </w:rPr>
            </w:pPr>
            <w:r w:rsidRPr="001978E6">
              <w:rPr>
                <w:rFonts w:eastAsia="Calibri" w:cs="Arial"/>
                <w:bCs/>
                <w:sz w:val="20"/>
                <w:szCs w:val="20"/>
              </w:rPr>
              <w:t>61</w:t>
            </w:r>
          </w:p>
        </w:tc>
        <w:tc>
          <w:tcPr>
            <w:tcW w:w="2551" w:type="dxa"/>
            <w:tcBorders>
              <w:top w:val="double" w:sz="4" w:space="0" w:color="auto"/>
              <w:left w:val="nil"/>
              <w:bottom w:val="single" w:sz="4" w:space="0" w:color="auto"/>
              <w:right w:val="single" w:sz="12" w:space="0" w:color="auto"/>
            </w:tcBorders>
            <w:shd w:val="clear" w:color="auto" w:fill="auto"/>
            <w:vAlign w:val="center"/>
          </w:tcPr>
          <w:p w14:paraId="1EEC78A5" w14:textId="77777777" w:rsidR="00C4104D" w:rsidRPr="001978E6" w:rsidRDefault="00C4104D" w:rsidP="005F2E4B">
            <w:pPr>
              <w:spacing w:line="254" w:lineRule="auto"/>
              <w:jc w:val="center"/>
              <w:rPr>
                <w:rFonts w:eastAsia="Calibri" w:cs="Arial"/>
                <w:bCs/>
                <w:sz w:val="20"/>
                <w:szCs w:val="20"/>
                <w:highlight w:val="yellow"/>
              </w:rPr>
            </w:pPr>
            <w:r w:rsidRPr="001978E6">
              <w:rPr>
                <w:rFonts w:eastAsia="Calibri" w:cs="Arial"/>
                <w:bCs/>
                <w:sz w:val="20"/>
                <w:szCs w:val="20"/>
              </w:rPr>
              <w:t>330</w:t>
            </w:r>
          </w:p>
        </w:tc>
      </w:tr>
      <w:tr w:rsidR="00C4104D" w:rsidRPr="00094DA0" w14:paraId="67DF3676" w14:textId="77777777" w:rsidTr="00213E93">
        <w:trPr>
          <w:trHeight w:val="315"/>
        </w:trPr>
        <w:tc>
          <w:tcPr>
            <w:tcW w:w="960" w:type="dxa"/>
            <w:vMerge/>
            <w:tcBorders>
              <w:left w:val="single" w:sz="12" w:space="0" w:color="auto"/>
              <w:bottom w:val="single" w:sz="12" w:space="0" w:color="auto"/>
              <w:right w:val="single" w:sz="4" w:space="0" w:color="auto"/>
            </w:tcBorders>
            <w:vAlign w:val="center"/>
          </w:tcPr>
          <w:p w14:paraId="6ABB24D1" w14:textId="77777777" w:rsidR="00C4104D" w:rsidRPr="00270ECD" w:rsidRDefault="00C4104D" w:rsidP="005F2E4B">
            <w:pPr>
              <w:rPr>
                <w:rFonts w:cs="Arial"/>
                <w:b/>
                <w:bCs/>
                <w:color w:val="000000"/>
                <w:sz w:val="20"/>
                <w:szCs w:val="20"/>
              </w:rPr>
            </w:pPr>
          </w:p>
        </w:tc>
        <w:tc>
          <w:tcPr>
            <w:tcW w:w="960" w:type="dxa"/>
            <w:tcBorders>
              <w:top w:val="single" w:sz="4" w:space="0" w:color="auto"/>
              <w:left w:val="nil"/>
              <w:bottom w:val="single" w:sz="12" w:space="0" w:color="auto"/>
              <w:right w:val="single" w:sz="4" w:space="0" w:color="auto"/>
            </w:tcBorders>
            <w:shd w:val="clear" w:color="auto" w:fill="auto"/>
            <w:vAlign w:val="center"/>
          </w:tcPr>
          <w:p w14:paraId="28804F5A" w14:textId="77777777" w:rsidR="00C4104D" w:rsidRPr="001978E6" w:rsidRDefault="00C4104D" w:rsidP="005F2E4B">
            <w:pPr>
              <w:jc w:val="center"/>
              <w:rPr>
                <w:rFonts w:eastAsia="Calibri" w:cs="Arial"/>
                <w:bCs/>
                <w:sz w:val="20"/>
                <w:szCs w:val="20"/>
              </w:rPr>
            </w:pPr>
            <w:r w:rsidRPr="001978E6">
              <w:rPr>
                <w:rFonts w:eastAsia="Calibri" w:cs="Arial"/>
                <w:bCs/>
                <w:sz w:val="20"/>
                <w:szCs w:val="20"/>
              </w:rPr>
              <w:t>2023</w:t>
            </w:r>
          </w:p>
        </w:tc>
        <w:tc>
          <w:tcPr>
            <w:tcW w:w="2020" w:type="dxa"/>
            <w:tcBorders>
              <w:top w:val="single" w:sz="4" w:space="0" w:color="auto"/>
              <w:left w:val="nil"/>
              <w:bottom w:val="single" w:sz="12" w:space="0" w:color="auto"/>
              <w:right w:val="single" w:sz="4" w:space="0" w:color="auto"/>
            </w:tcBorders>
            <w:shd w:val="clear" w:color="auto" w:fill="auto"/>
            <w:vAlign w:val="center"/>
          </w:tcPr>
          <w:p w14:paraId="5D70F8F9" w14:textId="77777777" w:rsidR="00C4104D" w:rsidRPr="001978E6" w:rsidRDefault="00C4104D" w:rsidP="005F2E4B">
            <w:pPr>
              <w:spacing w:line="254" w:lineRule="auto"/>
              <w:jc w:val="center"/>
              <w:rPr>
                <w:rFonts w:eastAsia="Calibri" w:cs="Arial"/>
                <w:bCs/>
                <w:sz w:val="20"/>
                <w:szCs w:val="20"/>
                <w:highlight w:val="yellow"/>
              </w:rPr>
            </w:pPr>
            <w:r w:rsidRPr="001978E6">
              <w:rPr>
                <w:rFonts w:eastAsia="Calibri" w:cs="Arial"/>
                <w:bCs/>
                <w:sz w:val="20"/>
                <w:szCs w:val="20"/>
              </w:rPr>
              <w:t>403</w:t>
            </w:r>
          </w:p>
        </w:tc>
        <w:tc>
          <w:tcPr>
            <w:tcW w:w="2738" w:type="dxa"/>
            <w:tcBorders>
              <w:top w:val="single" w:sz="4" w:space="0" w:color="auto"/>
              <w:left w:val="nil"/>
              <w:bottom w:val="single" w:sz="12" w:space="0" w:color="auto"/>
              <w:right w:val="single" w:sz="4" w:space="0" w:color="auto"/>
            </w:tcBorders>
            <w:shd w:val="clear" w:color="auto" w:fill="auto"/>
            <w:vAlign w:val="center"/>
          </w:tcPr>
          <w:p w14:paraId="520C5B06" w14:textId="77777777" w:rsidR="00C4104D" w:rsidRPr="001978E6" w:rsidRDefault="00C4104D" w:rsidP="005F2E4B">
            <w:pPr>
              <w:spacing w:line="254" w:lineRule="auto"/>
              <w:jc w:val="center"/>
              <w:rPr>
                <w:rFonts w:eastAsia="Calibri" w:cs="Arial"/>
                <w:bCs/>
                <w:sz w:val="20"/>
                <w:szCs w:val="20"/>
                <w:highlight w:val="yellow"/>
              </w:rPr>
            </w:pPr>
            <w:r w:rsidRPr="001978E6">
              <w:rPr>
                <w:rFonts w:eastAsia="Calibri" w:cs="Arial"/>
                <w:bCs/>
                <w:sz w:val="20"/>
                <w:szCs w:val="20"/>
              </w:rPr>
              <w:t>63</w:t>
            </w:r>
          </w:p>
        </w:tc>
        <w:tc>
          <w:tcPr>
            <w:tcW w:w="2551" w:type="dxa"/>
            <w:tcBorders>
              <w:top w:val="single" w:sz="4" w:space="0" w:color="auto"/>
              <w:left w:val="nil"/>
              <w:bottom w:val="single" w:sz="12" w:space="0" w:color="auto"/>
              <w:right w:val="single" w:sz="12" w:space="0" w:color="auto"/>
            </w:tcBorders>
            <w:shd w:val="clear" w:color="auto" w:fill="auto"/>
            <w:vAlign w:val="center"/>
          </w:tcPr>
          <w:p w14:paraId="3F0CC49B" w14:textId="77777777" w:rsidR="00C4104D" w:rsidRPr="001978E6" w:rsidRDefault="00C4104D" w:rsidP="005F2E4B">
            <w:pPr>
              <w:spacing w:line="254" w:lineRule="auto"/>
              <w:jc w:val="center"/>
              <w:rPr>
                <w:rFonts w:eastAsia="Calibri" w:cs="Arial"/>
                <w:bCs/>
                <w:sz w:val="20"/>
                <w:szCs w:val="20"/>
                <w:highlight w:val="yellow"/>
              </w:rPr>
            </w:pPr>
            <w:r w:rsidRPr="001978E6">
              <w:rPr>
                <w:rFonts w:eastAsia="Calibri" w:cs="Arial"/>
                <w:bCs/>
                <w:sz w:val="20"/>
                <w:szCs w:val="20"/>
              </w:rPr>
              <w:t>340</w:t>
            </w:r>
          </w:p>
        </w:tc>
      </w:tr>
      <w:tr w:rsidR="00C4104D" w:rsidRPr="00094DA0" w14:paraId="0B2936B7" w14:textId="77777777" w:rsidTr="005F2E4B">
        <w:trPr>
          <w:trHeight w:val="300"/>
        </w:trPr>
        <w:tc>
          <w:tcPr>
            <w:tcW w:w="960" w:type="dxa"/>
            <w:vMerge w:val="restart"/>
            <w:tcBorders>
              <w:top w:val="single" w:sz="12" w:space="0" w:color="auto"/>
              <w:left w:val="single" w:sz="12" w:space="0" w:color="auto"/>
              <w:bottom w:val="double" w:sz="6" w:space="0" w:color="000000"/>
              <w:right w:val="single" w:sz="4" w:space="0" w:color="auto"/>
            </w:tcBorders>
            <w:shd w:val="clear" w:color="auto" w:fill="auto"/>
            <w:vAlign w:val="center"/>
            <w:hideMark/>
          </w:tcPr>
          <w:p w14:paraId="793949FF" w14:textId="77777777" w:rsidR="00C4104D" w:rsidRPr="00851B90" w:rsidRDefault="00C4104D" w:rsidP="005F2E4B">
            <w:pPr>
              <w:rPr>
                <w:rFonts w:cs="Arial"/>
                <w:b/>
                <w:bCs/>
                <w:color w:val="000000"/>
                <w:sz w:val="20"/>
                <w:szCs w:val="20"/>
              </w:rPr>
            </w:pPr>
            <w:r w:rsidRPr="00851B90">
              <w:rPr>
                <w:rFonts w:cs="Arial"/>
                <w:b/>
                <w:bCs/>
                <w:color w:val="000000"/>
                <w:sz w:val="20"/>
                <w:szCs w:val="20"/>
              </w:rPr>
              <w:t>MSp</w:t>
            </w:r>
          </w:p>
        </w:tc>
        <w:tc>
          <w:tcPr>
            <w:tcW w:w="960" w:type="dxa"/>
            <w:tcBorders>
              <w:top w:val="single" w:sz="12" w:space="0" w:color="auto"/>
              <w:left w:val="nil"/>
              <w:bottom w:val="single" w:sz="4" w:space="0" w:color="auto"/>
              <w:right w:val="single" w:sz="4" w:space="0" w:color="auto"/>
            </w:tcBorders>
            <w:shd w:val="clear" w:color="auto" w:fill="auto"/>
            <w:vAlign w:val="center"/>
            <w:hideMark/>
          </w:tcPr>
          <w:p w14:paraId="25D8A284" w14:textId="77777777" w:rsidR="00C4104D" w:rsidRPr="00851B90" w:rsidRDefault="00C4104D" w:rsidP="005F2E4B">
            <w:pPr>
              <w:jc w:val="center"/>
              <w:rPr>
                <w:rFonts w:cs="Arial"/>
                <w:bCs/>
                <w:sz w:val="20"/>
                <w:szCs w:val="20"/>
              </w:rPr>
            </w:pPr>
            <w:r w:rsidRPr="00851B90">
              <w:rPr>
                <w:rFonts w:cs="Arial"/>
                <w:bCs/>
                <w:sz w:val="20"/>
                <w:szCs w:val="20"/>
              </w:rPr>
              <w:t>2022</w:t>
            </w:r>
          </w:p>
        </w:tc>
        <w:tc>
          <w:tcPr>
            <w:tcW w:w="2020" w:type="dxa"/>
            <w:tcBorders>
              <w:top w:val="single" w:sz="12" w:space="0" w:color="auto"/>
              <w:left w:val="nil"/>
              <w:bottom w:val="single" w:sz="4" w:space="0" w:color="auto"/>
              <w:right w:val="single" w:sz="4" w:space="0" w:color="auto"/>
            </w:tcBorders>
            <w:shd w:val="clear" w:color="auto" w:fill="auto"/>
            <w:vAlign w:val="center"/>
          </w:tcPr>
          <w:p w14:paraId="02DF6492" w14:textId="77777777" w:rsidR="00C4104D" w:rsidRPr="00477E18" w:rsidRDefault="00C4104D" w:rsidP="005F2E4B">
            <w:pPr>
              <w:jc w:val="center"/>
              <w:rPr>
                <w:rFonts w:cs="Arial"/>
                <w:sz w:val="20"/>
                <w:szCs w:val="20"/>
                <w:highlight w:val="yellow"/>
              </w:rPr>
            </w:pPr>
            <w:r>
              <w:rPr>
                <w:rFonts w:eastAsia="Calibri" w:cs="Arial"/>
                <w:bCs/>
                <w:sz w:val="20"/>
                <w:szCs w:val="20"/>
              </w:rPr>
              <w:t>5</w:t>
            </w:r>
          </w:p>
        </w:tc>
        <w:tc>
          <w:tcPr>
            <w:tcW w:w="2738" w:type="dxa"/>
            <w:tcBorders>
              <w:top w:val="single" w:sz="12" w:space="0" w:color="auto"/>
              <w:left w:val="nil"/>
              <w:bottom w:val="single" w:sz="4" w:space="0" w:color="auto"/>
              <w:right w:val="single" w:sz="4" w:space="0" w:color="auto"/>
            </w:tcBorders>
            <w:shd w:val="clear" w:color="auto" w:fill="auto"/>
            <w:vAlign w:val="center"/>
          </w:tcPr>
          <w:p w14:paraId="4F21D482" w14:textId="77777777" w:rsidR="00C4104D" w:rsidRPr="00477E18" w:rsidRDefault="00C4104D" w:rsidP="005F2E4B">
            <w:pPr>
              <w:jc w:val="center"/>
              <w:rPr>
                <w:rFonts w:cs="Arial"/>
                <w:sz w:val="20"/>
                <w:szCs w:val="20"/>
                <w:highlight w:val="yellow"/>
              </w:rPr>
            </w:pPr>
            <w:r>
              <w:rPr>
                <w:rFonts w:eastAsia="Calibri" w:cs="Arial"/>
                <w:bCs/>
                <w:sz w:val="20"/>
                <w:szCs w:val="20"/>
              </w:rPr>
              <w:t>2</w:t>
            </w:r>
          </w:p>
        </w:tc>
        <w:tc>
          <w:tcPr>
            <w:tcW w:w="2551" w:type="dxa"/>
            <w:tcBorders>
              <w:top w:val="single" w:sz="12" w:space="0" w:color="auto"/>
              <w:left w:val="nil"/>
              <w:bottom w:val="single" w:sz="4" w:space="0" w:color="auto"/>
              <w:right w:val="single" w:sz="12" w:space="0" w:color="auto"/>
            </w:tcBorders>
            <w:shd w:val="clear" w:color="auto" w:fill="auto"/>
            <w:vAlign w:val="center"/>
          </w:tcPr>
          <w:p w14:paraId="5FE26428" w14:textId="77777777" w:rsidR="00C4104D" w:rsidRPr="00477E18" w:rsidRDefault="00C4104D" w:rsidP="005F2E4B">
            <w:pPr>
              <w:jc w:val="center"/>
              <w:rPr>
                <w:rFonts w:cs="Arial"/>
                <w:sz w:val="20"/>
                <w:szCs w:val="20"/>
                <w:highlight w:val="yellow"/>
              </w:rPr>
            </w:pPr>
            <w:r>
              <w:rPr>
                <w:rFonts w:eastAsia="Calibri" w:cs="Arial"/>
                <w:bCs/>
                <w:sz w:val="20"/>
                <w:szCs w:val="20"/>
              </w:rPr>
              <w:t>3</w:t>
            </w:r>
          </w:p>
        </w:tc>
      </w:tr>
      <w:tr w:rsidR="00C4104D" w:rsidRPr="00094DA0" w14:paraId="517022D6" w14:textId="77777777" w:rsidTr="005F2E4B">
        <w:trPr>
          <w:trHeight w:val="315"/>
        </w:trPr>
        <w:tc>
          <w:tcPr>
            <w:tcW w:w="960" w:type="dxa"/>
            <w:vMerge/>
            <w:tcBorders>
              <w:top w:val="single" w:sz="8" w:space="0" w:color="auto"/>
              <w:left w:val="single" w:sz="12" w:space="0" w:color="auto"/>
              <w:bottom w:val="double" w:sz="4" w:space="0" w:color="auto"/>
              <w:right w:val="single" w:sz="4" w:space="0" w:color="auto"/>
            </w:tcBorders>
            <w:vAlign w:val="center"/>
            <w:hideMark/>
          </w:tcPr>
          <w:p w14:paraId="4724B856" w14:textId="77777777" w:rsidR="00C4104D" w:rsidRPr="00851B90" w:rsidRDefault="00C4104D" w:rsidP="005F2E4B">
            <w:pPr>
              <w:rPr>
                <w:rFonts w:cs="Arial"/>
                <w:b/>
                <w:bCs/>
                <w:color w:val="000000"/>
                <w:sz w:val="20"/>
                <w:szCs w:val="20"/>
              </w:rPr>
            </w:pPr>
          </w:p>
        </w:tc>
        <w:tc>
          <w:tcPr>
            <w:tcW w:w="960" w:type="dxa"/>
            <w:tcBorders>
              <w:top w:val="nil"/>
              <w:left w:val="nil"/>
              <w:bottom w:val="double" w:sz="4" w:space="0" w:color="auto"/>
              <w:right w:val="single" w:sz="4" w:space="0" w:color="auto"/>
            </w:tcBorders>
            <w:shd w:val="clear" w:color="auto" w:fill="auto"/>
            <w:vAlign w:val="center"/>
            <w:hideMark/>
          </w:tcPr>
          <w:p w14:paraId="66C09B60" w14:textId="77777777" w:rsidR="00C4104D" w:rsidRPr="00851B90" w:rsidRDefault="00C4104D" w:rsidP="005F2E4B">
            <w:pPr>
              <w:jc w:val="center"/>
              <w:rPr>
                <w:rFonts w:cs="Arial"/>
                <w:bCs/>
                <w:sz w:val="20"/>
                <w:szCs w:val="20"/>
              </w:rPr>
            </w:pPr>
            <w:r w:rsidRPr="00851B90">
              <w:rPr>
                <w:rFonts w:cs="Arial"/>
                <w:bCs/>
                <w:sz w:val="20"/>
                <w:szCs w:val="20"/>
              </w:rPr>
              <w:t>2023</w:t>
            </w:r>
          </w:p>
        </w:tc>
        <w:tc>
          <w:tcPr>
            <w:tcW w:w="2020" w:type="dxa"/>
            <w:tcBorders>
              <w:top w:val="nil"/>
              <w:left w:val="nil"/>
              <w:bottom w:val="double" w:sz="4" w:space="0" w:color="auto"/>
              <w:right w:val="single" w:sz="4" w:space="0" w:color="auto"/>
            </w:tcBorders>
            <w:shd w:val="clear" w:color="auto" w:fill="auto"/>
            <w:vAlign w:val="center"/>
          </w:tcPr>
          <w:p w14:paraId="06158D71" w14:textId="77777777" w:rsidR="00C4104D" w:rsidRPr="00477E18" w:rsidRDefault="00C4104D" w:rsidP="005F2E4B">
            <w:pPr>
              <w:spacing w:line="252" w:lineRule="auto"/>
              <w:jc w:val="center"/>
              <w:rPr>
                <w:rFonts w:cs="Arial"/>
                <w:bCs/>
                <w:sz w:val="20"/>
                <w:szCs w:val="20"/>
                <w:highlight w:val="yellow"/>
              </w:rPr>
            </w:pPr>
            <w:r>
              <w:rPr>
                <w:rFonts w:eastAsia="Calibri" w:cs="Arial"/>
                <w:bCs/>
                <w:sz w:val="20"/>
                <w:szCs w:val="20"/>
              </w:rPr>
              <w:t>4</w:t>
            </w:r>
          </w:p>
        </w:tc>
        <w:tc>
          <w:tcPr>
            <w:tcW w:w="2738" w:type="dxa"/>
            <w:tcBorders>
              <w:top w:val="nil"/>
              <w:left w:val="nil"/>
              <w:bottom w:val="double" w:sz="4" w:space="0" w:color="auto"/>
              <w:right w:val="single" w:sz="4" w:space="0" w:color="auto"/>
            </w:tcBorders>
            <w:shd w:val="clear" w:color="auto" w:fill="auto"/>
            <w:vAlign w:val="center"/>
          </w:tcPr>
          <w:p w14:paraId="03DFDA2F" w14:textId="77777777" w:rsidR="00C4104D" w:rsidRPr="00477E18" w:rsidRDefault="00C4104D" w:rsidP="005F2E4B">
            <w:pPr>
              <w:spacing w:line="252" w:lineRule="auto"/>
              <w:jc w:val="center"/>
              <w:rPr>
                <w:rFonts w:cs="Arial"/>
                <w:bCs/>
                <w:sz w:val="20"/>
                <w:szCs w:val="20"/>
                <w:highlight w:val="yellow"/>
              </w:rPr>
            </w:pPr>
            <w:r>
              <w:rPr>
                <w:rFonts w:eastAsia="Calibri" w:cs="Arial"/>
                <w:bCs/>
                <w:sz w:val="20"/>
                <w:szCs w:val="20"/>
              </w:rPr>
              <w:t>3</w:t>
            </w:r>
          </w:p>
        </w:tc>
        <w:tc>
          <w:tcPr>
            <w:tcW w:w="2551" w:type="dxa"/>
            <w:tcBorders>
              <w:top w:val="nil"/>
              <w:left w:val="nil"/>
              <w:bottom w:val="double" w:sz="4" w:space="0" w:color="auto"/>
              <w:right w:val="single" w:sz="12" w:space="0" w:color="auto"/>
            </w:tcBorders>
            <w:shd w:val="clear" w:color="auto" w:fill="auto"/>
            <w:vAlign w:val="center"/>
          </w:tcPr>
          <w:p w14:paraId="3DC1DE0B" w14:textId="77777777" w:rsidR="00C4104D" w:rsidRPr="00477E18" w:rsidRDefault="00C4104D" w:rsidP="005F2E4B">
            <w:pPr>
              <w:spacing w:line="252" w:lineRule="auto"/>
              <w:jc w:val="center"/>
              <w:rPr>
                <w:rFonts w:cs="Arial"/>
                <w:bCs/>
                <w:sz w:val="20"/>
                <w:szCs w:val="20"/>
                <w:highlight w:val="yellow"/>
              </w:rPr>
            </w:pPr>
            <w:r>
              <w:rPr>
                <w:rFonts w:eastAsia="Calibri" w:cs="Arial"/>
                <w:bCs/>
                <w:sz w:val="20"/>
                <w:szCs w:val="20"/>
              </w:rPr>
              <w:t>1</w:t>
            </w:r>
          </w:p>
        </w:tc>
      </w:tr>
      <w:tr w:rsidR="00C4104D" w:rsidRPr="00094DA0" w14:paraId="337493F8" w14:textId="77777777" w:rsidTr="005F2E4B">
        <w:trPr>
          <w:trHeight w:val="315"/>
        </w:trPr>
        <w:tc>
          <w:tcPr>
            <w:tcW w:w="960" w:type="dxa"/>
            <w:vMerge w:val="restart"/>
            <w:tcBorders>
              <w:top w:val="double" w:sz="4" w:space="0" w:color="auto"/>
              <w:left w:val="single" w:sz="12" w:space="0" w:color="auto"/>
              <w:right w:val="single" w:sz="4" w:space="0" w:color="auto"/>
            </w:tcBorders>
            <w:shd w:val="clear" w:color="auto" w:fill="auto"/>
            <w:vAlign w:val="center"/>
          </w:tcPr>
          <w:p w14:paraId="55F55996" w14:textId="77777777" w:rsidR="00C4104D" w:rsidRPr="007827BE" w:rsidRDefault="00C4104D" w:rsidP="005F2E4B">
            <w:pPr>
              <w:rPr>
                <w:rFonts w:cs="Arial"/>
                <w:color w:val="000000"/>
                <w:sz w:val="20"/>
                <w:szCs w:val="20"/>
              </w:rPr>
            </w:pPr>
            <w:r w:rsidRPr="007827BE">
              <w:rPr>
                <w:rFonts w:eastAsia="Calibri" w:cs="Arial"/>
                <w:bCs/>
                <w:sz w:val="20"/>
                <w:szCs w:val="20"/>
              </w:rPr>
              <w:t>IKSP</w:t>
            </w:r>
          </w:p>
        </w:tc>
        <w:tc>
          <w:tcPr>
            <w:tcW w:w="960" w:type="dxa"/>
            <w:tcBorders>
              <w:top w:val="double" w:sz="4" w:space="0" w:color="auto"/>
              <w:left w:val="nil"/>
              <w:bottom w:val="single" w:sz="4" w:space="0" w:color="auto"/>
              <w:right w:val="single" w:sz="4" w:space="0" w:color="auto"/>
            </w:tcBorders>
            <w:shd w:val="clear" w:color="auto" w:fill="auto"/>
            <w:vAlign w:val="center"/>
          </w:tcPr>
          <w:p w14:paraId="407AB445" w14:textId="77777777" w:rsidR="00C4104D" w:rsidRPr="007827BE" w:rsidRDefault="00C4104D" w:rsidP="005F2E4B">
            <w:pPr>
              <w:jc w:val="center"/>
              <w:rPr>
                <w:rFonts w:cs="Arial"/>
                <w:bCs/>
                <w:sz w:val="20"/>
                <w:szCs w:val="20"/>
              </w:rPr>
            </w:pPr>
            <w:r w:rsidRPr="007827BE">
              <w:rPr>
                <w:rFonts w:cs="Arial"/>
                <w:bCs/>
                <w:sz w:val="20"/>
                <w:szCs w:val="20"/>
              </w:rPr>
              <w:t>2022</w:t>
            </w:r>
          </w:p>
        </w:tc>
        <w:tc>
          <w:tcPr>
            <w:tcW w:w="2020" w:type="dxa"/>
            <w:tcBorders>
              <w:top w:val="double" w:sz="4" w:space="0" w:color="auto"/>
              <w:left w:val="nil"/>
              <w:bottom w:val="single" w:sz="4" w:space="0" w:color="auto"/>
              <w:right w:val="single" w:sz="4" w:space="0" w:color="auto"/>
            </w:tcBorders>
            <w:shd w:val="clear" w:color="auto" w:fill="auto"/>
            <w:vAlign w:val="center"/>
          </w:tcPr>
          <w:p w14:paraId="3E62A0AB" w14:textId="77777777" w:rsidR="00C4104D" w:rsidRPr="000B2746" w:rsidRDefault="00C4104D" w:rsidP="005F2E4B">
            <w:pPr>
              <w:jc w:val="center"/>
              <w:rPr>
                <w:rFonts w:cs="Arial"/>
                <w:sz w:val="20"/>
                <w:szCs w:val="20"/>
              </w:rPr>
            </w:pPr>
            <w:r w:rsidRPr="000B2746">
              <w:rPr>
                <w:rFonts w:cs="Arial"/>
                <w:sz w:val="20"/>
                <w:szCs w:val="20"/>
              </w:rPr>
              <w:t>0</w:t>
            </w:r>
          </w:p>
        </w:tc>
        <w:tc>
          <w:tcPr>
            <w:tcW w:w="2738" w:type="dxa"/>
            <w:tcBorders>
              <w:top w:val="double" w:sz="4" w:space="0" w:color="auto"/>
              <w:left w:val="nil"/>
              <w:bottom w:val="single" w:sz="4" w:space="0" w:color="auto"/>
              <w:right w:val="single" w:sz="4" w:space="0" w:color="auto"/>
            </w:tcBorders>
            <w:shd w:val="clear" w:color="auto" w:fill="auto"/>
            <w:vAlign w:val="center"/>
          </w:tcPr>
          <w:p w14:paraId="68BAA5A6" w14:textId="77777777" w:rsidR="00C4104D" w:rsidRPr="000B2746" w:rsidRDefault="00C4104D" w:rsidP="005F2E4B">
            <w:pPr>
              <w:jc w:val="center"/>
              <w:rPr>
                <w:rFonts w:cs="Arial"/>
                <w:sz w:val="20"/>
                <w:szCs w:val="20"/>
              </w:rPr>
            </w:pPr>
            <w:r w:rsidRPr="000B2746">
              <w:rPr>
                <w:rFonts w:cs="Arial"/>
                <w:sz w:val="20"/>
                <w:szCs w:val="20"/>
              </w:rPr>
              <w:t>0</w:t>
            </w:r>
          </w:p>
        </w:tc>
        <w:tc>
          <w:tcPr>
            <w:tcW w:w="2551" w:type="dxa"/>
            <w:tcBorders>
              <w:top w:val="double" w:sz="4" w:space="0" w:color="auto"/>
              <w:left w:val="nil"/>
              <w:bottom w:val="single" w:sz="4" w:space="0" w:color="auto"/>
              <w:right w:val="single" w:sz="12" w:space="0" w:color="auto"/>
            </w:tcBorders>
            <w:shd w:val="clear" w:color="auto" w:fill="auto"/>
            <w:vAlign w:val="center"/>
          </w:tcPr>
          <w:p w14:paraId="5B71AFDD" w14:textId="77777777" w:rsidR="00C4104D" w:rsidRPr="000B2746" w:rsidRDefault="00C4104D" w:rsidP="005F2E4B">
            <w:pPr>
              <w:jc w:val="center"/>
              <w:rPr>
                <w:rFonts w:cs="Arial"/>
                <w:sz w:val="20"/>
                <w:szCs w:val="20"/>
              </w:rPr>
            </w:pPr>
            <w:r w:rsidRPr="000B2746">
              <w:rPr>
                <w:rFonts w:cs="Arial"/>
                <w:sz w:val="20"/>
                <w:szCs w:val="20"/>
              </w:rPr>
              <w:t>0</w:t>
            </w:r>
          </w:p>
        </w:tc>
      </w:tr>
      <w:tr w:rsidR="00C4104D" w:rsidRPr="00094DA0" w14:paraId="666F3098" w14:textId="77777777" w:rsidTr="005F2E4B">
        <w:trPr>
          <w:trHeight w:val="315"/>
        </w:trPr>
        <w:tc>
          <w:tcPr>
            <w:tcW w:w="960" w:type="dxa"/>
            <w:vMerge/>
            <w:tcBorders>
              <w:left w:val="single" w:sz="12" w:space="0" w:color="auto"/>
              <w:bottom w:val="double" w:sz="4" w:space="0" w:color="auto"/>
              <w:right w:val="single" w:sz="4" w:space="0" w:color="auto"/>
            </w:tcBorders>
            <w:shd w:val="clear" w:color="auto" w:fill="auto"/>
            <w:vAlign w:val="center"/>
          </w:tcPr>
          <w:p w14:paraId="1A5D4D0A" w14:textId="77777777" w:rsidR="00C4104D" w:rsidRPr="007827BE" w:rsidRDefault="00C4104D" w:rsidP="005F2E4B">
            <w:pPr>
              <w:rPr>
                <w:rFonts w:cs="Arial"/>
                <w:color w:val="000000"/>
                <w:sz w:val="20"/>
                <w:szCs w:val="20"/>
              </w:rPr>
            </w:pPr>
          </w:p>
        </w:tc>
        <w:tc>
          <w:tcPr>
            <w:tcW w:w="960" w:type="dxa"/>
            <w:tcBorders>
              <w:top w:val="single" w:sz="4" w:space="0" w:color="auto"/>
              <w:left w:val="nil"/>
              <w:bottom w:val="double" w:sz="4" w:space="0" w:color="auto"/>
              <w:right w:val="single" w:sz="4" w:space="0" w:color="auto"/>
            </w:tcBorders>
            <w:shd w:val="clear" w:color="auto" w:fill="auto"/>
            <w:vAlign w:val="center"/>
          </w:tcPr>
          <w:p w14:paraId="0861381A" w14:textId="77777777" w:rsidR="00C4104D" w:rsidRPr="007827BE" w:rsidRDefault="00C4104D" w:rsidP="005F2E4B">
            <w:pPr>
              <w:jc w:val="center"/>
              <w:rPr>
                <w:rFonts w:cs="Arial"/>
                <w:bCs/>
                <w:sz w:val="20"/>
                <w:szCs w:val="20"/>
              </w:rPr>
            </w:pPr>
            <w:r w:rsidRPr="007827BE">
              <w:rPr>
                <w:rFonts w:cs="Arial"/>
                <w:bCs/>
                <w:sz w:val="20"/>
                <w:szCs w:val="20"/>
              </w:rPr>
              <w:t>2023</w:t>
            </w:r>
          </w:p>
        </w:tc>
        <w:tc>
          <w:tcPr>
            <w:tcW w:w="2020" w:type="dxa"/>
            <w:tcBorders>
              <w:top w:val="single" w:sz="4" w:space="0" w:color="auto"/>
              <w:left w:val="nil"/>
              <w:bottom w:val="double" w:sz="4" w:space="0" w:color="auto"/>
              <w:right w:val="single" w:sz="4" w:space="0" w:color="auto"/>
            </w:tcBorders>
            <w:shd w:val="clear" w:color="auto" w:fill="auto"/>
            <w:vAlign w:val="center"/>
          </w:tcPr>
          <w:p w14:paraId="14B1EB28" w14:textId="77777777" w:rsidR="00C4104D" w:rsidRPr="000B2746" w:rsidRDefault="00C4104D" w:rsidP="005F2E4B">
            <w:pPr>
              <w:jc w:val="center"/>
              <w:rPr>
                <w:rFonts w:cs="Arial"/>
                <w:sz w:val="20"/>
                <w:szCs w:val="20"/>
              </w:rPr>
            </w:pPr>
            <w:r w:rsidRPr="000B2746">
              <w:rPr>
                <w:rFonts w:cs="Arial"/>
                <w:sz w:val="20"/>
                <w:szCs w:val="20"/>
              </w:rPr>
              <w:t>0</w:t>
            </w:r>
          </w:p>
        </w:tc>
        <w:tc>
          <w:tcPr>
            <w:tcW w:w="2738" w:type="dxa"/>
            <w:tcBorders>
              <w:top w:val="single" w:sz="4" w:space="0" w:color="auto"/>
              <w:left w:val="nil"/>
              <w:bottom w:val="double" w:sz="4" w:space="0" w:color="auto"/>
              <w:right w:val="single" w:sz="4" w:space="0" w:color="auto"/>
            </w:tcBorders>
            <w:shd w:val="clear" w:color="auto" w:fill="auto"/>
            <w:vAlign w:val="center"/>
          </w:tcPr>
          <w:p w14:paraId="0897095E" w14:textId="77777777" w:rsidR="00C4104D" w:rsidRPr="000B2746" w:rsidRDefault="00C4104D" w:rsidP="005F2E4B">
            <w:pPr>
              <w:jc w:val="center"/>
              <w:rPr>
                <w:rFonts w:cs="Arial"/>
                <w:sz w:val="20"/>
                <w:szCs w:val="20"/>
              </w:rPr>
            </w:pPr>
            <w:r w:rsidRPr="000B2746">
              <w:rPr>
                <w:rFonts w:cs="Arial"/>
                <w:sz w:val="20"/>
                <w:szCs w:val="20"/>
              </w:rPr>
              <w:t>0</w:t>
            </w:r>
          </w:p>
        </w:tc>
        <w:tc>
          <w:tcPr>
            <w:tcW w:w="2551" w:type="dxa"/>
            <w:tcBorders>
              <w:top w:val="single" w:sz="4" w:space="0" w:color="auto"/>
              <w:left w:val="nil"/>
              <w:bottom w:val="double" w:sz="4" w:space="0" w:color="auto"/>
              <w:right w:val="single" w:sz="12" w:space="0" w:color="auto"/>
            </w:tcBorders>
            <w:shd w:val="clear" w:color="auto" w:fill="auto"/>
            <w:vAlign w:val="center"/>
          </w:tcPr>
          <w:p w14:paraId="254F1897" w14:textId="77777777" w:rsidR="00C4104D" w:rsidRPr="000B2746" w:rsidRDefault="00C4104D" w:rsidP="005F2E4B">
            <w:pPr>
              <w:jc w:val="center"/>
              <w:rPr>
                <w:rFonts w:cs="Arial"/>
                <w:sz w:val="20"/>
                <w:szCs w:val="20"/>
              </w:rPr>
            </w:pPr>
            <w:r w:rsidRPr="000B2746">
              <w:rPr>
                <w:rFonts w:cs="Arial"/>
                <w:sz w:val="20"/>
                <w:szCs w:val="20"/>
              </w:rPr>
              <w:t>0</w:t>
            </w:r>
          </w:p>
        </w:tc>
      </w:tr>
      <w:tr w:rsidR="00C4104D" w:rsidRPr="00094DA0" w14:paraId="3E17772D" w14:textId="77777777" w:rsidTr="005F2E4B">
        <w:trPr>
          <w:trHeight w:val="315"/>
        </w:trPr>
        <w:tc>
          <w:tcPr>
            <w:tcW w:w="960" w:type="dxa"/>
            <w:vMerge w:val="restart"/>
            <w:tcBorders>
              <w:top w:val="double" w:sz="4" w:space="0" w:color="auto"/>
              <w:left w:val="single" w:sz="12" w:space="0" w:color="auto"/>
              <w:bottom w:val="double" w:sz="6" w:space="0" w:color="000000"/>
              <w:right w:val="single" w:sz="4" w:space="0" w:color="auto"/>
            </w:tcBorders>
            <w:shd w:val="clear" w:color="auto" w:fill="auto"/>
            <w:vAlign w:val="center"/>
            <w:hideMark/>
          </w:tcPr>
          <w:p w14:paraId="52A82BF5" w14:textId="77777777" w:rsidR="00C4104D" w:rsidRPr="00477E18" w:rsidRDefault="00C4104D" w:rsidP="005F2E4B">
            <w:pPr>
              <w:rPr>
                <w:rFonts w:cs="Arial"/>
                <w:color w:val="000000"/>
                <w:sz w:val="20"/>
                <w:szCs w:val="20"/>
                <w:highlight w:val="yellow"/>
              </w:rPr>
            </w:pPr>
            <w:r w:rsidRPr="00B70E79">
              <w:rPr>
                <w:rFonts w:cs="Arial"/>
                <w:color w:val="000000"/>
                <w:sz w:val="20"/>
                <w:szCs w:val="20"/>
              </w:rPr>
              <w:t>JA</w:t>
            </w:r>
          </w:p>
        </w:tc>
        <w:tc>
          <w:tcPr>
            <w:tcW w:w="960" w:type="dxa"/>
            <w:tcBorders>
              <w:top w:val="double" w:sz="4" w:space="0" w:color="auto"/>
              <w:left w:val="nil"/>
              <w:bottom w:val="single" w:sz="4" w:space="0" w:color="auto"/>
              <w:right w:val="single" w:sz="4" w:space="0" w:color="auto"/>
            </w:tcBorders>
            <w:shd w:val="clear" w:color="auto" w:fill="auto"/>
            <w:vAlign w:val="center"/>
            <w:hideMark/>
          </w:tcPr>
          <w:p w14:paraId="18AB2FB2" w14:textId="77777777" w:rsidR="00C4104D" w:rsidRPr="00B70E79" w:rsidRDefault="00C4104D" w:rsidP="005F2E4B">
            <w:pPr>
              <w:jc w:val="center"/>
              <w:rPr>
                <w:rFonts w:cs="Arial"/>
                <w:bCs/>
                <w:sz w:val="20"/>
                <w:szCs w:val="20"/>
              </w:rPr>
            </w:pPr>
            <w:r w:rsidRPr="00B70E79">
              <w:rPr>
                <w:rFonts w:cs="Arial"/>
                <w:bCs/>
                <w:sz w:val="20"/>
                <w:szCs w:val="20"/>
              </w:rPr>
              <w:t>2022</w:t>
            </w:r>
          </w:p>
        </w:tc>
        <w:tc>
          <w:tcPr>
            <w:tcW w:w="2020" w:type="dxa"/>
            <w:tcBorders>
              <w:top w:val="double" w:sz="4" w:space="0" w:color="auto"/>
              <w:left w:val="nil"/>
              <w:bottom w:val="single" w:sz="4" w:space="0" w:color="auto"/>
              <w:right w:val="single" w:sz="4" w:space="0" w:color="auto"/>
            </w:tcBorders>
            <w:shd w:val="clear" w:color="auto" w:fill="auto"/>
            <w:vAlign w:val="center"/>
          </w:tcPr>
          <w:p w14:paraId="7A518365" w14:textId="77777777" w:rsidR="00C4104D" w:rsidRPr="00B70E79" w:rsidRDefault="00C4104D" w:rsidP="005F2E4B">
            <w:pPr>
              <w:spacing w:line="252" w:lineRule="auto"/>
              <w:jc w:val="center"/>
              <w:rPr>
                <w:rFonts w:cs="Arial"/>
                <w:bCs/>
                <w:sz w:val="20"/>
                <w:szCs w:val="20"/>
              </w:rPr>
            </w:pPr>
            <w:r w:rsidRPr="00B70E79">
              <w:rPr>
                <w:rFonts w:eastAsia="Calibri" w:cs="Arial"/>
                <w:bCs/>
                <w:sz w:val="20"/>
                <w:szCs w:val="20"/>
              </w:rPr>
              <w:t>5</w:t>
            </w:r>
          </w:p>
        </w:tc>
        <w:tc>
          <w:tcPr>
            <w:tcW w:w="2738" w:type="dxa"/>
            <w:tcBorders>
              <w:top w:val="double" w:sz="4" w:space="0" w:color="auto"/>
              <w:left w:val="nil"/>
              <w:bottom w:val="single" w:sz="4" w:space="0" w:color="auto"/>
              <w:right w:val="single" w:sz="4" w:space="0" w:color="auto"/>
            </w:tcBorders>
            <w:shd w:val="clear" w:color="auto" w:fill="auto"/>
            <w:vAlign w:val="center"/>
          </w:tcPr>
          <w:p w14:paraId="242AC1B0" w14:textId="77777777" w:rsidR="00C4104D" w:rsidRPr="00B70E79" w:rsidRDefault="00C4104D" w:rsidP="005F2E4B">
            <w:pPr>
              <w:spacing w:line="252" w:lineRule="auto"/>
              <w:jc w:val="center"/>
              <w:rPr>
                <w:rFonts w:cs="Arial"/>
                <w:bCs/>
                <w:sz w:val="20"/>
                <w:szCs w:val="20"/>
              </w:rPr>
            </w:pPr>
            <w:r w:rsidRPr="00B70E79">
              <w:rPr>
                <w:rFonts w:cs="Arial"/>
                <w:bCs/>
                <w:sz w:val="20"/>
                <w:szCs w:val="20"/>
              </w:rPr>
              <w:t>2</w:t>
            </w:r>
          </w:p>
        </w:tc>
        <w:tc>
          <w:tcPr>
            <w:tcW w:w="2551" w:type="dxa"/>
            <w:tcBorders>
              <w:top w:val="double" w:sz="4" w:space="0" w:color="auto"/>
              <w:left w:val="nil"/>
              <w:bottom w:val="single" w:sz="4" w:space="0" w:color="auto"/>
              <w:right w:val="single" w:sz="12" w:space="0" w:color="auto"/>
            </w:tcBorders>
            <w:shd w:val="clear" w:color="auto" w:fill="auto"/>
            <w:vAlign w:val="center"/>
          </w:tcPr>
          <w:p w14:paraId="17554A7E" w14:textId="77777777" w:rsidR="00C4104D" w:rsidRPr="00477E18" w:rsidRDefault="00C4104D" w:rsidP="005F2E4B">
            <w:pPr>
              <w:spacing w:line="252" w:lineRule="auto"/>
              <w:jc w:val="center"/>
              <w:rPr>
                <w:rFonts w:cs="Arial"/>
                <w:bCs/>
                <w:sz w:val="20"/>
                <w:szCs w:val="20"/>
                <w:highlight w:val="yellow"/>
              </w:rPr>
            </w:pPr>
            <w:r w:rsidRPr="00B70E79">
              <w:rPr>
                <w:rFonts w:eastAsia="Calibri" w:cs="Arial"/>
                <w:bCs/>
                <w:sz w:val="20"/>
                <w:szCs w:val="20"/>
              </w:rPr>
              <w:t>3</w:t>
            </w:r>
          </w:p>
        </w:tc>
      </w:tr>
      <w:tr w:rsidR="00C4104D" w:rsidRPr="00094DA0" w14:paraId="462CED57" w14:textId="77777777" w:rsidTr="005F2E4B">
        <w:trPr>
          <w:trHeight w:val="315"/>
        </w:trPr>
        <w:tc>
          <w:tcPr>
            <w:tcW w:w="960" w:type="dxa"/>
            <w:vMerge/>
            <w:tcBorders>
              <w:top w:val="nil"/>
              <w:left w:val="single" w:sz="12" w:space="0" w:color="auto"/>
              <w:bottom w:val="double" w:sz="6" w:space="0" w:color="000000"/>
              <w:right w:val="single" w:sz="4" w:space="0" w:color="auto"/>
            </w:tcBorders>
            <w:vAlign w:val="center"/>
            <w:hideMark/>
          </w:tcPr>
          <w:p w14:paraId="2543C40E" w14:textId="77777777" w:rsidR="00C4104D" w:rsidRPr="00477E18" w:rsidRDefault="00C4104D" w:rsidP="005F2E4B">
            <w:pPr>
              <w:rPr>
                <w:rFonts w:cs="Arial"/>
                <w:color w:val="000000"/>
                <w:sz w:val="20"/>
                <w:szCs w:val="20"/>
                <w:highlight w:val="yellow"/>
              </w:rPr>
            </w:pPr>
          </w:p>
        </w:tc>
        <w:tc>
          <w:tcPr>
            <w:tcW w:w="960" w:type="dxa"/>
            <w:tcBorders>
              <w:top w:val="nil"/>
              <w:left w:val="nil"/>
              <w:bottom w:val="double" w:sz="6" w:space="0" w:color="auto"/>
              <w:right w:val="single" w:sz="4" w:space="0" w:color="auto"/>
            </w:tcBorders>
            <w:shd w:val="clear" w:color="auto" w:fill="auto"/>
            <w:vAlign w:val="center"/>
            <w:hideMark/>
          </w:tcPr>
          <w:p w14:paraId="33C5043C" w14:textId="77777777" w:rsidR="00C4104D" w:rsidRPr="00B70E79" w:rsidRDefault="00C4104D" w:rsidP="005F2E4B">
            <w:pPr>
              <w:jc w:val="center"/>
              <w:rPr>
                <w:rFonts w:cs="Arial"/>
                <w:bCs/>
                <w:sz w:val="20"/>
                <w:szCs w:val="20"/>
              </w:rPr>
            </w:pPr>
            <w:r w:rsidRPr="00B70E79">
              <w:rPr>
                <w:rFonts w:cs="Arial"/>
                <w:bCs/>
                <w:sz w:val="20"/>
                <w:szCs w:val="20"/>
              </w:rPr>
              <w:t>2023</w:t>
            </w:r>
          </w:p>
        </w:tc>
        <w:tc>
          <w:tcPr>
            <w:tcW w:w="2020" w:type="dxa"/>
            <w:tcBorders>
              <w:top w:val="nil"/>
              <w:left w:val="nil"/>
              <w:bottom w:val="double" w:sz="6" w:space="0" w:color="auto"/>
              <w:right w:val="single" w:sz="4" w:space="0" w:color="auto"/>
            </w:tcBorders>
            <w:shd w:val="clear" w:color="auto" w:fill="auto"/>
            <w:vAlign w:val="center"/>
          </w:tcPr>
          <w:p w14:paraId="28403FA6" w14:textId="77777777" w:rsidR="00C4104D" w:rsidRPr="00B70E79" w:rsidRDefault="00C4104D" w:rsidP="005F2E4B">
            <w:pPr>
              <w:spacing w:line="252" w:lineRule="auto"/>
              <w:jc w:val="center"/>
              <w:rPr>
                <w:rFonts w:cs="Arial"/>
                <w:bCs/>
                <w:sz w:val="20"/>
                <w:szCs w:val="20"/>
              </w:rPr>
            </w:pPr>
            <w:r w:rsidRPr="00B70E79">
              <w:rPr>
                <w:rFonts w:cs="Arial"/>
                <w:bCs/>
                <w:sz w:val="20"/>
                <w:szCs w:val="20"/>
              </w:rPr>
              <w:t>5</w:t>
            </w:r>
          </w:p>
        </w:tc>
        <w:tc>
          <w:tcPr>
            <w:tcW w:w="2738" w:type="dxa"/>
            <w:tcBorders>
              <w:top w:val="nil"/>
              <w:left w:val="nil"/>
              <w:bottom w:val="double" w:sz="6" w:space="0" w:color="auto"/>
              <w:right w:val="single" w:sz="4" w:space="0" w:color="auto"/>
            </w:tcBorders>
            <w:shd w:val="clear" w:color="auto" w:fill="auto"/>
            <w:vAlign w:val="center"/>
          </w:tcPr>
          <w:p w14:paraId="43D69294" w14:textId="77777777" w:rsidR="00C4104D" w:rsidRPr="00B70E79" w:rsidRDefault="00C4104D" w:rsidP="005F2E4B">
            <w:pPr>
              <w:spacing w:line="252" w:lineRule="auto"/>
              <w:jc w:val="center"/>
              <w:rPr>
                <w:rFonts w:cs="Arial"/>
                <w:bCs/>
                <w:sz w:val="20"/>
                <w:szCs w:val="20"/>
              </w:rPr>
            </w:pPr>
            <w:r w:rsidRPr="00B70E79">
              <w:rPr>
                <w:rFonts w:eastAsia="Calibri" w:cs="Arial"/>
                <w:bCs/>
                <w:sz w:val="20"/>
                <w:szCs w:val="20"/>
              </w:rPr>
              <w:t>3</w:t>
            </w:r>
          </w:p>
        </w:tc>
        <w:tc>
          <w:tcPr>
            <w:tcW w:w="2551" w:type="dxa"/>
            <w:tcBorders>
              <w:top w:val="nil"/>
              <w:left w:val="nil"/>
              <w:bottom w:val="double" w:sz="6" w:space="0" w:color="auto"/>
              <w:right w:val="single" w:sz="12" w:space="0" w:color="auto"/>
            </w:tcBorders>
            <w:shd w:val="clear" w:color="auto" w:fill="auto"/>
            <w:vAlign w:val="center"/>
          </w:tcPr>
          <w:p w14:paraId="19C2185A" w14:textId="77777777" w:rsidR="00C4104D" w:rsidRPr="00477E18" w:rsidRDefault="00C4104D" w:rsidP="005F2E4B">
            <w:pPr>
              <w:spacing w:line="252" w:lineRule="auto"/>
              <w:jc w:val="center"/>
              <w:rPr>
                <w:rFonts w:cs="Arial"/>
                <w:bCs/>
                <w:sz w:val="20"/>
                <w:szCs w:val="20"/>
                <w:highlight w:val="yellow"/>
              </w:rPr>
            </w:pPr>
            <w:r w:rsidRPr="00B70E79">
              <w:rPr>
                <w:rFonts w:cs="Arial"/>
                <w:bCs/>
                <w:sz w:val="20"/>
                <w:szCs w:val="20"/>
              </w:rPr>
              <w:t>2</w:t>
            </w:r>
          </w:p>
        </w:tc>
      </w:tr>
      <w:tr w:rsidR="00C4104D" w:rsidRPr="00094DA0" w14:paraId="5E4D3F33" w14:textId="77777777" w:rsidTr="005F2E4B">
        <w:trPr>
          <w:trHeight w:val="315"/>
        </w:trPr>
        <w:tc>
          <w:tcPr>
            <w:tcW w:w="960" w:type="dxa"/>
            <w:vMerge w:val="restart"/>
            <w:tcBorders>
              <w:top w:val="nil"/>
              <w:left w:val="single" w:sz="12" w:space="0" w:color="auto"/>
              <w:bottom w:val="double" w:sz="6" w:space="0" w:color="000000"/>
              <w:right w:val="single" w:sz="4" w:space="0" w:color="auto"/>
            </w:tcBorders>
            <w:shd w:val="clear" w:color="auto" w:fill="auto"/>
            <w:vAlign w:val="center"/>
            <w:hideMark/>
          </w:tcPr>
          <w:p w14:paraId="449A08BC" w14:textId="77777777" w:rsidR="00C4104D" w:rsidRPr="00477E18" w:rsidRDefault="00C4104D" w:rsidP="005F2E4B">
            <w:pPr>
              <w:rPr>
                <w:rFonts w:cs="Arial"/>
                <w:color w:val="000000"/>
                <w:sz w:val="20"/>
                <w:szCs w:val="20"/>
                <w:highlight w:val="yellow"/>
              </w:rPr>
            </w:pPr>
            <w:r w:rsidRPr="006432F0">
              <w:rPr>
                <w:rFonts w:cs="Arial"/>
                <w:color w:val="000000"/>
                <w:sz w:val="20"/>
                <w:szCs w:val="20"/>
              </w:rPr>
              <w:t>PMS</w:t>
            </w:r>
          </w:p>
        </w:tc>
        <w:tc>
          <w:tcPr>
            <w:tcW w:w="960" w:type="dxa"/>
            <w:tcBorders>
              <w:top w:val="nil"/>
              <w:left w:val="nil"/>
              <w:bottom w:val="single" w:sz="4" w:space="0" w:color="auto"/>
              <w:right w:val="single" w:sz="4" w:space="0" w:color="auto"/>
            </w:tcBorders>
            <w:shd w:val="clear" w:color="auto" w:fill="auto"/>
            <w:vAlign w:val="center"/>
            <w:hideMark/>
          </w:tcPr>
          <w:p w14:paraId="644DDDE0" w14:textId="77777777" w:rsidR="00C4104D" w:rsidRPr="006432F0" w:rsidRDefault="00C4104D" w:rsidP="005F2E4B">
            <w:pPr>
              <w:jc w:val="center"/>
              <w:rPr>
                <w:rFonts w:cs="Arial"/>
                <w:bCs/>
                <w:sz w:val="20"/>
                <w:szCs w:val="20"/>
              </w:rPr>
            </w:pPr>
            <w:r w:rsidRPr="006432F0">
              <w:rPr>
                <w:rFonts w:cs="Arial"/>
                <w:bCs/>
                <w:sz w:val="20"/>
                <w:szCs w:val="20"/>
              </w:rPr>
              <w:t>2022</w:t>
            </w:r>
          </w:p>
        </w:tc>
        <w:tc>
          <w:tcPr>
            <w:tcW w:w="2020" w:type="dxa"/>
            <w:tcBorders>
              <w:top w:val="nil"/>
              <w:left w:val="nil"/>
              <w:bottom w:val="single" w:sz="4" w:space="0" w:color="auto"/>
              <w:right w:val="single" w:sz="4" w:space="0" w:color="auto"/>
            </w:tcBorders>
            <w:shd w:val="clear" w:color="auto" w:fill="auto"/>
            <w:vAlign w:val="center"/>
          </w:tcPr>
          <w:p w14:paraId="1A45C274" w14:textId="77777777" w:rsidR="00C4104D" w:rsidRPr="00477E18" w:rsidRDefault="00C4104D" w:rsidP="005F2E4B">
            <w:pPr>
              <w:spacing w:line="252" w:lineRule="auto"/>
              <w:jc w:val="center"/>
              <w:rPr>
                <w:rFonts w:cs="Arial"/>
                <w:bCs/>
                <w:sz w:val="20"/>
                <w:szCs w:val="20"/>
                <w:highlight w:val="yellow"/>
              </w:rPr>
            </w:pPr>
            <w:r>
              <w:rPr>
                <w:rFonts w:eastAsia="Calibri" w:cs="Arial"/>
                <w:bCs/>
                <w:sz w:val="20"/>
                <w:szCs w:val="20"/>
              </w:rPr>
              <w:t>6</w:t>
            </w:r>
          </w:p>
        </w:tc>
        <w:tc>
          <w:tcPr>
            <w:tcW w:w="2738" w:type="dxa"/>
            <w:tcBorders>
              <w:top w:val="nil"/>
              <w:left w:val="nil"/>
              <w:bottom w:val="single" w:sz="4" w:space="0" w:color="auto"/>
              <w:right w:val="single" w:sz="4" w:space="0" w:color="auto"/>
            </w:tcBorders>
            <w:shd w:val="clear" w:color="auto" w:fill="auto"/>
            <w:vAlign w:val="center"/>
          </w:tcPr>
          <w:p w14:paraId="01419B16" w14:textId="77777777" w:rsidR="00C4104D" w:rsidRPr="00477E18" w:rsidRDefault="00C4104D" w:rsidP="005F2E4B">
            <w:pPr>
              <w:spacing w:line="252" w:lineRule="auto"/>
              <w:jc w:val="center"/>
              <w:rPr>
                <w:rFonts w:cs="Arial"/>
                <w:bCs/>
                <w:sz w:val="20"/>
                <w:szCs w:val="20"/>
                <w:highlight w:val="yellow"/>
              </w:rPr>
            </w:pPr>
            <w:r w:rsidRPr="006432F0">
              <w:rPr>
                <w:rFonts w:cs="Arial"/>
                <w:bCs/>
                <w:sz w:val="20"/>
                <w:szCs w:val="20"/>
              </w:rPr>
              <w:t>1</w:t>
            </w:r>
          </w:p>
        </w:tc>
        <w:tc>
          <w:tcPr>
            <w:tcW w:w="2551" w:type="dxa"/>
            <w:tcBorders>
              <w:top w:val="nil"/>
              <w:left w:val="nil"/>
              <w:bottom w:val="single" w:sz="4" w:space="0" w:color="auto"/>
              <w:right w:val="single" w:sz="12" w:space="0" w:color="auto"/>
            </w:tcBorders>
            <w:shd w:val="clear" w:color="auto" w:fill="auto"/>
            <w:vAlign w:val="center"/>
          </w:tcPr>
          <w:p w14:paraId="4CE73E48" w14:textId="77777777" w:rsidR="00C4104D" w:rsidRPr="00477E18" w:rsidRDefault="00C4104D" w:rsidP="005F2E4B">
            <w:pPr>
              <w:spacing w:line="252" w:lineRule="auto"/>
              <w:jc w:val="center"/>
              <w:rPr>
                <w:rFonts w:cs="Arial"/>
                <w:bCs/>
                <w:sz w:val="20"/>
                <w:szCs w:val="20"/>
                <w:highlight w:val="yellow"/>
              </w:rPr>
            </w:pPr>
            <w:r>
              <w:rPr>
                <w:rFonts w:eastAsia="Calibri" w:cs="Arial"/>
                <w:bCs/>
                <w:sz w:val="20"/>
                <w:szCs w:val="20"/>
              </w:rPr>
              <w:t>5</w:t>
            </w:r>
          </w:p>
        </w:tc>
      </w:tr>
      <w:tr w:rsidR="00C4104D" w:rsidRPr="00094DA0" w14:paraId="6E04BA8B" w14:textId="77777777" w:rsidTr="005F2E4B">
        <w:trPr>
          <w:trHeight w:val="315"/>
        </w:trPr>
        <w:tc>
          <w:tcPr>
            <w:tcW w:w="960" w:type="dxa"/>
            <w:vMerge/>
            <w:tcBorders>
              <w:top w:val="nil"/>
              <w:left w:val="single" w:sz="12" w:space="0" w:color="auto"/>
              <w:bottom w:val="double" w:sz="6" w:space="0" w:color="000000"/>
              <w:right w:val="single" w:sz="4" w:space="0" w:color="auto"/>
            </w:tcBorders>
            <w:vAlign w:val="center"/>
            <w:hideMark/>
          </w:tcPr>
          <w:p w14:paraId="547E742C" w14:textId="77777777" w:rsidR="00C4104D" w:rsidRPr="00477E18" w:rsidRDefault="00C4104D" w:rsidP="005F2E4B">
            <w:pPr>
              <w:rPr>
                <w:rFonts w:cs="Arial"/>
                <w:color w:val="000000"/>
                <w:sz w:val="20"/>
                <w:szCs w:val="20"/>
                <w:highlight w:val="yellow"/>
              </w:rPr>
            </w:pPr>
          </w:p>
        </w:tc>
        <w:tc>
          <w:tcPr>
            <w:tcW w:w="960" w:type="dxa"/>
            <w:tcBorders>
              <w:top w:val="nil"/>
              <w:left w:val="nil"/>
              <w:bottom w:val="double" w:sz="6" w:space="0" w:color="auto"/>
              <w:right w:val="single" w:sz="4" w:space="0" w:color="auto"/>
            </w:tcBorders>
            <w:shd w:val="clear" w:color="auto" w:fill="auto"/>
            <w:vAlign w:val="center"/>
            <w:hideMark/>
          </w:tcPr>
          <w:p w14:paraId="123BA45D" w14:textId="77777777" w:rsidR="00C4104D" w:rsidRPr="006432F0" w:rsidRDefault="00C4104D" w:rsidP="005F2E4B">
            <w:pPr>
              <w:jc w:val="center"/>
              <w:rPr>
                <w:rFonts w:cs="Arial"/>
                <w:bCs/>
                <w:sz w:val="20"/>
                <w:szCs w:val="20"/>
              </w:rPr>
            </w:pPr>
            <w:r w:rsidRPr="006432F0">
              <w:rPr>
                <w:rFonts w:cs="Arial"/>
                <w:bCs/>
                <w:sz w:val="20"/>
                <w:szCs w:val="20"/>
              </w:rPr>
              <w:t>2023</w:t>
            </w:r>
          </w:p>
        </w:tc>
        <w:tc>
          <w:tcPr>
            <w:tcW w:w="2020" w:type="dxa"/>
            <w:tcBorders>
              <w:top w:val="nil"/>
              <w:left w:val="nil"/>
              <w:bottom w:val="double" w:sz="6" w:space="0" w:color="auto"/>
              <w:right w:val="single" w:sz="4" w:space="0" w:color="auto"/>
            </w:tcBorders>
            <w:shd w:val="clear" w:color="auto" w:fill="auto"/>
            <w:vAlign w:val="center"/>
          </w:tcPr>
          <w:p w14:paraId="151D383D" w14:textId="77777777" w:rsidR="00C4104D" w:rsidRPr="00477E18" w:rsidRDefault="00C4104D" w:rsidP="005F2E4B">
            <w:pPr>
              <w:jc w:val="center"/>
              <w:rPr>
                <w:rFonts w:cs="Arial"/>
                <w:sz w:val="20"/>
                <w:szCs w:val="20"/>
                <w:highlight w:val="yellow"/>
              </w:rPr>
            </w:pPr>
            <w:r>
              <w:rPr>
                <w:rFonts w:eastAsia="Calibri" w:cs="Arial"/>
                <w:bCs/>
                <w:sz w:val="20"/>
                <w:szCs w:val="20"/>
              </w:rPr>
              <w:t>5,61</w:t>
            </w:r>
          </w:p>
        </w:tc>
        <w:tc>
          <w:tcPr>
            <w:tcW w:w="2738" w:type="dxa"/>
            <w:tcBorders>
              <w:top w:val="nil"/>
              <w:left w:val="nil"/>
              <w:bottom w:val="double" w:sz="6" w:space="0" w:color="auto"/>
              <w:right w:val="single" w:sz="4" w:space="0" w:color="auto"/>
            </w:tcBorders>
            <w:shd w:val="clear" w:color="auto" w:fill="auto"/>
            <w:vAlign w:val="center"/>
          </w:tcPr>
          <w:p w14:paraId="1D033555" w14:textId="77777777" w:rsidR="00C4104D" w:rsidRPr="00477E18" w:rsidRDefault="00C4104D" w:rsidP="005F2E4B">
            <w:pPr>
              <w:jc w:val="center"/>
              <w:rPr>
                <w:rFonts w:cs="Arial"/>
                <w:sz w:val="20"/>
                <w:szCs w:val="20"/>
                <w:highlight w:val="yellow"/>
              </w:rPr>
            </w:pPr>
            <w:r>
              <w:rPr>
                <w:rFonts w:eastAsia="Calibri" w:cs="Arial"/>
                <w:bCs/>
                <w:sz w:val="20"/>
                <w:szCs w:val="20"/>
              </w:rPr>
              <w:t>4,5</w:t>
            </w:r>
          </w:p>
        </w:tc>
        <w:tc>
          <w:tcPr>
            <w:tcW w:w="2551" w:type="dxa"/>
            <w:tcBorders>
              <w:top w:val="nil"/>
              <w:left w:val="nil"/>
              <w:bottom w:val="double" w:sz="6" w:space="0" w:color="auto"/>
              <w:right w:val="single" w:sz="12" w:space="0" w:color="auto"/>
            </w:tcBorders>
            <w:shd w:val="clear" w:color="auto" w:fill="auto"/>
            <w:vAlign w:val="center"/>
          </w:tcPr>
          <w:p w14:paraId="1F21C80F" w14:textId="77777777" w:rsidR="00C4104D" w:rsidRPr="00477E18" w:rsidRDefault="00C4104D" w:rsidP="005F2E4B">
            <w:pPr>
              <w:jc w:val="center"/>
              <w:rPr>
                <w:rFonts w:cs="Arial"/>
                <w:sz w:val="20"/>
                <w:szCs w:val="20"/>
                <w:highlight w:val="yellow"/>
              </w:rPr>
            </w:pPr>
            <w:r>
              <w:rPr>
                <w:rFonts w:eastAsia="Calibri" w:cs="Arial"/>
                <w:bCs/>
                <w:sz w:val="20"/>
                <w:szCs w:val="20"/>
              </w:rPr>
              <w:t>1,11</w:t>
            </w:r>
          </w:p>
        </w:tc>
      </w:tr>
      <w:tr w:rsidR="00C4104D" w:rsidRPr="00094DA0" w14:paraId="657C7A92" w14:textId="77777777" w:rsidTr="005F2E4B">
        <w:trPr>
          <w:trHeight w:val="315"/>
        </w:trPr>
        <w:tc>
          <w:tcPr>
            <w:tcW w:w="960" w:type="dxa"/>
            <w:vMerge w:val="restart"/>
            <w:tcBorders>
              <w:top w:val="nil"/>
              <w:left w:val="single" w:sz="12" w:space="0" w:color="auto"/>
              <w:bottom w:val="double" w:sz="6" w:space="0" w:color="000000"/>
              <w:right w:val="single" w:sz="4" w:space="0" w:color="auto"/>
            </w:tcBorders>
            <w:shd w:val="clear" w:color="auto" w:fill="auto"/>
            <w:vAlign w:val="center"/>
            <w:hideMark/>
          </w:tcPr>
          <w:p w14:paraId="46755132" w14:textId="77777777" w:rsidR="00C4104D" w:rsidRPr="00477E18" w:rsidRDefault="00C4104D" w:rsidP="005F2E4B">
            <w:pPr>
              <w:rPr>
                <w:rFonts w:cs="Arial"/>
                <w:color w:val="000000"/>
                <w:sz w:val="20"/>
                <w:szCs w:val="20"/>
                <w:highlight w:val="yellow"/>
              </w:rPr>
            </w:pPr>
            <w:r w:rsidRPr="00EC38CB">
              <w:rPr>
                <w:rFonts w:cs="Arial"/>
                <w:color w:val="000000"/>
                <w:sz w:val="20"/>
                <w:szCs w:val="20"/>
              </w:rPr>
              <w:t>RT</w:t>
            </w:r>
          </w:p>
        </w:tc>
        <w:tc>
          <w:tcPr>
            <w:tcW w:w="960" w:type="dxa"/>
            <w:tcBorders>
              <w:top w:val="nil"/>
              <w:left w:val="nil"/>
              <w:bottom w:val="single" w:sz="4" w:space="0" w:color="auto"/>
              <w:right w:val="single" w:sz="4" w:space="0" w:color="auto"/>
            </w:tcBorders>
            <w:shd w:val="clear" w:color="auto" w:fill="auto"/>
            <w:vAlign w:val="center"/>
            <w:hideMark/>
          </w:tcPr>
          <w:p w14:paraId="1DB8B7D1" w14:textId="77777777" w:rsidR="00C4104D" w:rsidRPr="00EC38CB" w:rsidRDefault="00C4104D" w:rsidP="005F2E4B">
            <w:pPr>
              <w:jc w:val="center"/>
              <w:rPr>
                <w:rFonts w:cs="Arial"/>
                <w:bCs/>
                <w:sz w:val="20"/>
                <w:szCs w:val="20"/>
              </w:rPr>
            </w:pPr>
            <w:r w:rsidRPr="00EC38CB">
              <w:rPr>
                <w:rFonts w:cs="Arial"/>
                <w:bCs/>
                <w:sz w:val="20"/>
                <w:szCs w:val="20"/>
              </w:rPr>
              <w:t>2022</w:t>
            </w:r>
          </w:p>
        </w:tc>
        <w:tc>
          <w:tcPr>
            <w:tcW w:w="2020" w:type="dxa"/>
            <w:tcBorders>
              <w:top w:val="nil"/>
              <w:left w:val="nil"/>
              <w:bottom w:val="single" w:sz="4" w:space="0" w:color="auto"/>
              <w:right w:val="single" w:sz="4" w:space="0" w:color="auto"/>
            </w:tcBorders>
            <w:shd w:val="clear" w:color="auto" w:fill="auto"/>
            <w:vAlign w:val="center"/>
          </w:tcPr>
          <w:p w14:paraId="52709FCC" w14:textId="77777777" w:rsidR="00C4104D" w:rsidRPr="008C7098" w:rsidRDefault="00C4104D" w:rsidP="005F2E4B">
            <w:pPr>
              <w:jc w:val="center"/>
              <w:rPr>
                <w:rFonts w:cs="Arial"/>
                <w:sz w:val="20"/>
                <w:szCs w:val="20"/>
              </w:rPr>
            </w:pPr>
            <w:r w:rsidRPr="008C7098">
              <w:rPr>
                <w:rFonts w:eastAsia="Calibri" w:cs="Arial"/>
                <w:bCs/>
                <w:sz w:val="20"/>
                <w:szCs w:val="20"/>
              </w:rPr>
              <w:t>2</w:t>
            </w:r>
          </w:p>
        </w:tc>
        <w:tc>
          <w:tcPr>
            <w:tcW w:w="2738" w:type="dxa"/>
            <w:tcBorders>
              <w:top w:val="nil"/>
              <w:left w:val="nil"/>
              <w:bottom w:val="single" w:sz="4" w:space="0" w:color="auto"/>
              <w:right w:val="single" w:sz="4" w:space="0" w:color="auto"/>
            </w:tcBorders>
            <w:shd w:val="clear" w:color="auto" w:fill="auto"/>
            <w:vAlign w:val="center"/>
          </w:tcPr>
          <w:p w14:paraId="45AF2AE7" w14:textId="77777777" w:rsidR="00C4104D" w:rsidRPr="008C7098" w:rsidRDefault="00C4104D" w:rsidP="005F2E4B">
            <w:pPr>
              <w:jc w:val="center"/>
              <w:rPr>
                <w:rFonts w:cs="Arial"/>
                <w:sz w:val="20"/>
                <w:szCs w:val="20"/>
              </w:rPr>
            </w:pPr>
            <w:r w:rsidRPr="008C7098">
              <w:rPr>
                <w:rFonts w:cs="Arial"/>
                <w:sz w:val="20"/>
                <w:szCs w:val="20"/>
              </w:rPr>
              <w:t>0</w:t>
            </w:r>
          </w:p>
        </w:tc>
        <w:tc>
          <w:tcPr>
            <w:tcW w:w="2551" w:type="dxa"/>
            <w:tcBorders>
              <w:top w:val="nil"/>
              <w:left w:val="nil"/>
              <w:bottom w:val="single" w:sz="4" w:space="0" w:color="auto"/>
              <w:right w:val="single" w:sz="12" w:space="0" w:color="auto"/>
            </w:tcBorders>
            <w:shd w:val="clear" w:color="auto" w:fill="auto"/>
            <w:vAlign w:val="center"/>
          </w:tcPr>
          <w:p w14:paraId="6C0DB8EE" w14:textId="77777777" w:rsidR="00C4104D" w:rsidRPr="008C7098" w:rsidRDefault="00C4104D" w:rsidP="005F2E4B">
            <w:pPr>
              <w:jc w:val="center"/>
              <w:rPr>
                <w:rFonts w:cs="Arial"/>
                <w:sz w:val="20"/>
                <w:szCs w:val="20"/>
              </w:rPr>
            </w:pPr>
            <w:r w:rsidRPr="008C7098">
              <w:rPr>
                <w:rFonts w:eastAsia="Calibri" w:cs="Arial"/>
                <w:bCs/>
                <w:sz w:val="20"/>
                <w:szCs w:val="20"/>
              </w:rPr>
              <w:t>2</w:t>
            </w:r>
          </w:p>
        </w:tc>
      </w:tr>
      <w:tr w:rsidR="00C4104D" w:rsidRPr="00094DA0" w14:paraId="7BB5BD79" w14:textId="77777777" w:rsidTr="005F2E4B">
        <w:trPr>
          <w:trHeight w:val="315"/>
        </w:trPr>
        <w:tc>
          <w:tcPr>
            <w:tcW w:w="960" w:type="dxa"/>
            <w:vMerge/>
            <w:tcBorders>
              <w:top w:val="nil"/>
              <w:left w:val="single" w:sz="12" w:space="0" w:color="auto"/>
              <w:bottom w:val="double" w:sz="6" w:space="0" w:color="000000"/>
              <w:right w:val="single" w:sz="4" w:space="0" w:color="auto"/>
            </w:tcBorders>
            <w:vAlign w:val="center"/>
            <w:hideMark/>
          </w:tcPr>
          <w:p w14:paraId="73771378" w14:textId="77777777" w:rsidR="00C4104D" w:rsidRPr="00477E18" w:rsidRDefault="00C4104D" w:rsidP="005F2E4B">
            <w:pPr>
              <w:rPr>
                <w:rFonts w:cs="Arial"/>
                <w:color w:val="000000"/>
                <w:sz w:val="20"/>
                <w:szCs w:val="20"/>
                <w:highlight w:val="yellow"/>
              </w:rPr>
            </w:pPr>
          </w:p>
        </w:tc>
        <w:tc>
          <w:tcPr>
            <w:tcW w:w="960" w:type="dxa"/>
            <w:tcBorders>
              <w:top w:val="nil"/>
              <w:left w:val="nil"/>
              <w:bottom w:val="double" w:sz="6" w:space="0" w:color="auto"/>
              <w:right w:val="single" w:sz="4" w:space="0" w:color="auto"/>
            </w:tcBorders>
            <w:shd w:val="clear" w:color="auto" w:fill="auto"/>
            <w:vAlign w:val="center"/>
            <w:hideMark/>
          </w:tcPr>
          <w:p w14:paraId="3A32DA08" w14:textId="77777777" w:rsidR="00C4104D" w:rsidRPr="00EC38CB" w:rsidRDefault="00C4104D" w:rsidP="005F2E4B">
            <w:pPr>
              <w:jc w:val="center"/>
              <w:rPr>
                <w:rFonts w:cs="Arial"/>
                <w:bCs/>
                <w:sz w:val="20"/>
                <w:szCs w:val="20"/>
              </w:rPr>
            </w:pPr>
            <w:r w:rsidRPr="00EC38CB">
              <w:rPr>
                <w:rFonts w:cs="Arial"/>
                <w:bCs/>
                <w:sz w:val="20"/>
                <w:szCs w:val="20"/>
              </w:rPr>
              <w:t>2023</w:t>
            </w:r>
          </w:p>
        </w:tc>
        <w:tc>
          <w:tcPr>
            <w:tcW w:w="2020" w:type="dxa"/>
            <w:tcBorders>
              <w:top w:val="nil"/>
              <w:left w:val="nil"/>
              <w:bottom w:val="double" w:sz="6" w:space="0" w:color="auto"/>
              <w:right w:val="single" w:sz="4" w:space="0" w:color="auto"/>
            </w:tcBorders>
            <w:shd w:val="clear" w:color="auto" w:fill="auto"/>
            <w:vAlign w:val="center"/>
          </w:tcPr>
          <w:p w14:paraId="4BE32D10" w14:textId="77777777" w:rsidR="00C4104D" w:rsidRPr="008C7098" w:rsidRDefault="00C4104D" w:rsidP="005F2E4B">
            <w:pPr>
              <w:jc w:val="center"/>
              <w:rPr>
                <w:rFonts w:cs="Arial"/>
                <w:sz w:val="20"/>
                <w:szCs w:val="20"/>
              </w:rPr>
            </w:pPr>
            <w:r w:rsidRPr="008C7098">
              <w:rPr>
                <w:rFonts w:eastAsia="Calibri" w:cs="Arial"/>
                <w:bCs/>
                <w:sz w:val="20"/>
                <w:szCs w:val="20"/>
              </w:rPr>
              <w:t>3</w:t>
            </w:r>
          </w:p>
        </w:tc>
        <w:tc>
          <w:tcPr>
            <w:tcW w:w="2738" w:type="dxa"/>
            <w:tcBorders>
              <w:top w:val="nil"/>
              <w:left w:val="nil"/>
              <w:bottom w:val="double" w:sz="6" w:space="0" w:color="auto"/>
              <w:right w:val="single" w:sz="4" w:space="0" w:color="auto"/>
            </w:tcBorders>
            <w:shd w:val="clear" w:color="auto" w:fill="auto"/>
            <w:vAlign w:val="center"/>
          </w:tcPr>
          <w:p w14:paraId="65449594" w14:textId="77777777" w:rsidR="00C4104D" w:rsidRPr="008C7098" w:rsidRDefault="00C4104D" w:rsidP="005F2E4B">
            <w:pPr>
              <w:jc w:val="center"/>
              <w:rPr>
                <w:rFonts w:cs="Arial"/>
                <w:sz w:val="20"/>
                <w:szCs w:val="20"/>
              </w:rPr>
            </w:pPr>
            <w:r w:rsidRPr="008C7098">
              <w:rPr>
                <w:rFonts w:cs="Arial"/>
                <w:sz w:val="20"/>
                <w:szCs w:val="20"/>
              </w:rPr>
              <w:t>0</w:t>
            </w:r>
          </w:p>
        </w:tc>
        <w:tc>
          <w:tcPr>
            <w:tcW w:w="2551" w:type="dxa"/>
            <w:tcBorders>
              <w:top w:val="nil"/>
              <w:left w:val="nil"/>
              <w:bottom w:val="double" w:sz="6" w:space="0" w:color="auto"/>
              <w:right w:val="single" w:sz="12" w:space="0" w:color="auto"/>
            </w:tcBorders>
            <w:shd w:val="clear" w:color="auto" w:fill="auto"/>
            <w:vAlign w:val="center"/>
          </w:tcPr>
          <w:p w14:paraId="132B35A5" w14:textId="77777777" w:rsidR="00C4104D" w:rsidRPr="008C7098" w:rsidRDefault="00C4104D" w:rsidP="005F2E4B">
            <w:pPr>
              <w:jc w:val="center"/>
              <w:rPr>
                <w:rFonts w:cs="Arial"/>
                <w:sz w:val="20"/>
                <w:szCs w:val="20"/>
              </w:rPr>
            </w:pPr>
            <w:r w:rsidRPr="008C7098">
              <w:rPr>
                <w:rFonts w:eastAsia="Calibri" w:cs="Arial"/>
                <w:bCs/>
                <w:sz w:val="20"/>
                <w:szCs w:val="20"/>
              </w:rPr>
              <w:t>3</w:t>
            </w:r>
          </w:p>
        </w:tc>
      </w:tr>
      <w:tr w:rsidR="00C4104D" w:rsidRPr="00094DA0" w14:paraId="69CAB71C" w14:textId="77777777" w:rsidTr="005F2E4B">
        <w:trPr>
          <w:trHeight w:val="315"/>
        </w:trPr>
        <w:tc>
          <w:tcPr>
            <w:tcW w:w="960"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0632D68D" w14:textId="77777777" w:rsidR="00C4104D" w:rsidRPr="000A3B46" w:rsidRDefault="00C4104D" w:rsidP="005F2E4B">
            <w:pPr>
              <w:rPr>
                <w:rFonts w:cs="Arial"/>
                <w:color w:val="000000"/>
                <w:sz w:val="20"/>
                <w:szCs w:val="20"/>
              </w:rPr>
            </w:pPr>
            <w:r w:rsidRPr="000A3B46">
              <w:rPr>
                <w:rFonts w:eastAsia="Calibri" w:cs="Arial"/>
                <w:bCs/>
                <w:sz w:val="20"/>
                <w:szCs w:val="20"/>
              </w:rPr>
              <w:t>VS ČR</w:t>
            </w:r>
          </w:p>
        </w:tc>
        <w:tc>
          <w:tcPr>
            <w:tcW w:w="960" w:type="dxa"/>
            <w:tcBorders>
              <w:top w:val="single" w:sz="4" w:space="0" w:color="auto"/>
              <w:left w:val="nil"/>
              <w:bottom w:val="single" w:sz="4" w:space="0" w:color="auto"/>
              <w:right w:val="single" w:sz="4" w:space="0" w:color="auto"/>
            </w:tcBorders>
            <w:shd w:val="clear" w:color="auto" w:fill="auto"/>
            <w:vAlign w:val="center"/>
          </w:tcPr>
          <w:p w14:paraId="675DA1FB" w14:textId="77777777" w:rsidR="00C4104D" w:rsidRPr="007C6E45" w:rsidRDefault="00C4104D" w:rsidP="005F2E4B">
            <w:pPr>
              <w:jc w:val="center"/>
              <w:rPr>
                <w:rFonts w:cs="Arial"/>
                <w:bCs/>
                <w:sz w:val="20"/>
                <w:szCs w:val="20"/>
              </w:rPr>
            </w:pPr>
            <w:r w:rsidRPr="007C6E45">
              <w:rPr>
                <w:rFonts w:cs="Arial"/>
                <w:bCs/>
                <w:sz w:val="20"/>
                <w:szCs w:val="20"/>
              </w:rPr>
              <w:t>2022</w:t>
            </w:r>
          </w:p>
        </w:tc>
        <w:tc>
          <w:tcPr>
            <w:tcW w:w="2020" w:type="dxa"/>
            <w:tcBorders>
              <w:top w:val="single" w:sz="4" w:space="0" w:color="auto"/>
              <w:left w:val="nil"/>
              <w:bottom w:val="single" w:sz="4" w:space="0" w:color="auto"/>
              <w:right w:val="single" w:sz="4" w:space="0" w:color="auto"/>
            </w:tcBorders>
            <w:shd w:val="clear" w:color="auto" w:fill="auto"/>
            <w:vAlign w:val="center"/>
          </w:tcPr>
          <w:p w14:paraId="0E1C1452" w14:textId="77777777" w:rsidR="00C4104D" w:rsidRPr="007C6E45" w:rsidRDefault="00C4104D" w:rsidP="005F2E4B">
            <w:pPr>
              <w:spacing w:line="252" w:lineRule="auto"/>
              <w:jc w:val="center"/>
              <w:rPr>
                <w:rFonts w:cs="Arial"/>
                <w:bCs/>
                <w:sz w:val="20"/>
                <w:szCs w:val="20"/>
              </w:rPr>
            </w:pPr>
            <w:r w:rsidRPr="007C6E45">
              <w:rPr>
                <w:rFonts w:eastAsia="Calibri" w:cs="Arial"/>
                <w:bCs/>
                <w:sz w:val="20"/>
                <w:szCs w:val="20"/>
              </w:rPr>
              <w:t>88</w:t>
            </w:r>
          </w:p>
        </w:tc>
        <w:tc>
          <w:tcPr>
            <w:tcW w:w="2738" w:type="dxa"/>
            <w:tcBorders>
              <w:top w:val="single" w:sz="4" w:space="0" w:color="auto"/>
              <w:left w:val="nil"/>
              <w:bottom w:val="single" w:sz="4" w:space="0" w:color="auto"/>
              <w:right w:val="single" w:sz="4" w:space="0" w:color="auto"/>
            </w:tcBorders>
            <w:shd w:val="clear" w:color="auto" w:fill="auto"/>
            <w:vAlign w:val="center"/>
          </w:tcPr>
          <w:p w14:paraId="6644441C" w14:textId="77777777" w:rsidR="00C4104D" w:rsidRPr="007C6E45" w:rsidRDefault="00C4104D" w:rsidP="005F2E4B">
            <w:pPr>
              <w:spacing w:line="252" w:lineRule="auto"/>
              <w:jc w:val="center"/>
              <w:rPr>
                <w:rFonts w:cs="Arial"/>
                <w:bCs/>
                <w:sz w:val="20"/>
                <w:szCs w:val="20"/>
              </w:rPr>
            </w:pPr>
            <w:r w:rsidRPr="007C6E45">
              <w:rPr>
                <w:rFonts w:eastAsia="Calibri" w:cs="Arial"/>
                <w:bCs/>
                <w:sz w:val="20"/>
                <w:szCs w:val="20"/>
              </w:rPr>
              <w:t>33</w:t>
            </w:r>
          </w:p>
        </w:tc>
        <w:tc>
          <w:tcPr>
            <w:tcW w:w="2551" w:type="dxa"/>
            <w:tcBorders>
              <w:top w:val="single" w:sz="4" w:space="0" w:color="auto"/>
              <w:left w:val="nil"/>
              <w:bottom w:val="single" w:sz="4" w:space="0" w:color="auto"/>
              <w:right w:val="single" w:sz="12" w:space="0" w:color="auto"/>
            </w:tcBorders>
            <w:shd w:val="clear" w:color="auto" w:fill="auto"/>
            <w:vAlign w:val="center"/>
          </w:tcPr>
          <w:p w14:paraId="63F5DA75" w14:textId="77777777" w:rsidR="00C4104D" w:rsidRPr="00477E18" w:rsidRDefault="00C4104D" w:rsidP="005F2E4B">
            <w:pPr>
              <w:spacing w:line="252" w:lineRule="auto"/>
              <w:jc w:val="center"/>
              <w:rPr>
                <w:rFonts w:cs="Arial"/>
                <w:bCs/>
                <w:sz w:val="20"/>
                <w:szCs w:val="20"/>
                <w:highlight w:val="yellow"/>
              </w:rPr>
            </w:pPr>
            <w:r>
              <w:rPr>
                <w:rFonts w:eastAsia="Calibri" w:cs="Arial"/>
                <w:bCs/>
                <w:sz w:val="20"/>
                <w:szCs w:val="20"/>
              </w:rPr>
              <w:t>55</w:t>
            </w:r>
          </w:p>
        </w:tc>
      </w:tr>
      <w:tr w:rsidR="00C4104D" w:rsidRPr="00094DA0" w14:paraId="60774CA8" w14:textId="77777777" w:rsidTr="005F2E4B">
        <w:trPr>
          <w:trHeight w:val="315"/>
        </w:trPr>
        <w:tc>
          <w:tcPr>
            <w:tcW w:w="960" w:type="dxa"/>
            <w:vMerge/>
            <w:tcBorders>
              <w:top w:val="single" w:sz="4" w:space="0" w:color="auto"/>
              <w:left w:val="single" w:sz="12" w:space="0" w:color="auto"/>
              <w:bottom w:val="single" w:sz="12" w:space="0" w:color="auto"/>
              <w:right w:val="single" w:sz="4" w:space="0" w:color="auto"/>
            </w:tcBorders>
            <w:vAlign w:val="center"/>
          </w:tcPr>
          <w:p w14:paraId="20DF89A3" w14:textId="77777777" w:rsidR="00C4104D" w:rsidRPr="000A3B46" w:rsidRDefault="00C4104D" w:rsidP="005F2E4B">
            <w:pPr>
              <w:rPr>
                <w:rFonts w:cs="Arial"/>
                <w:color w:val="000000"/>
                <w:sz w:val="20"/>
                <w:szCs w:val="20"/>
              </w:rPr>
            </w:pPr>
          </w:p>
        </w:tc>
        <w:tc>
          <w:tcPr>
            <w:tcW w:w="960" w:type="dxa"/>
            <w:tcBorders>
              <w:top w:val="single" w:sz="4" w:space="0" w:color="auto"/>
              <w:left w:val="nil"/>
              <w:bottom w:val="single" w:sz="12" w:space="0" w:color="auto"/>
              <w:right w:val="single" w:sz="4" w:space="0" w:color="auto"/>
            </w:tcBorders>
            <w:shd w:val="clear" w:color="auto" w:fill="auto"/>
            <w:vAlign w:val="center"/>
          </w:tcPr>
          <w:p w14:paraId="3AAFEB3C" w14:textId="77777777" w:rsidR="00C4104D" w:rsidRPr="007C6E45" w:rsidRDefault="00C4104D" w:rsidP="005F2E4B">
            <w:pPr>
              <w:jc w:val="center"/>
              <w:rPr>
                <w:rFonts w:cs="Arial"/>
                <w:bCs/>
                <w:sz w:val="20"/>
                <w:szCs w:val="20"/>
              </w:rPr>
            </w:pPr>
            <w:r w:rsidRPr="007C6E45">
              <w:rPr>
                <w:rFonts w:cs="Arial"/>
                <w:bCs/>
                <w:sz w:val="20"/>
                <w:szCs w:val="20"/>
              </w:rPr>
              <w:t>2023</w:t>
            </w:r>
          </w:p>
        </w:tc>
        <w:tc>
          <w:tcPr>
            <w:tcW w:w="2020" w:type="dxa"/>
            <w:tcBorders>
              <w:top w:val="single" w:sz="4" w:space="0" w:color="auto"/>
              <w:left w:val="nil"/>
              <w:bottom w:val="single" w:sz="12" w:space="0" w:color="auto"/>
              <w:right w:val="single" w:sz="4" w:space="0" w:color="auto"/>
            </w:tcBorders>
            <w:shd w:val="clear" w:color="auto" w:fill="auto"/>
            <w:vAlign w:val="center"/>
          </w:tcPr>
          <w:p w14:paraId="09E03F68" w14:textId="77777777" w:rsidR="00C4104D" w:rsidRPr="007C6E45" w:rsidRDefault="00C4104D" w:rsidP="005F2E4B">
            <w:pPr>
              <w:spacing w:line="252" w:lineRule="auto"/>
              <w:jc w:val="center"/>
              <w:rPr>
                <w:rFonts w:cs="Arial"/>
                <w:bCs/>
                <w:sz w:val="20"/>
                <w:szCs w:val="20"/>
              </w:rPr>
            </w:pPr>
            <w:r w:rsidRPr="007C6E45">
              <w:rPr>
                <w:rFonts w:eastAsia="Calibri" w:cs="Arial"/>
                <w:bCs/>
                <w:sz w:val="20"/>
                <w:szCs w:val="20"/>
              </w:rPr>
              <w:t>90</w:t>
            </w:r>
          </w:p>
        </w:tc>
        <w:tc>
          <w:tcPr>
            <w:tcW w:w="2738" w:type="dxa"/>
            <w:tcBorders>
              <w:top w:val="single" w:sz="4" w:space="0" w:color="auto"/>
              <w:left w:val="nil"/>
              <w:bottom w:val="single" w:sz="12" w:space="0" w:color="auto"/>
              <w:right w:val="single" w:sz="4" w:space="0" w:color="auto"/>
            </w:tcBorders>
            <w:shd w:val="clear" w:color="auto" w:fill="auto"/>
            <w:vAlign w:val="center"/>
          </w:tcPr>
          <w:p w14:paraId="7AED2DC1" w14:textId="77777777" w:rsidR="00C4104D" w:rsidRPr="007C6E45" w:rsidRDefault="00C4104D" w:rsidP="005F2E4B">
            <w:pPr>
              <w:spacing w:line="252" w:lineRule="auto"/>
              <w:jc w:val="center"/>
              <w:rPr>
                <w:rFonts w:cs="Arial"/>
                <w:bCs/>
                <w:sz w:val="20"/>
                <w:szCs w:val="20"/>
              </w:rPr>
            </w:pPr>
            <w:r w:rsidRPr="007C6E45">
              <w:rPr>
                <w:rFonts w:cs="Arial"/>
                <w:bCs/>
                <w:sz w:val="20"/>
                <w:szCs w:val="20"/>
              </w:rPr>
              <w:t>33</w:t>
            </w:r>
          </w:p>
        </w:tc>
        <w:tc>
          <w:tcPr>
            <w:tcW w:w="2551" w:type="dxa"/>
            <w:tcBorders>
              <w:top w:val="single" w:sz="4" w:space="0" w:color="auto"/>
              <w:left w:val="nil"/>
              <w:bottom w:val="single" w:sz="12" w:space="0" w:color="auto"/>
              <w:right w:val="single" w:sz="12" w:space="0" w:color="auto"/>
            </w:tcBorders>
            <w:shd w:val="clear" w:color="auto" w:fill="auto"/>
            <w:vAlign w:val="center"/>
          </w:tcPr>
          <w:p w14:paraId="78012F0F" w14:textId="77777777" w:rsidR="00C4104D" w:rsidRPr="00477E18" w:rsidRDefault="00C4104D" w:rsidP="005F2E4B">
            <w:pPr>
              <w:spacing w:line="252" w:lineRule="auto"/>
              <w:jc w:val="center"/>
              <w:rPr>
                <w:rFonts w:cs="Arial"/>
                <w:bCs/>
                <w:sz w:val="20"/>
                <w:szCs w:val="20"/>
                <w:highlight w:val="yellow"/>
              </w:rPr>
            </w:pPr>
            <w:r>
              <w:rPr>
                <w:rFonts w:eastAsia="Calibri" w:cs="Arial"/>
                <w:bCs/>
                <w:sz w:val="20"/>
                <w:szCs w:val="20"/>
              </w:rPr>
              <w:t>57</w:t>
            </w:r>
          </w:p>
        </w:tc>
      </w:tr>
      <w:tr w:rsidR="00C4104D" w:rsidRPr="00094DA0" w14:paraId="614F011A" w14:textId="77777777" w:rsidTr="005F2E4B">
        <w:trPr>
          <w:trHeight w:val="407"/>
        </w:trPr>
        <w:tc>
          <w:tcPr>
            <w:tcW w:w="960"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BC4ACC2" w14:textId="77777777" w:rsidR="00C4104D" w:rsidRPr="00A7341C" w:rsidRDefault="00C4104D" w:rsidP="005F2E4B">
            <w:pPr>
              <w:rPr>
                <w:rFonts w:cs="Arial"/>
                <w:b/>
                <w:bCs/>
                <w:sz w:val="20"/>
                <w:szCs w:val="20"/>
              </w:rPr>
            </w:pPr>
            <w:r w:rsidRPr="00A7341C">
              <w:rPr>
                <w:rFonts w:cs="Arial"/>
                <w:b/>
                <w:bCs/>
                <w:sz w:val="20"/>
                <w:szCs w:val="20"/>
              </w:rPr>
              <w:t>MŠMT</w:t>
            </w:r>
          </w:p>
        </w:tc>
        <w:tc>
          <w:tcPr>
            <w:tcW w:w="960" w:type="dxa"/>
            <w:tcBorders>
              <w:top w:val="single" w:sz="12" w:space="0" w:color="auto"/>
              <w:left w:val="nil"/>
              <w:bottom w:val="single" w:sz="4" w:space="0" w:color="auto"/>
              <w:right w:val="single" w:sz="4" w:space="0" w:color="auto"/>
            </w:tcBorders>
            <w:shd w:val="clear" w:color="auto" w:fill="auto"/>
            <w:vAlign w:val="center"/>
            <w:hideMark/>
          </w:tcPr>
          <w:p w14:paraId="2324859D" w14:textId="77777777" w:rsidR="00C4104D" w:rsidRPr="00A7341C" w:rsidRDefault="00C4104D" w:rsidP="005F2E4B">
            <w:pPr>
              <w:jc w:val="center"/>
              <w:rPr>
                <w:rFonts w:eastAsia="Calibri" w:cs="Arial"/>
                <w:bCs/>
                <w:sz w:val="20"/>
                <w:szCs w:val="20"/>
              </w:rPr>
            </w:pPr>
            <w:r w:rsidRPr="00A7341C">
              <w:rPr>
                <w:rFonts w:eastAsia="Calibri" w:cs="Arial"/>
                <w:bCs/>
                <w:sz w:val="20"/>
                <w:szCs w:val="20"/>
              </w:rPr>
              <w:t>2022</w:t>
            </w:r>
          </w:p>
        </w:tc>
        <w:tc>
          <w:tcPr>
            <w:tcW w:w="2020" w:type="dxa"/>
            <w:tcBorders>
              <w:top w:val="single" w:sz="12" w:space="0" w:color="auto"/>
              <w:left w:val="nil"/>
              <w:bottom w:val="single" w:sz="4" w:space="0" w:color="auto"/>
              <w:right w:val="single" w:sz="4" w:space="0" w:color="auto"/>
            </w:tcBorders>
            <w:shd w:val="clear" w:color="auto" w:fill="auto"/>
            <w:vAlign w:val="center"/>
          </w:tcPr>
          <w:p w14:paraId="4B26AA88" w14:textId="77777777" w:rsidR="00C4104D" w:rsidRPr="00477E18" w:rsidRDefault="00C4104D" w:rsidP="005F2E4B">
            <w:pPr>
              <w:jc w:val="center"/>
              <w:rPr>
                <w:rFonts w:cs="Arial"/>
                <w:color w:val="000000"/>
                <w:sz w:val="20"/>
                <w:szCs w:val="20"/>
                <w:highlight w:val="yellow"/>
              </w:rPr>
            </w:pPr>
            <w:r w:rsidRPr="00243E72">
              <w:rPr>
                <w:rFonts w:cs="Arial"/>
                <w:color w:val="000000"/>
                <w:sz w:val="20"/>
                <w:szCs w:val="20"/>
              </w:rPr>
              <w:t>16</w:t>
            </w:r>
          </w:p>
        </w:tc>
        <w:tc>
          <w:tcPr>
            <w:tcW w:w="2738" w:type="dxa"/>
            <w:tcBorders>
              <w:top w:val="single" w:sz="12" w:space="0" w:color="auto"/>
              <w:left w:val="nil"/>
              <w:bottom w:val="single" w:sz="4" w:space="0" w:color="auto"/>
              <w:right w:val="single" w:sz="4" w:space="0" w:color="auto"/>
            </w:tcBorders>
            <w:shd w:val="clear" w:color="auto" w:fill="auto"/>
            <w:vAlign w:val="center"/>
          </w:tcPr>
          <w:p w14:paraId="2568FCB9" w14:textId="77777777" w:rsidR="00C4104D" w:rsidRPr="00477E18" w:rsidRDefault="00C4104D" w:rsidP="005F2E4B">
            <w:pPr>
              <w:jc w:val="center"/>
              <w:rPr>
                <w:rFonts w:cs="Arial"/>
                <w:color w:val="000000"/>
                <w:sz w:val="20"/>
                <w:szCs w:val="20"/>
                <w:highlight w:val="yellow"/>
              </w:rPr>
            </w:pPr>
            <w:r w:rsidRPr="006850E8">
              <w:rPr>
                <w:rFonts w:cs="Arial"/>
                <w:color w:val="000000"/>
                <w:sz w:val="20"/>
                <w:szCs w:val="20"/>
              </w:rPr>
              <w:t>5</w:t>
            </w:r>
          </w:p>
        </w:tc>
        <w:tc>
          <w:tcPr>
            <w:tcW w:w="2551" w:type="dxa"/>
            <w:tcBorders>
              <w:top w:val="single" w:sz="12" w:space="0" w:color="auto"/>
              <w:left w:val="nil"/>
              <w:bottom w:val="single" w:sz="4" w:space="0" w:color="auto"/>
              <w:right w:val="single" w:sz="12" w:space="0" w:color="auto"/>
            </w:tcBorders>
            <w:shd w:val="clear" w:color="auto" w:fill="auto"/>
            <w:vAlign w:val="center"/>
          </w:tcPr>
          <w:p w14:paraId="47B40C77" w14:textId="77777777" w:rsidR="00C4104D" w:rsidRPr="00477E18" w:rsidRDefault="00C4104D" w:rsidP="005F2E4B">
            <w:pPr>
              <w:jc w:val="center"/>
              <w:rPr>
                <w:rFonts w:cs="Arial"/>
                <w:color w:val="000000"/>
                <w:sz w:val="20"/>
                <w:szCs w:val="20"/>
                <w:highlight w:val="yellow"/>
              </w:rPr>
            </w:pPr>
            <w:r w:rsidRPr="006850E8">
              <w:rPr>
                <w:rFonts w:cs="Arial"/>
                <w:color w:val="000000"/>
                <w:sz w:val="20"/>
                <w:szCs w:val="20"/>
              </w:rPr>
              <w:t>11</w:t>
            </w:r>
          </w:p>
        </w:tc>
      </w:tr>
      <w:tr w:rsidR="00C4104D" w:rsidRPr="00094DA0" w14:paraId="0C1BE877" w14:textId="77777777" w:rsidTr="005F2E4B">
        <w:trPr>
          <w:trHeight w:val="398"/>
        </w:trPr>
        <w:tc>
          <w:tcPr>
            <w:tcW w:w="960" w:type="dxa"/>
            <w:vMerge/>
            <w:tcBorders>
              <w:top w:val="single" w:sz="8" w:space="0" w:color="auto"/>
              <w:left w:val="single" w:sz="12" w:space="0" w:color="auto"/>
              <w:bottom w:val="single" w:sz="12" w:space="0" w:color="auto"/>
              <w:right w:val="single" w:sz="4" w:space="0" w:color="auto"/>
            </w:tcBorders>
            <w:vAlign w:val="center"/>
            <w:hideMark/>
          </w:tcPr>
          <w:p w14:paraId="2EEA346A" w14:textId="77777777" w:rsidR="00C4104D" w:rsidRPr="00A7341C" w:rsidRDefault="00C4104D" w:rsidP="005F2E4B">
            <w:pPr>
              <w:rPr>
                <w:rFonts w:cs="Arial"/>
                <w:b/>
                <w:bCs/>
                <w:sz w:val="20"/>
                <w:szCs w:val="20"/>
              </w:rPr>
            </w:pPr>
          </w:p>
        </w:tc>
        <w:tc>
          <w:tcPr>
            <w:tcW w:w="960" w:type="dxa"/>
            <w:tcBorders>
              <w:top w:val="nil"/>
              <w:left w:val="nil"/>
              <w:bottom w:val="single" w:sz="12" w:space="0" w:color="auto"/>
              <w:right w:val="single" w:sz="4" w:space="0" w:color="auto"/>
            </w:tcBorders>
            <w:shd w:val="clear" w:color="auto" w:fill="auto"/>
            <w:vAlign w:val="center"/>
            <w:hideMark/>
          </w:tcPr>
          <w:p w14:paraId="69E9848C" w14:textId="77777777" w:rsidR="00C4104D" w:rsidRPr="00A7341C" w:rsidRDefault="00C4104D" w:rsidP="005F2E4B">
            <w:pPr>
              <w:jc w:val="center"/>
              <w:rPr>
                <w:rFonts w:eastAsia="Calibri" w:cs="Arial"/>
                <w:bCs/>
                <w:sz w:val="20"/>
                <w:szCs w:val="20"/>
              </w:rPr>
            </w:pPr>
            <w:r w:rsidRPr="00A7341C">
              <w:rPr>
                <w:rFonts w:eastAsia="Calibri" w:cs="Arial"/>
                <w:bCs/>
                <w:sz w:val="20"/>
                <w:szCs w:val="20"/>
              </w:rPr>
              <w:t>2023</w:t>
            </w:r>
          </w:p>
        </w:tc>
        <w:tc>
          <w:tcPr>
            <w:tcW w:w="2020" w:type="dxa"/>
            <w:tcBorders>
              <w:top w:val="nil"/>
              <w:left w:val="nil"/>
              <w:bottom w:val="single" w:sz="12" w:space="0" w:color="auto"/>
              <w:right w:val="single" w:sz="4" w:space="0" w:color="auto"/>
            </w:tcBorders>
            <w:shd w:val="clear" w:color="auto" w:fill="auto"/>
            <w:vAlign w:val="center"/>
          </w:tcPr>
          <w:p w14:paraId="3E8ED7FC" w14:textId="77777777" w:rsidR="00C4104D" w:rsidRPr="00477E18" w:rsidRDefault="00C4104D" w:rsidP="005F2E4B">
            <w:pPr>
              <w:jc w:val="center"/>
              <w:rPr>
                <w:rFonts w:cs="Arial"/>
                <w:color w:val="000000"/>
                <w:sz w:val="20"/>
                <w:szCs w:val="20"/>
                <w:highlight w:val="yellow"/>
              </w:rPr>
            </w:pPr>
            <w:r w:rsidRPr="006850E8">
              <w:rPr>
                <w:rFonts w:cs="Arial"/>
                <w:color w:val="000000"/>
                <w:sz w:val="20"/>
                <w:szCs w:val="20"/>
              </w:rPr>
              <w:t>13</w:t>
            </w:r>
          </w:p>
        </w:tc>
        <w:tc>
          <w:tcPr>
            <w:tcW w:w="2738" w:type="dxa"/>
            <w:tcBorders>
              <w:top w:val="nil"/>
              <w:left w:val="nil"/>
              <w:bottom w:val="single" w:sz="12" w:space="0" w:color="auto"/>
              <w:right w:val="single" w:sz="4" w:space="0" w:color="auto"/>
            </w:tcBorders>
            <w:shd w:val="clear" w:color="auto" w:fill="auto"/>
            <w:vAlign w:val="center"/>
          </w:tcPr>
          <w:p w14:paraId="0900B252" w14:textId="77777777" w:rsidR="00C4104D" w:rsidRPr="00477E18" w:rsidRDefault="00C4104D" w:rsidP="005F2E4B">
            <w:pPr>
              <w:jc w:val="center"/>
              <w:rPr>
                <w:rFonts w:cs="Arial"/>
                <w:color w:val="000000"/>
                <w:sz w:val="20"/>
                <w:szCs w:val="20"/>
                <w:highlight w:val="yellow"/>
              </w:rPr>
            </w:pPr>
            <w:r w:rsidRPr="006850E8">
              <w:rPr>
                <w:rFonts w:cs="Arial"/>
                <w:color w:val="000000"/>
                <w:sz w:val="20"/>
                <w:szCs w:val="20"/>
              </w:rPr>
              <w:t>4</w:t>
            </w:r>
          </w:p>
        </w:tc>
        <w:tc>
          <w:tcPr>
            <w:tcW w:w="2551" w:type="dxa"/>
            <w:tcBorders>
              <w:top w:val="nil"/>
              <w:left w:val="nil"/>
              <w:bottom w:val="single" w:sz="12" w:space="0" w:color="auto"/>
              <w:right w:val="single" w:sz="12" w:space="0" w:color="auto"/>
            </w:tcBorders>
            <w:shd w:val="clear" w:color="auto" w:fill="auto"/>
            <w:vAlign w:val="center"/>
          </w:tcPr>
          <w:p w14:paraId="7AC5AA1C" w14:textId="77777777" w:rsidR="00C4104D" w:rsidRPr="00477E18" w:rsidRDefault="00C4104D" w:rsidP="005F2E4B">
            <w:pPr>
              <w:jc w:val="center"/>
              <w:rPr>
                <w:rFonts w:cs="Arial"/>
                <w:color w:val="000000"/>
                <w:sz w:val="20"/>
                <w:szCs w:val="20"/>
                <w:highlight w:val="yellow"/>
              </w:rPr>
            </w:pPr>
            <w:r w:rsidRPr="006850E8">
              <w:rPr>
                <w:rFonts w:cs="Arial"/>
                <w:color w:val="000000"/>
                <w:sz w:val="20"/>
                <w:szCs w:val="20"/>
              </w:rPr>
              <w:t>9</w:t>
            </w:r>
          </w:p>
        </w:tc>
      </w:tr>
      <w:tr w:rsidR="00C4104D" w:rsidRPr="00094DA0" w14:paraId="15188D11" w14:textId="77777777" w:rsidTr="005F2E4B">
        <w:trPr>
          <w:trHeight w:val="300"/>
        </w:trPr>
        <w:tc>
          <w:tcPr>
            <w:tcW w:w="960"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14:paraId="25B1CD1D" w14:textId="77777777" w:rsidR="00C4104D" w:rsidRPr="00667DEA" w:rsidRDefault="00C4104D" w:rsidP="005F2E4B">
            <w:pPr>
              <w:rPr>
                <w:rFonts w:cs="Arial"/>
                <w:b/>
                <w:bCs/>
                <w:color w:val="000000"/>
                <w:sz w:val="20"/>
                <w:szCs w:val="20"/>
              </w:rPr>
            </w:pPr>
            <w:r w:rsidRPr="00667DEA">
              <w:rPr>
                <w:rFonts w:cs="Arial"/>
                <w:b/>
                <w:bCs/>
                <w:color w:val="000000"/>
                <w:sz w:val="20"/>
                <w:szCs w:val="20"/>
              </w:rPr>
              <w:t>MV</w:t>
            </w:r>
          </w:p>
        </w:tc>
        <w:tc>
          <w:tcPr>
            <w:tcW w:w="960" w:type="dxa"/>
            <w:tcBorders>
              <w:top w:val="single" w:sz="12" w:space="0" w:color="auto"/>
              <w:left w:val="nil"/>
              <w:bottom w:val="single" w:sz="4" w:space="0" w:color="auto"/>
              <w:right w:val="single" w:sz="4" w:space="0" w:color="auto"/>
            </w:tcBorders>
            <w:shd w:val="clear" w:color="auto" w:fill="auto"/>
            <w:vAlign w:val="center"/>
            <w:hideMark/>
          </w:tcPr>
          <w:p w14:paraId="311687A2" w14:textId="77777777" w:rsidR="00C4104D" w:rsidRPr="00667DEA" w:rsidRDefault="00C4104D" w:rsidP="005F2E4B">
            <w:pPr>
              <w:jc w:val="center"/>
              <w:rPr>
                <w:rFonts w:cs="Arial"/>
                <w:color w:val="000000"/>
                <w:sz w:val="20"/>
                <w:szCs w:val="20"/>
              </w:rPr>
            </w:pPr>
            <w:r w:rsidRPr="00667DEA">
              <w:rPr>
                <w:rFonts w:cs="Arial"/>
                <w:color w:val="000000"/>
                <w:sz w:val="20"/>
                <w:szCs w:val="20"/>
              </w:rPr>
              <w:t>2022</w:t>
            </w:r>
          </w:p>
        </w:tc>
        <w:tc>
          <w:tcPr>
            <w:tcW w:w="2020" w:type="dxa"/>
            <w:tcBorders>
              <w:top w:val="single" w:sz="12" w:space="0" w:color="auto"/>
              <w:left w:val="nil"/>
              <w:bottom w:val="single" w:sz="4" w:space="0" w:color="auto"/>
              <w:right w:val="single" w:sz="4" w:space="0" w:color="auto"/>
            </w:tcBorders>
            <w:shd w:val="clear" w:color="auto" w:fill="auto"/>
            <w:vAlign w:val="center"/>
          </w:tcPr>
          <w:p w14:paraId="485E313C" w14:textId="77777777" w:rsidR="00C4104D" w:rsidRPr="00477E18" w:rsidRDefault="00C4104D" w:rsidP="005F2E4B">
            <w:pPr>
              <w:spacing w:line="254" w:lineRule="auto"/>
              <w:jc w:val="center"/>
              <w:rPr>
                <w:rFonts w:eastAsia="Calibri" w:cs="Arial"/>
                <w:bCs/>
                <w:sz w:val="20"/>
                <w:szCs w:val="20"/>
                <w:highlight w:val="yellow"/>
              </w:rPr>
            </w:pPr>
            <w:r w:rsidRPr="00136A33">
              <w:rPr>
                <w:rFonts w:eastAsia="Calibri" w:cs="Arial"/>
                <w:bCs/>
                <w:sz w:val="20"/>
                <w:szCs w:val="20"/>
              </w:rPr>
              <w:t>46</w:t>
            </w:r>
          </w:p>
        </w:tc>
        <w:tc>
          <w:tcPr>
            <w:tcW w:w="2738" w:type="dxa"/>
            <w:tcBorders>
              <w:top w:val="single" w:sz="12" w:space="0" w:color="auto"/>
              <w:left w:val="nil"/>
              <w:bottom w:val="single" w:sz="4" w:space="0" w:color="auto"/>
              <w:right w:val="single" w:sz="4" w:space="0" w:color="auto"/>
            </w:tcBorders>
            <w:shd w:val="clear" w:color="auto" w:fill="auto"/>
            <w:vAlign w:val="center"/>
          </w:tcPr>
          <w:p w14:paraId="6093AD67" w14:textId="77777777" w:rsidR="00C4104D" w:rsidRPr="00477E18" w:rsidRDefault="00C4104D" w:rsidP="005F2E4B">
            <w:pPr>
              <w:spacing w:line="254" w:lineRule="auto"/>
              <w:jc w:val="center"/>
              <w:rPr>
                <w:rFonts w:eastAsia="Calibri" w:cs="Arial"/>
                <w:bCs/>
                <w:sz w:val="20"/>
                <w:szCs w:val="20"/>
                <w:highlight w:val="yellow"/>
              </w:rPr>
            </w:pPr>
            <w:r w:rsidRPr="00136A33">
              <w:rPr>
                <w:rFonts w:eastAsia="Calibri" w:cs="Arial"/>
                <w:bCs/>
                <w:sz w:val="20"/>
                <w:szCs w:val="20"/>
              </w:rPr>
              <w:t>15</w:t>
            </w:r>
          </w:p>
        </w:tc>
        <w:tc>
          <w:tcPr>
            <w:tcW w:w="2551" w:type="dxa"/>
            <w:tcBorders>
              <w:top w:val="single" w:sz="12" w:space="0" w:color="auto"/>
              <w:left w:val="nil"/>
              <w:bottom w:val="single" w:sz="4" w:space="0" w:color="auto"/>
              <w:right w:val="single" w:sz="12" w:space="0" w:color="auto"/>
            </w:tcBorders>
            <w:shd w:val="clear" w:color="auto" w:fill="auto"/>
            <w:vAlign w:val="center"/>
          </w:tcPr>
          <w:p w14:paraId="1C7023C2" w14:textId="77777777" w:rsidR="00C4104D" w:rsidRPr="00477E18" w:rsidRDefault="00C4104D" w:rsidP="005F2E4B">
            <w:pPr>
              <w:spacing w:line="254" w:lineRule="auto"/>
              <w:jc w:val="center"/>
              <w:rPr>
                <w:rFonts w:eastAsia="Calibri" w:cs="Arial"/>
                <w:bCs/>
                <w:sz w:val="20"/>
                <w:szCs w:val="20"/>
                <w:highlight w:val="yellow"/>
              </w:rPr>
            </w:pPr>
            <w:r w:rsidRPr="00136A33">
              <w:rPr>
                <w:rFonts w:eastAsia="Calibri" w:cs="Arial"/>
                <w:bCs/>
                <w:sz w:val="20"/>
                <w:szCs w:val="20"/>
              </w:rPr>
              <w:t>31</w:t>
            </w:r>
          </w:p>
        </w:tc>
      </w:tr>
      <w:tr w:rsidR="00C4104D" w:rsidRPr="00094DA0" w14:paraId="59EEDD48" w14:textId="77777777" w:rsidTr="005F2E4B">
        <w:trPr>
          <w:trHeight w:val="315"/>
        </w:trPr>
        <w:tc>
          <w:tcPr>
            <w:tcW w:w="960" w:type="dxa"/>
            <w:vMerge/>
            <w:tcBorders>
              <w:top w:val="single" w:sz="8" w:space="0" w:color="auto"/>
              <w:left w:val="single" w:sz="12" w:space="0" w:color="auto"/>
              <w:bottom w:val="double" w:sz="4" w:space="0" w:color="auto"/>
              <w:right w:val="single" w:sz="4" w:space="0" w:color="auto"/>
            </w:tcBorders>
            <w:vAlign w:val="center"/>
            <w:hideMark/>
          </w:tcPr>
          <w:p w14:paraId="69E87281" w14:textId="77777777" w:rsidR="00C4104D" w:rsidRPr="00667DEA" w:rsidRDefault="00C4104D" w:rsidP="005F2E4B">
            <w:pPr>
              <w:rPr>
                <w:rFonts w:cs="Arial"/>
                <w:b/>
                <w:bCs/>
                <w:color w:val="000000"/>
                <w:sz w:val="20"/>
                <w:szCs w:val="20"/>
              </w:rPr>
            </w:pPr>
          </w:p>
        </w:tc>
        <w:tc>
          <w:tcPr>
            <w:tcW w:w="960" w:type="dxa"/>
            <w:tcBorders>
              <w:top w:val="nil"/>
              <w:left w:val="nil"/>
              <w:bottom w:val="double" w:sz="4" w:space="0" w:color="auto"/>
              <w:right w:val="single" w:sz="4" w:space="0" w:color="auto"/>
            </w:tcBorders>
            <w:shd w:val="clear" w:color="auto" w:fill="auto"/>
            <w:vAlign w:val="center"/>
            <w:hideMark/>
          </w:tcPr>
          <w:p w14:paraId="157DBAF3" w14:textId="77777777" w:rsidR="00C4104D" w:rsidRPr="00667DEA" w:rsidRDefault="00C4104D" w:rsidP="005F2E4B">
            <w:pPr>
              <w:jc w:val="center"/>
              <w:rPr>
                <w:rFonts w:cs="Arial"/>
                <w:color w:val="000000"/>
                <w:sz w:val="20"/>
                <w:szCs w:val="20"/>
              </w:rPr>
            </w:pPr>
            <w:r w:rsidRPr="00667DEA">
              <w:rPr>
                <w:rFonts w:cs="Arial"/>
                <w:color w:val="000000"/>
                <w:sz w:val="20"/>
                <w:szCs w:val="20"/>
              </w:rPr>
              <w:t>2023</w:t>
            </w:r>
          </w:p>
        </w:tc>
        <w:tc>
          <w:tcPr>
            <w:tcW w:w="2020" w:type="dxa"/>
            <w:tcBorders>
              <w:top w:val="nil"/>
              <w:left w:val="nil"/>
              <w:bottom w:val="double" w:sz="4" w:space="0" w:color="auto"/>
              <w:right w:val="single" w:sz="4" w:space="0" w:color="auto"/>
            </w:tcBorders>
            <w:shd w:val="clear" w:color="auto" w:fill="auto"/>
            <w:vAlign w:val="center"/>
          </w:tcPr>
          <w:p w14:paraId="1379A7F7" w14:textId="77777777" w:rsidR="00C4104D" w:rsidRPr="00477E18" w:rsidRDefault="00C4104D" w:rsidP="005F2E4B">
            <w:pPr>
              <w:spacing w:line="254" w:lineRule="auto"/>
              <w:jc w:val="center"/>
              <w:rPr>
                <w:rFonts w:eastAsia="Calibri" w:cs="Arial"/>
                <w:bCs/>
                <w:sz w:val="20"/>
                <w:szCs w:val="20"/>
                <w:highlight w:val="yellow"/>
              </w:rPr>
            </w:pPr>
            <w:r w:rsidRPr="00136A33">
              <w:rPr>
                <w:rFonts w:eastAsia="Calibri" w:cs="Arial"/>
                <w:bCs/>
                <w:sz w:val="20"/>
                <w:szCs w:val="20"/>
              </w:rPr>
              <w:t>48</w:t>
            </w:r>
          </w:p>
        </w:tc>
        <w:tc>
          <w:tcPr>
            <w:tcW w:w="2738" w:type="dxa"/>
            <w:tcBorders>
              <w:top w:val="nil"/>
              <w:left w:val="nil"/>
              <w:bottom w:val="double" w:sz="4" w:space="0" w:color="auto"/>
              <w:right w:val="single" w:sz="4" w:space="0" w:color="auto"/>
            </w:tcBorders>
            <w:shd w:val="clear" w:color="auto" w:fill="auto"/>
            <w:vAlign w:val="center"/>
          </w:tcPr>
          <w:p w14:paraId="3D2D5E3C" w14:textId="77777777" w:rsidR="00C4104D" w:rsidRPr="00477E18" w:rsidRDefault="00C4104D" w:rsidP="005F2E4B">
            <w:pPr>
              <w:spacing w:line="254" w:lineRule="auto"/>
              <w:jc w:val="center"/>
              <w:rPr>
                <w:rFonts w:eastAsia="Calibri" w:cs="Arial"/>
                <w:bCs/>
                <w:sz w:val="20"/>
                <w:szCs w:val="20"/>
                <w:highlight w:val="yellow"/>
              </w:rPr>
            </w:pPr>
            <w:r w:rsidRPr="00136A33">
              <w:rPr>
                <w:rFonts w:eastAsia="Calibri" w:cs="Arial"/>
                <w:bCs/>
                <w:sz w:val="20"/>
                <w:szCs w:val="20"/>
              </w:rPr>
              <w:t>14</w:t>
            </w:r>
          </w:p>
        </w:tc>
        <w:tc>
          <w:tcPr>
            <w:tcW w:w="2551" w:type="dxa"/>
            <w:tcBorders>
              <w:top w:val="nil"/>
              <w:left w:val="nil"/>
              <w:bottom w:val="double" w:sz="4" w:space="0" w:color="auto"/>
              <w:right w:val="single" w:sz="12" w:space="0" w:color="auto"/>
            </w:tcBorders>
            <w:shd w:val="clear" w:color="auto" w:fill="auto"/>
            <w:vAlign w:val="center"/>
          </w:tcPr>
          <w:p w14:paraId="108503C9" w14:textId="77777777" w:rsidR="00C4104D" w:rsidRPr="00477E18" w:rsidRDefault="00C4104D" w:rsidP="005F2E4B">
            <w:pPr>
              <w:spacing w:line="254" w:lineRule="auto"/>
              <w:jc w:val="center"/>
              <w:rPr>
                <w:rFonts w:eastAsia="Calibri" w:cs="Arial"/>
                <w:bCs/>
                <w:sz w:val="20"/>
                <w:szCs w:val="20"/>
                <w:highlight w:val="yellow"/>
              </w:rPr>
            </w:pPr>
            <w:r w:rsidRPr="00136A33">
              <w:rPr>
                <w:rFonts w:eastAsia="Calibri" w:cs="Arial"/>
                <w:bCs/>
                <w:sz w:val="20"/>
                <w:szCs w:val="20"/>
              </w:rPr>
              <w:t>34</w:t>
            </w:r>
          </w:p>
        </w:tc>
      </w:tr>
      <w:tr w:rsidR="00C4104D" w:rsidRPr="00094DA0" w14:paraId="36A3AC79" w14:textId="77777777" w:rsidTr="00C4104D">
        <w:trPr>
          <w:trHeight w:val="315"/>
        </w:trPr>
        <w:tc>
          <w:tcPr>
            <w:tcW w:w="960" w:type="dxa"/>
            <w:vMerge w:val="restart"/>
            <w:tcBorders>
              <w:top w:val="double" w:sz="4" w:space="0" w:color="auto"/>
              <w:left w:val="single" w:sz="12" w:space="0" w:color="auto"/>
              <w:right w:val="single" w:sz="4" w:space="0" w:color="auto"/>
            </w:tcBorders>
            <w:vAlign w:val="center"/>
          </w:tcPr>
          <w:p w14:paraId="3BABF3E4" w14:textId="77777777" w:rsidR="00C4104D" w:rsidRPr="007C3122" w:rsidRDefault="00C4104D" w:rsidP="005F2E4B">
            <w:pPr>
              <w:rPr>
                <w:rFonts w:cs="Arial"/>
                <w:bCs/>
                <w:color w:val="000000"/>
                <w:sz w:val="20"/>
                <w:szCs w:val="20"/>
                <w:highlight w:val="yellow"/>
              </w:rPr>
            </w:pPr>
            <w:r w:rsidRPr="007C3122">
              <w:rPr>
                <w:rFonts w:cs="Arial"/>
                <w:bCs/>
                <w:color w:val="000000"/>
                <w:sz w:val="20"/>
                <w:szCs w:val="20"/>
              </w:rPr>
              <w:t>HZS ČR</w:t>
            </w:r>
          </w:p>
        </w:tc>
        <w:tc>
          <w:tcPr>
            <w:tcW w:w="960" w:type="dxa"/>
            <w:tcBorders>
              <w:top w:val="double" w:sz="4" w:space="0" w:color="auto"/>
              <w:left w:val="nil"/>
              <w:bottom w:val="single" w:sz="4" w:space="0" w:color="auto"/>
              <w:right w:val="single" w:sz="4" w:space="0" w:color="auto"/>
            </w:tcBorders>
            <w:shd w:val="clear" w:color="auto" w:fill="auto"/>
            <w:vAlign w:val="center"/>
          </w:tcPr>
          <w:p w14:paraId="4EB83869" w14:textId="77777777" w:rsidR="00C4104D" w:rsidRPr="00477E18" w:rsidRDefault="00C4104D" w:rsidP="005F2E4B">
            <w:pPr>
              <w:jc w:val="center"/>
              <w:rPr>
                <w:rFonts w:cs="Arial"/>
                <w:color w:val="000000"/>
                <w:sz w:val="20"/>
                <w:szCs w:val="20"/>
                <w:highlight w:val="yellow"/>
              </w:rPr>
            </w:pPr>
            <w:r w:rsidRPr="00A7341C">
              <w:rPr>
                <w:rFonts w:eastAsia="Calibri" w:cs="Arial"/>
                <w:bCs/>
                <w:sz w:val="20"/>
                <w:szCs w:val="20"/>
              </w:rPr>
              <w:t>2022</w:t>
            </w:r>
          </w:p>
        </w:tc>
        <w:tc>
          <w:tcPr>
            <w:tcW w:w="2020" w:type="dxa"/>
            <w:tcBorders>
              <w:top w:val="double" w:sz="4" w:space="0" w:color="auto"/>
              <w:left w:val="nil"/>
              <w:bottom w:val="single" w:sz="4" w:space="0" w:color="auto"/>
              <w:right w:val="single" w:sz="4" w:space="0" w:color="auto"/>
            </w:tcBorders>
            <w:shd w:val="clear" w:color="auto" w:fill="auto"/>
            <w:vAlign w:val="center"/>
          </w:tcPr>
          <w:p w14:paraId="0C58F208" w14:textId="77777777" w:rsidR="00C4104D" w:rsidRPr="005C15F2" w:rsidRDefault="00C4104D" w:rsidP="005F2E4B">
            <w:pPr>
              <w:spacing w:line="254" w:lineRule="auto"/>
              <w:jc w:val="center"/>
              <w:rPr>
                <w:rFonts w:eastAsia="Calibri" w:cs="Arial"/>
                <w:bCs/>
                <w:sz w:val="20"/>
                <w:szCs w:val="20"/>
              </w:rPr>
            </w:pPr>
            <w:r w:rsidRPr="005C15F2">
              <w:rPr>
                <w:rFonts w:eastAsia="Calibri" w:cs="Arial"/>
                <w:bCs/>
                <w:sz w:val="20"/>
                <w:szCs w:val="20"/>
              </w:rPr>
              <w:t>9</w:t>
            </w:r>
          </w:p>
        </w:tc>
        <w:tc>
          <w:tcPr>
            <w:tcW w:w="2738" w:type="dxa"/>
            <w:tcBorders>
              <w:top w:val="double" w:sz="4" w:space="0" w:color="auto"/>
              <w:left w:val="nil"/>
              <w:bottom w:val="single" w:sz="4" w:space="0" w:color="auto"/>
              <w:right w:val="single" w:sz="4" w:space="0" w:color="auto"/>
            </w:tcBorders>
            <w:shd w:val="clear" w:color="auto" w:fill="auto"/>
            <w:vAlign w:val="center"/>
          </w:tcPr>
          <w:p w14:paraId="4B49E73C" w14:textId="77777777" w:rsidR="00C4104D" w:rsidRPr="005C15F2" w:rsidRDefault="00C4104D" w:rsidP="005F2E4B">
            <w:pPr>
              <w:spacing w:line="254" w:lineRule="auto"/>
              <w:jc w:val="center"/>
              <w:rPr>
                <w:rFonts w:eastAsia="Calibri" w:cs="Arial"/>
                <w:bCs/>
                <w:sz w:val="20"/>
                <w:szCs w:val="20"/>
              </w:rPr>
            </w:pPr>
            <w:r w:rsidRPr="005C15F2">
              <w:rPr>
                <w:rFonts w:eastAsia="Calibri" w:cs="Arial"/>
                <w:bCs/>
                <w:sz w:val="20"/>
                <w:szCs w:val="20"/>
              </w:rPr>
              <w:t>2</w:t>
            </w:r>
          </w:p>
        </w:tc>
        <w:tc>
          <w:tcPr>
            <w:tcW w:w="2551" w:type="dxa"/>
            <w:tcBorders>
              <w:top w:val="double" w:sz="4" w:space="0" w:color="auto"/>
              <w:left w:val="nil"/>
              <w:bottom w:val="single" w:sz="4" w:space="0" w:color="auto"/>
              <w:right w:val="single" w:sz="12" w:space="0" w:color="auto"/>
            </w:tcBorders>
            <w:shd w:val="clear" w:color="auto" w:fill="auto"/>
            <w:vAlign w:val="center"/>
          </w:tcPr>
          <w:p w14:paraId="6D38C9D4" w14:textId="77777777" w:rsidR="00C4104D" w:rsidRPr="005C15F2" w:rsidRDefault="00C4104D" w:rsidP="005F2E4B">
            <w:pPr>
              <w:spacing w:line="254" w:lineRule="auto"/>
              <w:jc w:val="center"/>
              <w:rPr>
                <w:rFonts w:eastAsia="Calibri" w:cs="Arial"/>
                <w:bCs/>
                <w:sz w:val="20"/>
                <w:szCs w:val="20"/>
              </w:rPr>
            </w:pPr>
            <w:r w:rsidRPr="005C15F2">
              <w:rPr>
                <w:rFonts w:eastAsia="Calibri" w:cs="Arial"/>
                <w:bCs/>
                <w:sz w:val="20"/>
                <w:szCs w:val="20"/>
              </w:rPr>
              <w:t>7</w:t>
            </w:r>
          </w:p>
        </w:tc>
      </w:tr>
      <w:tr w:rsidR="00C4104D" w:rsidRPr="00094DA0" w14:paraId="76D5D034" w14:textId="77777777" w:rsidTr="00C4104D">
        <w:trPr>
          <w:trHeight w:val="315"/>
        </w:trPr>
        <w:tc>
          <w:tcPr>
            <w:tcW w:w="960" w:type="dxa"/>
            <w:vMerge/>
            <w:tcBorders>
              <w:left w:val="single" w:sz="12" w:space="0" w:color="auto"/>
              <w:bottom w:val="double" w:sz="4" w:space="0" w:color="auto"/>
              <w:right w:val="single" w:sz="4" w:space="0" w:color="auto"/>
            </w:tcBorders>
            <w:vAlign w:val="center"/>
          </w:tcPr>
          <w:p w14:paraId="401C6B82" w14:textId="77777777" w:rsidR="00C4104D" w:rsidRPr="00477E18" w:rsidRDefault="00C4104D" w:rsidP="005F2E4B">
            <w:pPr>
              <w:rPr>
                <w:rFonts w:cs="Arial"/>
                <w:b/>
                <w:bCs/>
                <w:color w:val="000000"/>
                <w:sz w:val="20"/>
                <w:szCs w:val="20"/>
                <w:highlight w:val="yellow"/>
              </w:rPr>
            </w:pPr>
          </w:p>
        </w:tc>
        <w:tc>
          <w:tcPr>
            <w:tcW w:w="960" w:type="dxa"/>
            <w:tcBorders>
              <w:top w:val="single" w:sz="4" w:space="0" w:color="auto"/>
              <w:left w:val="nil"/>
              <w:bottom w:val="double" w:sz="4" w:space="0" w:color="auto"/>
              <w:right w:val="single" w:sz="4" w:space="0" w:color="auto"/>
            </w:tcBorders>
            <w:shd w:val="clear" w:color="auto" w:fill="auto"/>
            <w:vAlign w:val="center"/>
          </w:tcPr>
          <w:p w14:paraId="1D5533FE" w14:textId="77777777" w:rsidR="00C4104D" w:rsidRPr="00477E18" w:rsidRDefault="00C4104D" w:rsidP="005F2E4B">
            <w:pPr>
              <w:jc w:val="center"/>
              <w:rPr>
                <w:rFonts w:cs="Arial"/>
                <w:color w:val="000000"/>
                <w:sz w:val="20"/>
                <w:szCs w:val="20"/>
                <w:highlight w:val="yellow"/>
              </w:rPr>
            </w:pPr>
            <w:r w:rsidRPr="00A7341C">
              <w:rPr>
                <w:rFonts w:eastAsia="Calibri" w:cs="Arial"/>
                <w:bCs/>
                <w:sz w:val="20"/>
                <w:szCs w:val="20"/>
              </w:rPr>
              <w:t>2023</w:t>
            </w:r>
          </w:p>
        </w:tc>
        <w:tc>
          <w:tcPr>
            <w:tcW w:w="2020" w:type="dxa"/>
            <w:tcBorders>
              <w:top w:val="single" w:sz="4" w:space="0" w:color="auto"/>
              <w:left w:val="nil"/>
              <w:bottom w:val="double" w:sz="4" w:space="0" w:color="auto"/>
              <w:right w:val="single" w:sz="4" w:space="0" w:color="auto"/>
            </w:tcBorders>
            <w:shd w:val="clear" w:color="auto" w:fill="auto"/>
            <w:vAlign w:val="center"/>
          </w:tcPr>
          <w:p w14:paraId="68B861FA" w14:textId="77777777" w:rsidR="00C4104D" w:rsidRPr="005C15F2" w:rsidRDefault="00C4104D" w:rsidP="005F2E4B">
            <w:pPr>
              <w:spacing w:line="254" w:lineRule="auto"/>
              <w:jc w:val="center"/>
              <w:rPr>
                <w:rFonts w:eastAsia="Calibri" w:cs="Arial"/>
                <w:bCs/>
                <w:sz w:val="20"/>
                <w:szCs w:val="20"/>
              </w:rPr>
            </w:pPr>
            <w:r w:rsidRPr="005C15F2">
              <w:rPr>
                <w:rFonts w:eastAsia="Calibri" w:cs="Arial"/>
                <w:bCs/>
                <w:sz w:val="20"/>
                <w:szCs w:val="20"/>
              </w:rPr>
              <w:t>9</w:t>
            </w:r>
          </w:p>
        </w:tc>
        <w:tc>
          <w:tcPr>
            <w:tcW w:w="2738" w:type="dxa"/>
            <w:tcBorders>
              <w:top w:val="single" w:sz="4" w:space="0" w:color="auto"/>
              <w:left w:val="nil"/>
              <w:bottom w:val="double" w:sz="4" w:space="0" w:color="auto"/>
              <w:right w:val="single" w:sz="4" w:space="0" w:color="auto"/>
            </w:tcBorders>
            <w:shd w:val="clear" w:color="auto" w:fill="auto"/>
            <w:vAlign w:val="center"/>
          </w:tcPr>
          <w:p w14:paraId="04939156" w14:textId="77777777" w:rsidR="00C4104D" w:rsidRPr="005C15F2" w:rsidRDefault="00C4104D" w:rsidP="005F2E4B">
            <w:pPr>
              <w:spacing w:line="254" w:lineRule="auto"/>
              <w:jc w:val="center"/>
              <w:rPr>
                <w:rFonts w:eastAsia="Calibri" w:cs="Arial"/>
                <w:bCs/>
                <w:sz w:val="20"/>
                <w:szCs w:val="20"/>
              </w:rPr>
            </w:pPr>
            <w:r w:rsidRPr="005C15F2">
              <w:rPr>
                <w:rFonts w:eastAsia="Calibri" w:cs="Arial"/>
                <w:bCs/>
                <w:sz w:val="20"/>
                <w:szCs w:val="20"/>
              </w:rPr>
              <w:t>3</w:t>
            </w:r>
          </w:p>
        </w:tc>
        <w:tc>
          <w:tcPr>
            <w:tcW w:w="2551" w:type="dxa"/>
            <w:tcBorders>
              <w:top w:val="single" w:sz="4" w:space="0" w:color="auto"/>
              <w:left w:val="nil"/>
              <w:bottom w:val="double" w:sz="4" w:space="0" w:color="auto"/>
              <w:right w:val="single" w:sz="12" w:space="0" w:color="auto"/>
            </w:tcBorders>
            <w:shd w:val="clear" w:color="auto" w:fill="auto"/>
            <w:vAlign w:val="center"/>
          </w:tcPr>
          <w:p w14:paraId="2C3B37BB" w14:textId="77777777" w:rsidR="00C4104D" w:rsidRPr="005C15F2" w:rsidRDefault="00C4104D" w:rsidP="005F2E4B">
            <w:pPr>
              <w:spacing w:line="254" w:lineRule="auto"/>
              <w:jc w:val="center"/>
              <w:rPr>
                <w:rFonts w:eastAsia="Calibri" w:cs="Arial"/>
                <w:bCs/>
                <w:sz w:val="20"/>
                <w:szCs w:val="20"/>
              </w:rPr>
            </w:pPr>
            <w:r w:rsidRPr="005C15F2">
              <w:rPr>
                <w:rFonts w:eastAsia="Calibri" w:cs="Arial"/>
                <w:bCs/>
                <w:sz w:val="20"/>
                <w:szCs w:val="20"/>
              </w:rPr>
              <w:t>6</w:t>
            </w:r>
          </w:p>
        </w:tc>
      </w:tr>
      <w:tr w:rsidR="00C4104D" w:rsidRPr="00094DA0" w14:paraId="3587472C" w14:textId="77777777" w:rsidTr="005F2E4B">
        <w:trPr>
          <w:trHeight w:val="315"/>
        </w:trPr>
        <w:tc>
          <w:tcPr>
            <w:tcW w:w="960" w:type="dxa"/>
            <w:vMerge w:val="restart"/>
            <w:tcBorders>
              <w:top w:val="double" w:sz="4" w:space="0" w:color="auto"/>
              <w:left w:val="single" w:sz="12" w:space="0" w:color="auto"/>
              <w:right w:val="single" w:sz="4" w:space="0" w:color="auto"/>
            </w:tcBorders>
            <w:vAlign w:val="center"/>
          </w:tcPr>
          <w:p w14:paraId="03A161D7" w14:textId="77777777" w:rsidR="00C4104D" w:rsidRPr="007C3122" w:rsidRDefault="00C4104D" w:rsidP="005F2E4B">
            <w:pPr>
              <w:rPr>
                <w:rFonts w:cs="Arial"/>
                <w:bCs/>
                <w:color w:val="000000"/>
                <w:sz w:val="20"/>
                <w:szCs w:val="20"/>
                <w:highlight w:val="yellow"/>
              </w:rPr>
            </w:pPr>
            <w:r w:rsidRPr="007C3122">
              <w:rPr>
                <w:rFonts w:cs="Arial"/>
                <w:bCs/>
                <w:color w:val="000000"/>
                <w:sz w:val="20"/>
                <w:szCs w:val="20"/>
              </w:rPr>
              <w:t>PČR</w:t>
            </w:r>
          </w:p>
        </w:tc>
        <w:tc>
          <w:tcPr>
            <w:tcW w:w="960" w:type="dxa"/>
            <w:tcBorders>
              <w:top w:val="double" w:sz="4" w:space="0" w:color="auto"/>
              <w:left w:val="nil"/>
              <w:bottom w:val="single" w:sz="12" w:space="0" w:color="auto"/>
              <w:right w:val="single" w:sz="4" w:space="0" w:color="auto"/>
            </w:tcBorders>
            <w:shd w:val="clear" w:color="auto" w:fill="auto"/>
            <w:vAlign w:val="center"/>
          </w:tcPr>
          <w:p w14:paraId="61332DD3" w14:textId="77777777" w:rsidR="00C4104D" w:rsidRPr="00477E18" w:rsidRDefault="00C4104D" w:rsidP="005F2E4B">
            <w:pPr>
              <w:jc w:val="center"/>
              <w:rPr>
                <w:rFonts w:cs="Arial"/>
                <w:color w:val="000000"/>
                <w:sz w:val="20"/>
                <w:szCs w:val="20"/>
                <w:highlight w:val="yellow"/>
              </w:rPr>
            </w:pPr>
            <w:r w:rsidRPr="00A7341C">
              <w:rPr>
                <w:rFonts w:eastAsia="Calibri" w:cs="Arial"/>
                <w:bCs/>
                <w:sz w:val="20"/>
                <w:szCs w:val="20"/>
              </w:rPr>
              <w:t>2022</w:t>
            </w:r>
          </w:p>
        </w:tc>
        <w:tc>
          <w:tcPr>
            <w:tcW w:w="2020" w:type="dxa"/>
            <w:tcBorders>
              <w:top w:val="double" w:sz="4" w:space="0" w:color="auto"/>
              <w:left w:val="nil"/>
              <w:bottom w:val="single" w:sz="12" w:space="0" w:color="auto"/>
              <w:right w:val="single" w:sz="4" w:space="0" w:color="auto"/>
            </w:tcBorders>
            <w:shd w:val="clear" w:color="auto" w:fill="auto"/>
            <w:vAlign w:val="center"/>
          </w:tcPr>
          <w:p w14:paraId="0371E4C1" w14:textId="77777777" w:rsidR="00C4104D" w:rsidRPr="00477E18" w:rsidRDefault="00C4104D" w:rsidP="005F2E4B">
            <w:pPr>
              <w:spacing w:line="254" w:lineRule="auto"/>
              <w:jc w:val="center"/>
              <w:rPr>
                <w:rFonts w:eastAsia="Calibri" w:cs="Arial"/>
                <w:bCs/>
                <w:sz w:val="20"/>
                <w:szCs w:val="20"/>
                <w:highlight w:val="yellow"/>
              </w:rPr>
            </w:pPr>
            <w:r w:rsidRPr="00136A33">
              <w:rPr>
                <w:rFonts w:eastAsia="Calibri" w:cs="Arial"/>
                <w:bCs/>
                <w:sz w:val="20"/>
                <w:szCs w:val="20"/>
              </w:rPr>
              <w:t>48</w:t>
            </w:r>
          </w:p>
        </w:tc>
        <w:tc>
          <w:tcPr>
            <w:tcW w:w="2738" w:type="dxa"/>
            <w:tcBorders>
              <w:top w:val="double" w:sz="4" w:space="0" w:color="auto"/>
              <w:left w:val="nil"/>
              <w:bottom w:val="single" w:sz="12" w:space="0" w:color="auto"/>
              <w:right w:val="single" w:sz="4" w:space="0" w:color="auto"/>
            </w:tcBorders>
            <w:shd w:val="clear" w:color="auto" w:fill="auto"/>
            <w:vAlign w:val="center"/>
          </w:tcPr>
          <w:p w14:paraId="43615F35" w14:textId="77777777" w:rsidR="00C4104D" w:rsidRPr="00477E18" w:rsidRDefault="00C4104D" w:rsidP="005F2E4B">
            <w:pPr>
              <w:spacing w:line="254" w:lineRule="auto"/>
              <w:jc w:val="center"/>
              <w:rPr>
                <w:rFonts w:eastAsia="Calibri" w:cs="Arial"/>
                <w:bCs/>
                <w:sz w:val="20"/>
                <w:szCs w:val="20"/>
                <w:highlight w:val="yellow"/>
              </w:rPr>
            </w:pPr>
            <w:r w:rsidRPr="00136A33">
              <w:rPr>
                <w:rFonts w:eastAsia="Calibri" w:cs="Arial"/>
                <w:bCs/>
                <w:sz w:val="20"/>
                <w:szCs w:val="20"/>
              </w:rPr>
              <w:t>23</w:t>
            </w:r>
          </w:p>
        </w:tc>
        <w:tc>
          <w:tcPr>
            <w:tcW w:w="2551" w:type="dxa"/>
            <w:tcBorders>
              <w:top w:val="double" w:sz="4" w:space="0" w:color="auto"/>
              <w:left w:val="nil"/>
              <w:bottom w:val="single" w:sz="12" w:space="0" w:color="auto"/>
              <w:right w:val="single" w:sz="12" w:space="0" w:color="auto"/>
            </w:tcBorders>
            <w:shd w:val="clear" w:color="auto" w:fill="auto"/>
            <w:vAlign w:val="center"/>
          </w:tcPr>
          <w:p w14:paraId="098E5CB5" w14:textId="77777777" w:rsidR="00C4104D" w:rsidRPr="00477E18" w:rsidRDefault="00C4104D" w:rsidP="005F2E4B">
            <w:pPr>
              <w:spacing w:line="254" w:lineRule="auto"/>
              <w:jc w:val="center"/>
              <w:rPr>
                <w:rFonts w:eastAsia="Calibri" w:cs="Arial"/>
                <w:bCs/>
                <w:sz w:val="20"/>
                <w:szCs w:val="20"/>
                <w:highlight w:val="yellow"/>
              </w:rPr>
            </w:pPr>
            <w:r w:rsidRPr="00136A33">
              <w:rPr>
                <w:rFonts w:eastAsia="Calibri" w:cs="Arial"/>
                <w:bCs/>
                <w:sz w:val="20"/>
                <w:szCs w:val="20"/>
              </w:rPr>
              <w:t>25</w:t>
            </w:r>
          </w:p>
        </w:tc>
      </w:tr>
      <w:tr w:rsidR="00C4104D" w:rsidRPr="00094DA0" w14:paraId="1DA6B562" w14:textId="77777777" w:rsidTr="00502073">
        <w:trPr>
          <w:trHeight w:val="315"/>
        </w:trPr>
        <w:tc>
          <w:tcPr>
            <w:tcW w:w="960" w:type="dxa"/>
            <w:vMerge/>
            <w:tcBorders>
              <w:left w:val="single" w:sz="12" w:space="0" w:color="auto"/>
              <w:bottom w:val="single" w:sz="12" w:space="0" w:color="auto"/>
              <w:right w:val="single" w:sz="4" w:space="0" w:color="auto"/>
            </w:tcBorders>
            <w:vAlign w:val="center"/>
          </w:tcPr>
          <w:p w14:paraId="21C23E66" w14:textId="77777777" w:rsidR="00C4104D" w:rsidRPr="00477E18" w:rsidRDefault="00C4104D" w:rsidP="005F2E4B">
            <w:pPr>
              <w:rPr>
                <w:rFonts w:cs="Arial"/>
                <w:b/>
                <w:bCs/>
                <w:color w:val="000000"/>
                <w:sz w:val="20"/>
                <w:szCs w:val="20"/>
                <w:highlight w:val="yellow"/>
              </w:rPr>
            </w:pPr>
          </w:p>
        </w:tc>
        <w:tc>
          <w:tcPr>
            <w:tcW w:w="960" w:type="dxa"/>
            <w:tcBorders>
              <w:top w:val="single" w:sz="4" w:space="0" w:color="auto"/>
              <w:left w:val="nil"/>
              <w:bottom w:val="single" w:sz="12" w:space="0" w:color="auto"/>
              <w:right w:val="single" w:sz="4" w:space="0" w:color="auto"/>
            </w:tcBorders>
            <w:shd w:val="clear" w:color="auto" w:fill="auto"/>
            <w:vAlign w:val="center"/>
          </w:tcPr>
          <w:p w14:paraId="33E0999C" w14:textId="77777777" w:rsidR="00C4104D" w:rsidRPr="00477E18" w:rsidRDefault="00C4104D" w:rsidP="005F2E4B">
            <w:pPr>
              <w:jc w:val="center"/>
              <w:rPr>
                <w:rFonts w:cs="Arial"/>
                <w:color w:val="000000"/>
                <w:sz w:val="20"/>
                <w:szCs w:val="20"/>
                <w:highlight w:val="yellow"/>
              </w:rPr>
            </w:pPr>
            <w:r w:rsidRPr="00A7341C">
              <w:rPr>
                <w:rFonts w:eastAsia="Calibri" w:cs="Arial"/>
                <w:bCs/>
                <w:sz w:val="20"/>
                <w:szCs w:val="20"/>
              </w:rPr>
              <w:t>2023</w:t>
            </w:r>
          </w:p>
        </w:tc>
        <w:tc>
          <w:tcPr>
            <w:tcW w:w="2020" w:type="dxa"/>
            <w:tcBorders>
              <w:top w:val="single" w:sz="4" w:space="0" w:color="auto"/>
              <w:left w:val="nil"/>
              <w:bottom w:val="single" w:sz="12" w:space="0" w:color="auto"/>
              <w:right w:val="single" w:sz="4" w:space="0" w:color="auto"/>
            </w:tcBorders>
            <w:shd w:val="clear" w:color="auto" w:fill="auto"/>
            <w:vAlign w:val="center"/>
          </w:tcPr>
          <w:p w14:paraId="4A71C53F" w14:textId="77777777" w:rsidR="00C4104D" w:rsidRPr="00477E18" w:rsidRDefault="00C4104D" w:rsidP="005F2E4B">
            <w:pPr>
              <w:spacing w:line="254" w:lineRule="auto"/>
              <w:jc w:val="center"/>
              <w:rPr>
                <w:rFonts w:eastAsia="Calibri" w:cs="Arial"/>
                <w:bCs/>
                <w:sz w:val="20"/>
                <w:szCs w:val="20"/>
                <w:highlight w:val="yellow"/>
              </w:rPr>
            </w:pPr>
            <w:r w:rsidRPr="00136A33">
              <w:rPr>
                <w:rFonts w:eastAsia="Calibri" w:cs="Arial"/>
                <w:bCs/>
                <w:sz w:val="20"/>
                <w:szCs w:val="20"/>
              </w:rPr>
              <w:t>28</w:t>
            </w:r>
          </w:p>
        </w:tc>
        <w:tc>
          <w:tcPr>
            <w:tcW w:w="2738" w:type="dxa"/>
            <w:tcBorders>
              <w:top w:val="single" w:sz="4" w:space="0" w:color="auto"/>
              <w:left w:val="nil"/>
              <w:bottom w:val="single" w:sz="12" w:space="0" w:color="auto"/>
              <w:right w:val="single" w:sz="4" w:space="0" w:color="auto"/>
            </w:tcBorders>
            <w:shd w:val="clear" w:color="auto" w:fill="auto"/>
            <w:vAlign w:val="center"/>
          </w:tcPr>
          <w:p w14:paraId="09A8D7FC" w14:textId="77777777" w:rsidR="00C4104D" w:rsidRPr="00477E18" w:rsidRDefault="00C4104D" w:rsidP="005F2E4B">
            <w:pPr>
              <w:spacing w:line="254" w:lineRule="auto"/>
              <w:jc w:val="center"/>
              <w:rPr>
                <w:rFonts w:eastAsia="Calibri" w:cs="Arial"/>
                <w:bCs/>
                <w:sz w:val="20"/>
                <w:szCs w:val="20"/>
                <w:highlight w:val="yellow"/>
              </w:rPr>
            </w:pPr>
            <w:r w:rsidRPr="00136A33">
              <w:rPr>
                <w:rFonts w:eastAsia="Calibri" w:cs="Arial"/>
                <w:bCs/>
                <w:sz w:val="20"/>
                <w:szCs w:val="20"/>
              </w:rPr>
              <w:t>10</w:t>
            </w:r>
          </w:p>
        </w:tc>
        <w:tc>
          <w:tcPr>
            <w:tcW w:w="2551" w:type="dxa"/>
            <w:tcBorders>
              <w:top w:val="single" w:sz="4" w:space="0" w:color="auto"/>
              <w:left w:val="nil"/>
              <w:bottom w:val="single" w:sz="12" w:space="0" w:color="auto"/>
              <w:right w:val="single" w:sz="12" w:space="0" w:color="auto"/>
            </w:tcBorders>
            <w:shd w:val="clear" w:color="auto" w:fill="auto"/>
            <w:vAlign w:val="center"/>
          </w:tcPr>
          <w:p w14:paraId="2D7286B6" w14:textId="77777777" w:rsidR="00C4104D" w:rsidRPr="00477E18" w:rsidRDefault="00C4104D" w:rsidP="005F2E4B">
            <w:pPr>
              <w:spacing w:line="254" w:lineRule="auto"/>
              <w:jc w:val="center"/>
              <w:rPr>
                <w:rFonts w:eastAsia="Calibri" w:cs="Arial"/>
                <w:bCs/>
                <w:sz w:val="20"/>
                <w:szCs w:val="20"/>
                <w:highlight w:val="yellow"/>
              </w:rPr>
            </w:pPr>
            <w:r w:rsidRPr="00136A33">
              <w:rPr>
                <w:rFonts w:eastAsia="Calibri" w:cs="Arial"/>
                <w:bCs/>
                <w:sz w:val="20"/>
                <w:szCs w:val="20"/>
              </w:rPr>
              <w:t>18</w:t>
            </w:r>
          </w:p>
        </w:tc>
      </w:tr>
      <w:tr w:rsidR="00C4104D" w:rsidRPr="00094DA0" w14:paraId="22270283" w14:textId="77777777" w:rsidTr="005F2E4B">
        <w:trPr>
          <w:trHeight w:val="300"/>
        </w:trPr>
        <w:tc>
          <w:tcPr>
            <w:tcW w:w="960"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14:paraId="1F892C19" w14:textId="77777777" w:rsidR="00C4104D" w:rsidRPr="000D07B3" w:rsidRDefault="00C4104D" w:rsidP="005F2E4B">
            <w:pPr>
              <w:rPr>
                <w:rFonts w:cs="Arial"/>
                <w:b/>
                <w:bCs/>
                <w:color w:val="000000"/>
                <w:sz w:val="20"/>
                <w:szCs w:val="20"/>
              </w:rPr>
            </w:pPr>
            <w:r w:rsidRPr="000D07B3">
              <w:rPr>
                <w:rFonts w:cs="Arial"/>
                <w:b/>
                <w:bCs/>
                <w:color w:val="000000"/>
                <w:sz w:val="20"/>
                <w:szCs w:val="20"/>
              </w:rPr>
              <w:t>MZ</w:t>
            </w:r>
          </w:p>
        </w:tc>
        <w:tc>
          <w:tcPr>
            <w:tcW w:w="960" w:type="dxa"/>
            <w:tcBorders>
              <w:top w:val="single" w:sz="12" w:space="0" w:color="auto"/>
              <w:left w:val="nil"/>
              <w:bottom w:val="single" w:sz="4" w:space="0" w:color="auto"/>
              <w:right w:val="single" w:sz="4" w:space="0" w:color="auto"/>
            </w:tcBorders>
            <w:shd w:val="clear" w:color="auto" w:fill="auto"/>
            <w:vAlign w:val="center"/>
            <w:hideMark/>
          </w:tcPr>
          <w:p w14:paraId="6C6D7719" w14:textId="77777777" w:rsidR="00C4104D" w:rsidRPr="00C54AFD" w:rsidRDefault="00C4104D" w:rsidP="005F2E4B">
            <w:pPr>
              <w:tabs>
                <w:tab w:val="left" w:pos="720"/>
              </w:tabs>
              <w:jc w:val="center"/>
              <w:rPr>
                <w:rFonts w:eastAsia="Calibri" w:cs="Arial"/>
                <w:bCs/>
                <w:sz w:val="20"/>
                <w:szCs w:val="20"/>
              </w:rPr>
            </w:pPr>
            <w:r w:rsidRPr="00C54AFD">
              <w:rPr>
                <w:rFonts w:eastAsia="Calibri" w:cs="Arial"/>
                <w:bCs/>
                <w:sz w:val="20"/>
                <w:szCs w:val="20"/>
              </w:rPr>
              <w:t>2022</w:t>
            </w:r>
          </w:p>
        </w:tc>
        <w:tc>
          <w:tcPr>
            <w:tcW w:w="2020" w:type="dxa"/>
            <w:tcBorders>
              <w:top w:val="single" w:sz="12" w:space="0" w:color="auto"/>
              <w:left w:val="nil"/>
              <w:bottom w:val="single" w:sz="4" w:space="0" w:color="auto"/>
              <w:right w:val="single" w:sz="4" w:space="0" w:color="auto"/>
            </w:tcBorders>
            <w:shd w:val="clear" w:color="auto" w:fill="auto"/>
            <w:vAlign w:val="center"/>
          </w:tcPr>
          <w:p w14:paraId="3E7EE6E1" w14:textId="77777777" w:rsidR="00C4104D" w:rsidRPr="00C54AFD" w:rsidRDefault="00C4104D" w:rsidP="005F2E4B">
            <w:pPr>
              <w:tabs>
                <w:tab w:val="left" w:pos="720"/>
              </w:tabs>
              <w:jc w:val="center"/>
              <w:rPr>
                <w:rFonts w:eastAsia="Calibri" w:cs="Arial"/>
                <w:bCs/>
                <w:sz w:val="20"/>
                <w:szCs w:val="20"/>
              </w:rPr>
            </w:pPr>
            <w:r w:rsidRPr="00C54AFD">
              <w:rPr>
                <w:rFonts w:eastAsia="Calibri" w:cs="Arial"/>
                <w:bCs/>
                <w:color w:val="000000" w:themeColor="text1"/>
                <w:sz w:val="20"/>
                <w:szCs w:val="20"/>
              </w:rPr>
              <w:t>3</w:t>
            </w:r>
          </w:p>
        </w:tc>
        <w:tc>
          <w:tcPr>
            <w:tcW w:w="2738" w:type="dxa"/>
            <w:tcBorders>
              <w:top w:val="single" w:sz="12" w:space="0" w:color="auto"/>
              <w:left w:val="nil"/>
              <w:bottom w:val="single" w:sz="4" w:space="0" w:color="auto"/>
              <w:right w:val="single" w:sz="4" w:space="0" w:color="auto"/>
            </w:tcBorders>
            <w:shd w:val="clear" w:color="auto" w:fill="auto"/>
            <w:vAlign w:val="center"/>
          </w:tcPr>
          <w:p w14:paraId="256C15B0" w14:textId="77777777" w:rsidR="00C4104D" w:rsidRPr="00C54AFD" w:rsidRDefault="00C4104D" w:rsidP="005F2E4B">
            <w:pPr>
              <w:tabs>
                <w:tab w:val="left" w:pos="720"/>
              </w:tabs>
              <w:jc w:val="center"/>
              <w:rPr>
                <w:rFonts w:eastAsia="Calibri" w:cs="Arial"/>
                <w:bCs/>
                <w:sz w:val="20"/>
                <w:szCs w:val="20"/>
              </w:rPr>
            </w:pPr>
            <w:r w:rsidRPr="00C54AFD">
              <w:rPr>
                <w:rFonts w:eastAsia="Calibri" w:cs="Arial"/>
                <w:bCs/>
                <w:sz w:val="20"/>
                <w:szCs w:val="20"/>
              </w:rPr>
              <w:t>1</w:t>
            </w:r>
          </w:p>
        </w:tc>
        <w:tc>
          <w:tcPr>
            <w:tcW w:w="2551" w:type="dxa"/>
            <w:tcBorders>
              <w:top w:val="single" w:sz="12" w:space="0" w:color="auto"/>
              <w:left w:val="nil"/>
              <w:bottom w:val="single" w:sz="4" w:space="0" w:color="auto"/>
              <w:right w:val="single" w:sz="12" w:space="0" w:color="auto"/>
            </w:tcBorders>
            <w:shd w:val="clear" w:color="auto" w:fill="auto"/>
            <w:vAlign w:val="center"/>
          </w:tcPr>
          <w:p w14:paraId="3E88D382" w14:textId="77777777" w:rsidR="00C4104D" w:rsidRPr="00C54AFD" w:rsidRDefault="00C4104D" w:rsidP="005F2E4B">
            <w:pPr>
              <w:tabs>
                <w:tab w:val="left" w:pos="720"/>
              </w:tabs>
              <w:jc w:val="center"/>
              <w:rPr>
                <w:rFonts w:eastAsia="Calibri" w:cs="Arial"/>
                <w:bCs/>
                <w:sz w:val="20"/>
                <w:szCs w:val="20"/>
              </w:rPr>
            </w:pPr>
            <w:r w:rsidRPr="00C54AFD">
              <w:rPr>
                <w:rFonts w:eastAsia="Calibri" w:cs="Arial"/>
                <w:bCs/>
                <w:sz w:val="20"/>
                <w:szCs w:val="20"/>
              </w:rPr>
              <w:t>2</w:t>
            </w:r>
          </w:p>
        </w:tc>
      </w:tr>
      <w:tr w:rsidR="00C4104D" w:rsidRPr="00094DA0" w14:paraId="083D0331" w14:textId="77777777" w:rsidTr="005F2E4B">
        <w:trPr>
          <w:trHeight w:val="315"/>
        </w:trPr>
        <w:tc>
          <w:tcPr>
            <w:tcW w:w="960" w:type="dxa"/>
            <w:vMerge/>
            <w:tcBorders>
              <w:top w:val="nil"/>
              <w:left w:val="single" w:sz="12" w:space="0" w:color="auto"/>
              <w:bottom w:val="single" w:sz="12" w:space="0" w:color="auto"/>
              <w:right w:val="single" w:sz="4" w:space="0" w:color="auto"/>
            </w:tcBorders>
            <w:vAlign w:val="center"/>
            <w:hideMark/>
          </w:tcPr>
          <w:p w14:paraId="4D981EBA" w14:textId="77777777" w:rsidR="00C4104D" w:rsidRPr="000D07B3" w:rsidRDefault="00C4104D" w:rsidP="005F2E4B">
            <w:pPr>
              <w:rPr>
                <w:rFonts w:cs="Arial"/>
                <w:b/>
                <w:bCs/>
                <w:color w:val="000000"/>
                <w:sz w:val="20"/>
                <w:szCs w:val="20"/>
              </w:rPr>
            </w:pPr>
          </w:p>
        </w:tc>
        <w:tc>
          <w:tcPr>
            <w:tcW w:w="960" w:type="dxa"/>
            <w:tcBorders>
              <w:top w:val="nil"/>
              <w:left w:val="nil"/>
              <w:bottom w:val="single" w:sz="12" w:space="0" w:color="auto"/>
              <w:right w:val="single" w:sz="4" w:space="0" w:color="auto"/>
            </w:tcBorders>
            <w:shd w:val="clear" w:color="auto" w:fill="auto"/>
            <w:vAlign w:val="center"/>
            <w:hideMark/>
          </w:tcPr>
          <w:p w14:paraId="5FDF95D1" w14:textId="77777777" w:rsidR="00C4104D" w:rsidRPr="00C54AFD" w:rsidRDefault="00C4104D" w:rsidP="005F2E4B">
            <w:pPr>
              <w:tabs>
                <w:tab w:val="left" w:pos="720"/>
              </w:tabs>
              <w:jc w:val="center"/>
              <w:rPr>
                <w:rFonts w:eastAsia="Calibri" w:cs="Arial"/>
                <w:bCs/>
                <w:sz w:val="20"/>
                <w:szCs w:val="20"/>
              </w:rPr>
            </w:pPr>
            <w:r w:rsidRPr="00C54AFD">
              <w:rPr>
                <w:rFonts w:eastAsia="Calibri" w:cs="Arial"/>
                <w:bCs/>
                <w:sz w:val="20"/>
                <w:szCs w:val="20"/>
              </w:rPr>
              <w:t>2023</w:t>
            </w:r>
          </w:p>
        </w:tc>
        <w:tc>
          <w:tcPr>
            <w:tcW w:w="2020" w:type="dxa"/>
            <w:tcBorders>
              <w:top w:val="nil"/>
              <w:left w:val="nil"/>
              <w:bottom w:val="single" w:sz="12" w:space="0" w:color="auto"/>
              <w:right w:val="single" w:sz="4" w:space="0" w:color="auto"/>
            </w:tcBorders>
            <w:shd w:val="clear" w:color="auto" w:fill="auto"/>
            <w:vAlign w:val="center"/>
          </w:tcPr>
          <w:p w14:paraId="1F83615F" w14:textId="77777777" w:rsidR="00C4104D" w:rsidRPr="00C54AFD" w:rsidRDefault="00C4104D" w:rsidP="005F2E4B">
            <w:pPr>
              <w:tabs>
                <w:tab w:val="left" w:pos="720"/>
              </w:tabs>
              <w:spacing w:line="276" w:lineRule="auto"/>
              <w:jc w:val="center"/>
              <w:rPr>
                <w:rFonts w:eastAsia="Calibri" w:cs="Arial"/>
                <w:bCs/>
                <w:sz w:val="20"/>
                <w:szCs w:val="20"/>
              </w:rPr>
            </w:pPr>
            <w:r w:rsidRPr="00C54AFD">
              <w:rPr>
                <w:rFonts w:eastAsia="Calibri" w:cs="Arial"/>
                <w:bCs/>
                <w:color w:val="000000" w:themeColor="text1"/>
                <w:sz w:val="20"/>
                <w:szCs w:val="20"/>
              </w:rPr>
              <w:t>2</w:t>
            </w:r>
          </w:p>
        </w:tc>
        <w:tc>
          <w:tcPr>
            <w:tcW w:w="2738" w:type="dxa"/>
            <w:tcBorders>
              <w:top w:val="nil"/>
              <w:left w:val="nil"/>
              <w:bottom w:val="single" w:sz="12" w:space="0" w:color="auto"/>
              <w:right w:val="single" w:sz="4" w:space="0" w:color="auto"/>
            </w:tcBorders>
            <w:shd w:val="clear" w:color="auto" w:fill="auto"/>
            <w:vAlign w:val="center"/>
          </w:tcPr>
          <w:p w14:paraId="0E3B4950" w14:textId="77777777" w:rsidR="00C4104D" w:rsidRPr="00C54AFD" w:rsidRDefault="00C4104D" w:rsidP="005F2E4B">
            <w:pPr>
              <w:tabs>
                <w:tab w:val="left" w:pos="720"/>
              </w:tabs>
              <w:spacing w:line="276" w:lineRule="auto"/>
              <w:jc w:val="center"/>
              <w:rPr>
                <w:rFonts w:eastAsia="Calibri" w:cs="Arial"/>
                <w:bCs/>
                <w:sz w:val="20"/>
                <w:szCs w:val="20"/>
              </w:rPr>
            </w:pPr>
            <w:r w:rsidRPr="00C54AFD">
              <w:rPr>
                <w:rFonts w:eastAsia="Calibri" w:cs="Arial"/>
                <w:bCs/>
                <w:color w:val="000000" w:themeColor="text1"/>
                <w:sz w:val="20"/>
                <w:szCs w:val="20"/>
              </w:rPr>
              <w:t>2</w:t>
            </w:r>
          </w:p>
        </w:tc>
        <w:tc>
          <w:tcPr>
            <w:tcW w:w="2551" w:type="dxa"/>
            <w:tcBorders>
              <w:top w:val="nil"/>
              <w:left w:val="nil"/>
              <w:bottom w:val="single" w:sz="12" w:space="0" w:color="auto"/>
              <w:right w:val="single" w:sz="12" w:space="0" w:color="auto"/>
            </w:tcBorders>
            <w:shd w:val="clear" w:color="auto" w:fill="auto"/>
            <w:vAlign w:val="center"/>
          </w:tcPr>
          <w:p w14:paraId="137846B3" w14:textId="77777777" w:rsidR="00C4104D" w:rsidRPr="00C54AFD" w:rsidRDefault="00C4104D" w:rsidP="005F2E4B">
            <w:pPr>
              <w:tabs>
                <w:tab w:val="left" w:pos="720"/>
              </w:tabs>
              <w:spacing w:line="276" w:lineRule="auto"/>
              <w:jc w:val="center"/>
              <w:rPr>
                <w:rFonts w:eastAsia="Calibri" w:cs="Arial"/>
                <w:bCs/>
                <w:sz w:val="20"/>
                <w:szCs w:val="20"/>
              </w:rPr>
            </w:pPr>
            <w:r w:rsidRPr="00C54AFD">
              <w:rPr>
                <w:rFonts w:eastAsia="Calibri" w:cs="Arial"/>
                <w:bCs/>
                <w:color w:val="000000" w:themeColor="text1"/>
                <w:sz w:val="20"/>
                <w:szCs w:val="20"/>
              </w:rPr>
              <w:t>0</w:t>
            </w:r>
          </w:p>
        </w:tc>
      </w:tr>
      <w:tr w:rsidR="00C4104D" w:rsidRPr="00094DA0" w14:paraId="0F57D71F" w14:textId="77777777" w:rsidTr="00B9102E">
        <w:trPr>
          <w:trHeight w:val="315"/>
        </w:trPr>
        <w:tc>
          <w:tcPr>
            <w:tcW w:w="960" w:type="dxa"/>
            <w:vMerge w:val="restart"/>
            <w:tcBorders>
              <w:top w:val="nil"/>
              <w:left w:val="single" w:sz="12" w:space="0" w:color="auto"/>
              <w:right w:val="single" w:sz="4" w:space="0" w:color="auto"/>
            </w:tcBorders>
            <w:vAlign w:val="center"/>
          </w:tcPr>
          <w:p w14:paraId="27B03130" w14:textId="77777777" w:rsidR="00C4104D" w:rsidRPr="000D07B3" w:rsidRDefault="00C4104D" w:rsidP="005F2E4B">
            <w:pPr>
              <w:rPr>
                <w:rFonts w:cs="Arial"/>
                <w:b/>
                <w:bCs/>
                <w:color w:val="000000"/>
                <w:sz w:val="20"/>
                <w:szCs w:val="20"/>
              </w:rPr>
            </w:pPr>
            <w:r w:rsidRPr="006D5F37">
              <w:rPr>
                <w:rFonts w:cs="Arial"/>
                <w:b/>
                <w:bCs/>
                <w:color w:val="000000"/>
                <w:sz w:val="20"/>
                <w:szCs w:val="20"/>
              </w:rPr>
              <w:t>MZe</w:t>
            </w:r>
          </w:p>
        </w:tc>
        <w:tc>
          <w:tcPr>
            <w:tcW w:w="960" w:type="dxa"/>
            <w:tcBorders>
              <w:top w:val="nil"/>
              <w:left w:val="nil"/>
              <w:bottom w:val="single" w:sz="4" w:space="0" w:color="auto"/>
              <w:right w:val="single" w:sz="4" w:space="0" w:color="auto"/>
            </w:tcBorders>
            <w:shd w:val="clear" w:color="auto" w:fill="auto"/>
            <w:vAlign w:val="center"/>
          </w:tcPr>
          <w:p w14:paraId="2D5BD5BB" w14:textId="77777777" w:rsidR="00C4104D" w:rsidRPr="00C54AFD" w:rsidRDefault="00C4104D" w:rsidP="005F2E4B">
            <w:pPr>
              <w:tabs>
                <w:tab w:val="left" w:pos="720"/>
              </w:tabs>
              <w:jc w:val="center"/>
              <w:rPr>
                <w:rFonts w:eastAsia="Calibri" w:cs="Arial"/>
                <w:bCs/>
                <w:sz w:val="20"/>
                <w:szCs w:val="20"/>
              </w:rPr>
            </w:pPr>
            <w:r>
              <w:rPr>
                <w:rFonts w:eastAsia="Calibri" w:cs="Arial"/>
                <w:bCs/>
                <w:sz w:val="20"/>
                <w:szCs w:val="20"/>
              </w:rPr>
              <w:t>2022</w:t>
            </w:r>
          </w:p>
        </w:tc>
        <w:tc>
          <w:tcPr>
            <w:tcW w:w="2020" w:type="dxa"/>
            <w:tcBorders>
              <w:top w:val="nil"/>
              <w:left w:val="nil"/>
              <w:bottom w:val="single" w:sz="4" w:space="0" w:color="auto"/>
              <w:right w:val="single" w:sz="4" w:space="0" w:color="auto"/>
            </w:tcBorders>
            <w:shd w:val="clear" w:color="auto" w:fill="auto"/>
            <w:vAlign w:val="center"/>
          </w:tcPr>
          <w:p w14:paraId="372331DD" w14:textId="77777777" w:rsidR="00C4104D" w:rsidRPr="00C54AFD" w:rsidRDefault="00C4104D" w:rsidP="005F2E4B">
            <w:pPr>
              <w:tabs>
                <w:tab w:val="left" w:pos="720"/>
              </w:tabs>
              <w:spacing w:line="276" w:lineRule="auto"/>
              <w:jc w:val="center"/>
              <w:rPr>
                <w:rFonts w:eastAsia="Calibri" w:cs="Arial"/>
                <w:bCs/>
                <w:color w:val="000000" w:themeColor="text1"/>
                <w:sz w:val="20"/>
                <w:szCs w:val="20"/>
              </w:rPr>
            </w:pPr>
            <w:r>
              <w:rPr>
                <w:rFonts w:eastAsia="Calibri" w:cs="Arial"/>
                <w:bCs/>
                <w:color w:val="000000" w:themeColor="text1"/>
                <w:sz w:val="20"/>
                <w:szCs w:val="20"/>
              </w:rPr>
              <w:t>13</w:t>
            </w:r>
          </w:p>
        </w:tc>
        <w:tc>
          <w:tcPr>
            <w:tcW w:w="2738" w:type="dxa"/>
            <w:tcBorders>
              <w:top w:val="nil"/>
              <w:left w:val="nil"/>
              <w:bottom w:val="single" w:sz="4" w:space="0" w:color="auto"/>
              <w:right w:val="single" w:sz="4" w:space="0" w:color="auto"/>
            </w:tcBorders>
            <w:shd w:val="clear" w:color="auto" w:fill="auto"/>
            <w:vAlign w:val="center"/>
          </w:tcPr>
          <w:p w14:paraId="5C3CB756" w14:textId="77777777" w:rsidR="00C4104D" w:rsidRPr="00C54AFD" w:rsidRDefault="00C4104D" w:rsidP="005F2E4B">
            <w:pPr>
              <w:tabs>
                <w:tab w:val="left" w:pos="720"/>
              </w:tabs>
              <w:spacing w:line="276" w:lineRule="auto"/>
              <w:jc w:val="center"/>
              <w:rPr>
                <w:rFonts w:eastAsia="Calibri" w:cs="Arial"/>
                <w:bCs/>
                <w:color w:val="000000" w:themeColor="text1"/>
                <w:sz w:val="20"/>
                <w:szCs w:val="20"/>
              </w:rPr>
            </w:pPr>
            <w:r>
              <w:rPr>
                <w:rFonts w:eastAsia="Calibri" w:cs="Arial"/>
                <w:bCs/>
                <w:color w:val="000000" w:themeColor="text1"/>
                <w:sz w:val="20"/>
                <w:szCs w:val="20"/>
              </w:rPr>
              <w:t>6</w:t>
            </w:r>
          </w:p>
        </w:tc>
        <w:tc>
          <w:tcPr>
            <w:tcW w:w="2551" w:type="dxa"/>
            <w:tcBorders>
              <w:top w:val="nil"/>
              <w:left w:val="nil"/>
              <w:bottom w:val="single" w:sz="4" w:space="0" w:color="auto"/>
              <w:right w:val="single" w:sz="12" w:space="0" w:color="auto"/>
            </w:tcBorders>
            <w:shd w:val="clear" w:color="auto" w:fill="auto"/>
            <w:vAlign w:val="center"/>
          </w:tcPr>
          <w:p w14:paraId="20524618" w14:textId="77777777" w:rsidR="00C4104D" w:rsidRPr="00C54AFD" w:rsidRDefault="00C4104D" w:rsidP="005F2E4B">
            <w:pPr>
              <w:tabs>
                <w:tab w:val="left" w:pos="720"/>
              </w:tabs>
              <w:spacing w:line="276" w:lineRule="auto"/>
              <w:jc w:val="center"/>
              <w:rPr>
                <w:rFonts w:eastAsia="Calibri" w:cs="Arial"/>
                <w:bCs/>
                <w:color w:val="000000" w:themeColor="text1"/>
                <w:sz w:val="20"/>
                <w:szCs w:val="20"/>
              </w:rPr>
            </w:pPr>
            <w:r>
              <w:rPr>
                <w:rFonts w:eastAsia="Calibri" w:cs="Arial"/>
                <w:bCs/>
                <w:color w:val="000000" w:themeColor="text1"/>
                <w:sz w:val="20"/>
                <w:szCs w:val="20"/>
              </w:rPr>
              <w:t>7</w:t>
            </w:r>
          </w:p>
        </w:tc>
      </w:tr>
      <w:tr w:rsidR="00C4104D" w:rsidRPr="00094DA0" w14:paraId="1BF372A0" w14:textId="77777777" w:rsidTr="00B9102E">
        <w:trPr>
          <w:trHeight w:val="315"/>
        </w:trPr>
        <w:tc>
          <w:tcPr>
            <w:tcW w:w="960" w:type="dxa"/>
            <w:vMerge/>
            <w:tcBorders>
              <w:left w:val="single" w:sz="12" w:space="0" w:color="auto"/>
              <w:bottom w:val="single" w:sz="12" w:space="0" w:color="auto"/>
              <w:right w:val="single" w:sz="4" w:space="0" w:color="auto"/>
            </w:tcBorders>
            <w:vAlign w:val="center"/>
          </w:tcPr>
          <w:p w14:paraId="37E46FEB" w14:textId="77777777" w:rsidR="00C4104D" w:rsidRPr="000D07B3" w:rsidRDefault="00C4104D" w:rsidP="005F2E4B">
            <w:pPr>
              <w:rPr>
                <w:rFonts w:cs="Arial"/>
                <w:b/>
                <w:bCs/>
                <w:color w:val="000000"/>
                <w:sz w:val="20"/>
                <w:szCs w:val="20"/>
              </w:rPr>
            </w:pPr>
          </w:p>
        </w:tc>
        <w:tc>
          <w:tcPr>
            <w:tcW w:w="960" w:type="dxa"/>
            <w:tcBorders>
              <w:top w:val="single" w:sz="4" w:space="0" w:color="auto"/>
              <w:left w:val="nil"/>
              <w:bottom w:val="single" w:sz="12" w:space="0" w:color="auto"/>
              <w:right w:val="single" w:sz="4" w:space="0" w:color="auto"/>
            </w:tcBorders>
            <w:shd w:val="clear" w:color="auto" w:fill="auto"/>
            <w:vAlign w:val="center"/>
          </w:tcPr>
          <w:p w14:paraId="51A651ED" w14:textId="77777777" w:rsidR="00C4104D" w:rsidRPr="00C54AFD" w:rsidRDefault="00C4104D" w:rsidP="005F2E4B">
            <w:pPr>
              <w:tabs>
                <w:tab w:val="left" w:pos="720"/>
              </w:tabs>
              <w:jc w:val="center"/>
              <w:rPr>
                <w:rFonts w:eastAsia="Calibri" w:cs="Arial"/>
                <w:bCs/>
                <w:sz w:val="20"/>
                <w:szCs w:val="20"/>
              </w:rPr>
            </w:pPr>
            <w:r>
              <w:rPr>
                <w:rFonts w:eastAsia="Calibri" w:cs="Arial"/>
                <w:bCs/>
                <w:sz w:val="20"/>
                <w:szCs w:val="20"/>
              </w:rPr>
              <w:t>2023</w:t>
            </w:r>
          </w:p>
        </w:tc>
        <w:tc>
          <w:tcPr>
            <w:tcW w:w="2020" w:type="dxa"/>
            <w:tcBorders>
              <w:top w:val="single" w:sz="4" w:space="0" w:color="auto"/>
              <w:left w:val="nil"/>
              <w:bottom w:val="single" w:sz="12" w:space="0" w:color="auto"/>
              <w:right w:val="single" w:sz="4" w:space="0" w:color="auto"/>
            </w:tcBorders>
            <w:shd w:val="clear" w:color="auto" w:fill="auto"/>
            <w:vAlign w:val="center"/>
          </w:tcPr>
          <w:p w14:paraId="74A1DCD7" w14:textId="77777777" w:rsidR="00C4104D" w:rsidRPr="00C54AFD" w:rsidRDefault="00C4104D" w:rsidP="005F2E4B">
            <w:pPr>
              <w:tabs>
                <w:tab w:val="left" w:pos="720"/>
              </w:tabs>
              <w:spacing w:line="276" w:lineRule="auto"/>
              <w:jc w:val="center"/>
              <w:rPr>
                <w:rFonts w:eastAsia="Calibri" w:cs="Arial"/>
                <w:bCs/>
                <w:color w:val="000000" w:themeColor="text1"/>
                <w:sz w:val="20"/>
                <w:szCs w:val="20"/>
              </w:rPr>
            </w:pPr>
            <w:r>
              <w:rPr>
                <w:rFonts w:eastAsia="Calibri" w:cs="Arial"/>
                <w:bCs/>
                <w:color w:val="000000" w:themeColor="text1"/>
                <w:sz w:val="20"/>
                <w:szCs w:val="20"/>
              </w:rPr>
              <w:t>14</w:t>
            </w:r>
          </w:p>
        </w:tc>
        <w:tc>
          <w:tcPr>
            <w:tcW w:w="2738" w:type="dxa"/>
            <w:tcBorders>
              <w:top w:val="single" w:sz="4" w:space="0" w:color="auto"/>
              <w:left w:val="nil"/>
              <w:bottom w:val="single" w:sz="12" w:space="0" w:color="auto"/>
              <w:right w:val="single" w:sz="4" w:space="0" w:color="auto"/>
            </w:tcBorders>
            <w:shd w:val="clear" w:color="auto" w:fill="auto"/>
            <w:vAlign w:val="center"/>
          </w:tcPr>
          <w:p w14:paraId="00A22BF4" w14:textId="77777777" w:rsidR="00C4104D" w:rsidRPr="00C54AFD" w:rsidRDefault="00C4104D" w:rsidP="005F2E4B">
            <w:pPr>
              <w:tabs>
                <w:tab w:val="left" w:pos="720"/>
              </w:tabs>
              <w:spacing w:line="276" w:lineRule="auto"/>
              <w:jc w:val="center"/>
              <w:rPr>
                <w:rFonts w:eastAsia="Calibri" w:cs="Arial"/>
                <w:bCs/>
                <w:color w:val="000000" w:themeColor="text1"/>
                <w:sz w:val="20"/>
                <w:szCs w:val="20"/>
              </w:rPr>
            </w:pPr>
            <w:r>
              <w:rPr>
                <w:rFonts w:eastAsia="Calibri" w:cs="Arial"/>
                <w:bCs/>
                <w:color w:val="000000" w:themeColor="text1"/>
                <w:sz w:val="20"/>
                <w:szCs w:val="20"/>
              </w:rPr>
              <w:t>6</w:t>
            </w:r>
          </w:p>
        </w:tc>
        <w:tc>
          <w:tcPr>
            <w:tcW w:w="2551" w:type="dxa"/>
            <w:tcBorders>
              <w:top w:val="single" w:sz="4" w:space="0" w:color="auto"/>
              <w:left w:val="nil"/>
              <w:bottom w:val="single" w:sz="12" w:space="0" w:color="auto"/>
              <w:right w:val="single" w:sz="12" w:space="0" w:color="auto"/>
            </w:tcBorders>
            <w:shd w:val="clear" w:color="auto" w:fill="auto"/>
            <w:vAlign w:val="center"/>
          </w:tcPr>
          <w:p w14:paraId="687CEF41" w14:textId="77777777" w:rsidR="00C4104D" w:rsidRPr="00C54AFD" w:rsidRDefault="00C4104D" w:rsidP="005F2E4B">
            <w:pPr>
              <w:tabs>
                <w:tab w:val="left" w:pos="720"/>
              </w:tabs>
              <w:spacing w:line="276" w:lineRule="auto"/>
              <w:jc w:val="center"/>
              <w:rPr>
                <w:rFonts w:eastAsia="Calibri" w:cs="Arial"/>
                <w:bCs/>
                <w:color w:val="000000" w:themeColor="text1"/>
                <w:sz w:val="20"/>
                <w:szCs w:val="20"/>
              </w:rPr>
            </w:pPr>
            <w:r>
              <w:rPr>
                <w:rFonts w:eastAsia="Calibri" w:cs="Arial"/>
                <w:bCs/>
                <w:color w:val="000000" w:themeColor="text1"/>
                <w:sz w:val="20"/>
                <w:szCs w:val="20"/>
              </w:rPr>
              <w:t>8</w:t>
            </w:r>
          </w:p>
        </w:tc>
      </w:tr>
      <w:tr w:rsidR="00C4104D" w:rsidRPr="00094DA0" w14:paraId="184E7B19" w14:textId="77777777" w:rsidTr="00B9102E">
        <w:trPr>
          <w:trHeight w:val="315"/>
        </w:trPr>
        <w:tc>
          <w:tcPr>
            <w:tcW w:w="960" w:type="dxa"/>
            <w:vMerge w:val="restart"/>
            <w:tcBorders>
              <w:left w:val="single" w:sz="12" w:space="0" w:color="auto"/>
              <w:right w:val="single" w:sz="4" w:space="0" w:color="auto"/>
            </w:tcBorders>
            <w:vAlign w:val="center"/>
          </w:tcPr>
          <w:p w14:paraId="6581132E" w14:textId="77777777" w:rsidR="00C4104D" w:rsidRPr="000D07B3" w:rsidRDefault="00C4104D" w:rsidP="005F2E4B">
            <w:pPr>
              <w:rPr>
                <w:rFonts w:cs="Arial"/>
                <w:b/>
                <w:bCs/>
                <w:color w:val="000000"/>
                <w:sz w:val="20"/>
                <w:szCs w:val="20"/>
              </w:rPr>
            </w:pPr>
            <w:r w:rsidRPr="00FB1BAE">
              <w:rPr>
                <w:rFonts w:cs="Arial"/>
                <w:b/>
                <w:bCs/>
                <w:color w:val="000000"/>
                <w:sz w:val="20"/>
                <w:szCs w:val="20"/>
              </w:rPr>
              <w:t>MZV</w:t>
            </w:r>
          </w:p>
        </w:tc>
        <w:tc>
          <w:tcPr>
            <w:tcW w:w="960" w:type="dxa"/>
            <w:tcBorders>
              <w:top w:val="nil"/>
              <w:left w:val="nil"/>
              <w:bottom w:val="single" w:sz="4" w:space="0" w:color="auto"/>
              <w:right w:val="single" w:sz="4" w:space="0" w:color="auto"/>
            </w:tcBorders>
            <w:shd w:val="clear" w:color="auto" w:fill="auto"/>
            <w:vAlign w:val="center"/>
          </w:tcPr>
          <w:p w14:paraId="23C9A840" w14:textId="77777777" w:rsidR="00C4104D" w:rsidRDefault="00C4104D" w:rsidP="005F2E4B">
            <w:pPr>
              <w:tabs>
                <w:tab w:val="left" w:pos="720"/>
              </w:tabs>
              <w:jc w:val="center"/>
              <w:rPr>
                <w:rFonts w:eastAsia="Calibri" w:cs="Arial"/>
                <w:bCs/>
                <w:sz w:val="20"/>
                <w:szCs w:val="20"/>
              </w:rPr>
            </w:pPr>
            <w:r w:rsidRPr="00FB1BAE">
              <w:rPr>
                <w:rFonts w:eastAsia="Calibri" w:cs="Arial"/>
                <w:bCs/>
                <w:sz w:val="20"/>
                <w:szCs w:val="20"/>
              </w:rPr>
              <w:t>2022</w:t>
            </w:r>
          </w:p>
        </w:tc>
        <w:tc>
          <w:tcPr>
            <w:tcW w:w="2020" w:type="dxa"/>
            <w:tcBorders>
              <w:top w:val="nil"/>
              <w:left w:val="nil"/>
              <w:bottom w:val="single" w:sz="4" w:space="0" w:color="auto"/>
              <w:right w:val="single" w:sz="4" w:space="0" w:color="auto"/>
            </w:tcBorders>
            <w:shd w:val="clear" w:color="auto" w:fill="auto"/>
            <w:vAlign w:val="center"/>
          </w:tcPr>
          <w:p w14:paraId="0A485F3E" w14:textId="77777777" w:rsidR="00C4104D" w:rsidRDefault="00C4104D" w:rsidP="005F2E4B">
            <w:pPr>
              <w:tabs>
                <w:tab w:val="left" w:pos="720"/>
              </w:tabs>
              <w:spacing w:line="276" w:lineRule="auto"/>
              <w:jc w:val="center"/>
              <w:rPr>
                <w:rFonts w:eastAsia="Calibri" w:cs="Arial"/>
                <w:bCs/>
                <w:color w:val="000000" w:themeColor="text1"/>
                <w:sz w:val="20"/>
                <w:szCs w:val="20"/>
              </w:rPr>
            </w:pPr>
            <w:r w:rsidRPr="00FB1BAE">
              <w:rPr>
                <w:rFonts w:eastAsia="Calibri" w:cs="Arial"/>
                <w:bCs/>
                <w:sz w:val="20"/>
                <w:szCs w:val="20"/>
              </w:rPr>
              <w:t>15</w:t>
            </w:r>
          </w:p>
        </w:tc>
        <w:tc>
          <w:tcPr>
            <w:tcW w:w="2738" w:type="dxa"/>
            <w:tcBorders>
              <w:top w:val="nil"/>
              <w:left w:val="nil"/>
              <w:bottom w:val="single" w:sz="4" w:space="0" w:color="auto"/>
              <w:right w:val="single" w:sz="4" w:space="0" w:color="auto"/>
            </w:tcBorders>
            <w:shd w:val="clear" w:color="auto" w:fill="auto"/>
            <w:vAlign w:val="center"/>
          </w:tcPr>
          <w:p w14:paraId="157A85A6" w14:textId="77777777" w:rsidR="00C4104D" w:rsidRDefault="00C4104D" w:rsidP="005F2E4B">
            <w:pPr>
              <w:tabs>
                <w:tab w:val="left" w:pos="720"/>
              </w:tabs>
              <w:spacing w:line="276" w:lineRule="auto"/>
              <w:jc w:val="center"/>
              <w:rPr>
                <w:rFonts w:eastAsia="Calibri" w:cs="Arial"/>
                <w:bCs/>
                <w:color w:val="000000" w:themeColor="text1"/>
                <w:sz w:val="20"/>
                <w:szCs w:val="20"/>
              </w:rPr>
            </w:pPr>
            <w:r w:rsidRPr="00FB1BAE">
              <w:rPr>
                <w:rFonts w:eastAsia="Calibri" w:cs="Arial"/>
                <w:bCs/>
                <w:sz w:val="20"/>
                <w:szCs w:val="20"/>
              </w:rPr>
              <w:t>4</w:t>
            </w:r>
          </w:p>
        </w:tc>
        <w:tc>
          <w:tcPr>
            <w:tcW w:w="2551" w:type="dxa"/>
            <w:tcBorders>
              <w:top w:val="nil"/>
              <w:left w:val="nil"/>
              <w:bottom w:val="single" w:sz="4" w:space="0" w:color="auto"/>
              <w:right w:val="single" w:sz="12" w:space="0" w:color="auto"/>
            </w:tcBorders>
            <w:shd w:val="clear" w:color="auto" w:fill="auto"/>
            <w:vAlign w:val="center"/>
          </w:tcPr>
          <w:p w14:paraId="1865E6A8" w14:textId="77777777" w:rsidR="00C4104D" w:rsidRDefault="00C4104D" w:rsidP="005F2E4B">
            <w:pPr>
              <w:tabs>
                <w:tab w:val="left" w:pos="720"/>
              </w:tabs>
              <w:spacing w:line="276" w:lineRule="auto"/>
              <w:jc w:val="center"/>
              <w:rPr>
                <w:rFonts w:eastAsia="Calibri" w:cs="Arial"/>
                <w:bCs/>
                <w:color w:val="000000" w:themeColor="text1"/>
                <w:sz w:val="20"/>
                <w:szCs w:val="20"/>
              </w:rPr>
            </w:pPr>
            <w:r>
              <w:rPr>
                <w:rFonts w:eastAsia="Calibri" w:cs="Arial"/>
                <w:bCs/>
                <w:color w:val="000000" w:themeColor="text1"/>
                <w:sz w:val="20"/>
                <w:szCs w:val="20"/>
              </w:rPr>
              <w:t>11</w:t>
            </w:r>
          </w:p>
        </w:tc>
      </w:tr>
      <w:tr w:rsidR="00C4104D" w:rsidRPr="00094DA0" w14:paraId="0C706CC4" w14:textId="77777777" w:rsidTr="00B9102E">
        <w:trPr>
          <w:trHeight w:val="315"/>
        </w:trPr>
        <w:tc>
          <w:tcPr>
            <w:tcW w:w="960" w:type="dxa"/>
            <w:vMerge/>
            <w:tcBorders>
              <w:left w:val="single" w:sz="12" w:space="0" w:color="auto"/>
              <w:bottom w:val="single" w:sz="12" w:space="0" w:color="auto"/>
              <w:right w:val="single" w:sz="4" w:space="0" w:color="auto"/>
            </w:tcBorders>
            <w:vAlign w:val="center"/>
          </w:tcPr>
          <w:p w14:paraId="15D52D2D" w14:textId="77777777" w:rsidR="00C4104D" w:rsidRPr="000D07B3" w:rsidRDefault="00C4104D" w:rsidP="005F2E4B">
            <w:pPr>
              <w:rPr>
                <w:rFonts w:cs="Arial"/>
                <w:b/>
                <w:bCs/>
                <w:color w:val="000000"/>
                <w:sz w:val="20"/>
                <w:szCs w:val="20"/>
              </w:rPr>
            </w:pPr>
          </w:p>
        </w:tc>
        <w:tc>
          <w:tcPr>
            <w:tcW w:w="960" w:type="dxa"/>
            <w:tcBorders>
              <w:top w:val="single" w:sz="4" w:space="0" w:color="auto"/>
              <w:left w:val="nil"/>
              <w:bottom w:val="single" w:sz="12" w:space="0" w:color="auto"/>
              <w:right w:val="single" w:sz="4" w:space="0" w:color="auto"/>
            </w:tcBorders>
            <w:shd w:val="clear" w:color="auto" w:fill="auto"/>
            <w:vAlign w:val="center"/>
          </w:tcPr>
          <w:p w14:paraId="2E32C894" w14:textId="77777777" w:rsidR="00C4104D" w:rsidRDefault="00C4104D" w:rsidP="005F2E4B">
            <w:pPr>
              <w:tabs>
                <w:tab w:val="left" w:pos="720"/>
              </w:tabs>
              <w:jc w:val="center"/>
              <w:rPr>
                <w:rFonts w:eastAsia="Calibri" w:cs="Arial"/>
                <w:bCs/>
                <w:sz w:val="20"/>
                <w:szCs w:val="20"/>
              </w:rPr>
            </w:pPr>
            <w:r w:rsidRPr="00FB1BAE">
              <w:rPr>
                <w:rFonts w:eastAsia="Calibri" w:cs="Arial"/>
                <w:bCs/>
                <w:sz w:val="20"/>
                <w:szCs w:val="20"/>
              </w:rPr>
              <w:t>2023</w:t>
            </w:r>
          </w:p>
        </w:tc>
        <w:tc>
          <w:tcPr>
            <w:tcW w:w="2020" w:type="dxa"/>
            <w:tcBorders>
              <w:top w:val="single" w:sz="4" w:space="0" w:color="auto"/>
              <w:left w:val="nil"/>
              <w:bottom w:val="single" w:sz="12" w:space="0" w:color="auto"/>
              <w:right w:val="single" w:sz="4" w:space="0" w:color="auto"/>
            </w:tcBorders>
            <w:shd w:val="clear" w:color="auto" w:fill="auto"/>
            <w:vAlign w:val="center"/>
          </w:tcPr>
          <w:p w14:paraId="6D459634" w14:textId="77777777" w:rsidR="00C4104D" w:rsidRDefault="00C4104D" w:rsidP="005F2E4B">
            <w:pPr>
              <w:tabs>
                <w:tab w:val="left" w:pos="720"/>
              </w:tabs>
              <w:spacing w:line="276" w:lineRule="auto"/>
              <w:jc w:val="center"/>
              <w:rPr>
                <w:rFonts w:eastAsia="Calibri" w:cs="Arial"/>
                <w:bCs/>
                <w:color w:val="000000" w:themeColor="text1"/>
                <w:sz w:val="20"/>
                <w:szCs w:val="20"/>
              </w:rPr>
            </w:pPr>
            <w:r w:rsidRPr="00FB1BAE">
              <w:rPr>
                <w:rFonts w:cs="Arial"/>
                <w:sz w:val="20"/>
                <w:szCs w:val="20"/>
              </w:rPr>
              <w:t>12</w:t>
            </w:r>
          </w:p>
        </w:tc>
        <w:tc>
          <w:tcPr>
            <w:tcW w:w="2738" w:type="dxa"/>
            <w:tcBorders>
              <w:top w:val="single" w:sz="4" w:space="0" w:color="auto"/>
              <w:left w:val="nil"/>
              <w:bottom w:val="single" w:sz="12" w:space="0" w:color="auto"/>
              <w:right w:val="single" w:sz="4" w:space="0" w:color="auto"/>
            </w:tcBorders>
            <w:shd w:val="clear" w:color="auto" w:fill="auto"/>
            <w:vAlign w:val="center"/>
          </w:tcPr>
          <w:p w14:paraId="21A02AD3" w14:textId="77777777" w:rsidR="00C4104D" w:rsidRDefault="00C4104D" w:rsidP="005F2E4B">
            <w:pPr>
              <w:tabs>
                <w:tab w:val="left" w:pos="720"/>
              </w:tabs>
              <w:spacing w:line="276" w:lineRule="auto"/>
              <w:jc w:val="center"/>
              <w:rPr>
                <w:rFonts w:eastAsia="Calibri" w:cs="Arial"/>
                <w:bCs/>
                <w:color w:val="000000" w:themeColor="text1"/>
                <w:sz w:val="20"/>
                <w:szCs w:val="20"/>
              </w:rPr>
            </w:pPr>
            <w:r w:rsidRPr="00FB1BAE">
              <w:rPr>
                <w:rFonts w:eastAsia="Calibri" w:cs="Arial"/>
                <w:bCs/>
                <w:sz w:val="20"/>
                <w:szCs w:val="20"/>
              </w:rPr>
              <w:t>4</w:t>
            </w:r>
          </w:p>
        </w:tc>
        <w:tc>
          <w:tcPr>
            <w:tcW w:w="2551" w:type="dxa"/>
            <w:tcBorders>
              <w:top w:val="single" w:sz="4" w:space="0" w:color="auto"/>
              <w:left w:val="nil"/>
              <w:bottom w:val="single" w:sz="12" w:space="0" w:color="auto"/>
              <w:right w:val="single" w:sz="12" w:space="0" w:color="auto"/>
            </w:tcBorders>
            <w:shd w:val="clear" w:color="auto" w:fill="auto"/>
            <w:vAlign w:val="center"/>
          </w:tcPr>
          <w:p w14:paraId="1897A3B7" w14:textId="77777777" w:rsidR="00C4104D" w:rsidRDefault="00C4104D" w:rsidP="005F2E4B">
            <w:pPr>
              <w:tabs>
                <w:tab w:val="left" w:pos="720"/>
              </w:tabs>
              <w:spacing w:line="276" w:lineRule="auto"/>
              <w:jc w:val="center"/>
              <w:rPr>
                <w:rFonts w:eastAsia="Calibri" w:cs="Arial"/>
                <w:bCs/>
                <w:color w:val="000000" w:themeColor="text1"/>
                <w:sz w:val="20"/>
                <w:szCs w:val="20"/>
              </w:rPr>
            </w:pPr>
            <w:r>
              <w:rPr>
                <w:rFonts w:eastAsia="Calibri" w:cs="Arial"/>
                <w:bCs/>
                <w:color w:val="000000" w:themeColor="text1"/>
                <w:sz w:val="20"/>
                <w:szCs w:val="20"/>
              </w:rPr>
              <w:t>8</w:t>
            </w:r>
          </w:p>
        </w:tc>
      </w:tr>
      <w:tr w:rsidR="00C4104D" w:rsidRPr="003D61EA" w14:paraId="7B52031D" w14:textId="77777777" w:rsidTr="005F2E4B">
        <w:trPr>
          <w:trHeight w:val="300"/>
        </w:trPr>
        <w:tc>
          <w:tcPr>
            <w:tcW w:w="960"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tcPr>
          <w:p w14:paraId="5009410B" w14:textId="77777777" w:rsidR="00C4104D" w:rsidRPr="008C6A8C" w:rsidRDefault="00C4104D" w:rsidP="005F2E4B">
            <w:pPr>
              <w:rPr>
                <w:rFonts w:cs="Arial"/>
                <w:b/>
                <w:bCs/>
                <w:color w:val="000000"/>
                <w:sz w:val="20"/>
                <w:szCs w:val="20"/>
              </w:rPr>
            </w:pPr>
            <w:r w:rsidRPr="008C6A8C">
              <w:rPr>
                <w:rFonts w:cs="Arial"/>
                <w:b/>
                <w:bCs/>
                <w:color w:val="000000"/>
                <w:sz w:val="20"/>
                <w:szCs w:val="20"/>
              </w:rPr>
              <w:t>MŽP</w:t>
            </w:r>
          </w:p>
        </w:tc>
        <w:tc>
          <w:tcPr>
            <w:tcW w:w="960" w:type="dxa"/>
            <w:tcBorders>
              <w:top w:val="single" w:sz="12" w:space="0" w:color="auto"/>
              <w:left w:val="nil"/>
              <w:bottom w:val="single" w:sz="4" w:space="0" w:color="auto"/>
              <w:right w:val="single" w:sz="4" w:space="0" w:color="auto"/>
            </w:tcBorders>
            <w:shd w:val="clear" w:color="auto" w:fill="auto"/>
          </w:tcPr>
          <w:p w14:paraId="0E11126C" w14:textId="77777777" w:rsidR="00C4104D" w:rsidRPr="008C6A8C" w:rsidRDefault="00C4104D" w:rsidP="005F2E4B">
            <w:pPr>
              <w:jc w:val="center"/>
              <w:rPr>
                <w:rFonts w:cs="Arial"/>
                <w:sz w:val="20"/>
                <w:szCs w:val="20"/>
              </w:rPr>
            </w:pPr>
            <w:r w:rsidRPr="008C6A8C">
              <w:rPr>
                <w:rFonts w:cs="Arial"/>
                <w:sz w:val="20"/>
                <w:szCs w:val="20"/>
              </w:rPr>
              <w:t>2022</w:t>
            </w:r>
          </w:p>
        </w:tc>
        <w:tc>
          <w:tcPr>
            <w:tcW w:w="2020" w:type="dxa"/>
            <w:tcBorders>
              <w:top w:val="single" w:sz="12" w:space="0" w:color="auto"/>
              <w:left w:val="nil"/>
              <w:bottom w:val="single" w:sz="4" w:space="0" w:color="auto"/>
              <w:right w:val="single" w:sz="4" w:space="0" w:color="auto"/>
            </w:tcBorders>
            <w:shd w:val="clear" w:color="auto" w:fill="auto"/>
          </w:tcPr>
          <w:p w14:paraId="3FFC8164" w14:textId="77777777" w:rsidR="00C4104D" w:rsidRPr="008C6A8C" w:rsidRDefault="00C4104D" w:rsidP="005F2E4B">
            <w:pPr>
              <w:jc w:val="center"/>
              <w:rPr>
                <w:rFonts w:cs="Arial"/>
                <w:sz w:val="20"/>
                <w:szCs w:val="20"/>
              </w:rPr>
            </w:pPr>
            <w:r w:rsidRPr="008C6A8C">
              <w:rPr>
                <w:rFonts w:cs="Arial"/>
                <w:sz w:val="20"/>
                <w:szCs w:val="20"/>
              </w:rPr>
              <w:t>8</w:t>
            </w:r>
          </w:p>
        </w:tc>
        <w:tc>
          <w:tcPr>
            <w:tcW w:w="2738" w:type="dxa"/>
            <w:tcBorders>
              <w:top w:val="single" w:sz="12" w:space="0" w:color="auto"/>
              <w:left w:val="nil"/>
              <w:bottom w:val="single" w:sz="4" w:space="0" w:color="auto"/>
              <w:right w:val="single" w:sz="4" w:space="0" w:color="auto"/>
            </w:tcBorders>
            <w:shd w:val="clear" w:color="auto" w:fill="auto"/>
          </w:tcPr>
          <w:p w14:paraId="54FCB018" w14:textId="77777777" w:rsidR="00C4104D" w:rsidRPr="008C6A8C" w:rsidRDefault="00C4104D" w:rsidP="005F2E4B">
            <w:pPr>
              <w:jc w:val="center"/>
              <w:rPr>
                <w:rFonts w:cs="Arial"/>
                <w:sz w:val="20"/>
                <w:szCs w:val="20"/>
              </w:rPr>
            </w:pPr>
            <w:r w:rsidRPr="008C6A8C">
              <w:rPr>
                <w:rFonts w:cs="Arial"/>
                <w:sz w:val="20"/>
                <w:szCs w:val="20"/>
              </w:rPr>
              <w:t>4</w:t>
            </w:r>
          </w:p>
        </w:tc>
        <w:tc>
          <w:tcPr>
            <w:tcW w:w="2551" w:type="dxa"/>
            <w:tcBorders>
              <w:top w:val="single" w:sz="12" w:space="0" w:color="auto"/>
              <w:left w:val="nil"/>
              <w:bottom w:val="single" w:sz="4" w:space="0" w:color="auto"/>
              <w:right w:val="single" w:sz="12" w:space="0" w:color="auto"/>
            </w:tcBorders>
            <w:shd w:val="clear" w:color="auto" w:fill="auto"/>
          </w:tcPr>
          <w:p w14:paraId="7CFC6F98" w14:textId="77777777" w:rsidR="00C4104D" w:rsidRPr="008C6A8C" w:rsidRDefault="00C4104D" w:rsidP="005F2E4B">
            <w:pPr>
              <w:jc w:val="center"/>
              <w:rPr>
                <w:rFonts w:cs="Arial"/>
                <w:sz w:val="20"/>
                <w:szCs w:val="20"/>
              </w:rPr>
            </w:pPr>
            <w:r w:rsidRPr="008C6A8C">
              <w:rPr>
                <w:rFonts w:cs="Arial"/>
                <w:sz w:val="20"/>
                <w:szCs w:val="20"/>
              </w:rPr>
              <w:t>4</w:t>
            </w:r>
          </w:p>
        </w:tc>
      </w:tr>
      <w:tr w:rsidR="00C4104D" w:rsidRPr="003D61EA" w14:paraId="36D6C420" w14:textId="77777777" w:rsidTr="005F2E4B">
        <w:trPr>
          <w:trHeight w:val="315"/>
        </w:trPr>
        <w:tc>
          <w:tcPr>
            <w:tcW w:w="960" w:type="dxa"/>
            <w:vMerge/>
            <w:tcBorders>
              <w:top w:val="nil"/>
              <w:left w:val="single" w:sz="12" w:space="0" w:color="auto"/>
              <w:bottom w:val="single" w:sz="12" w:space="0" w:color="auto"/>
              <w:right w:val="single" w:sz="4" w:space="0" w:color="auto"/>
            </w:tcBorders>
            <w:vAlign w:val="center"/>
          </w:tcPr>
          <w:p w14:paraId="144E7B21" w14:textId="77777777" w:rsidR="00C4104D" w:rsidRPr="008C6A8C" w:rsidRDefault="00C4104D" w:rsidP="005F2E4B">
            <w:pPr>
              <w:rPr>
                <w:rFonts w:cs="Arial"/>
                <w:b/>
                <w:bCs/>
                <w:color w:val="000000"/>
                <w:sz w:val="20"/>
                <w:szCs w:val="20"/>
              </w:rPr>
            </w:pPr>
          </w:p>
        </w:tc>
        <w:tc>
          <w:tcPr>
            <w:tcW w:w="960" w:type="dxa"/>
            <w:tcBorders>
              <w:top w:val="nil"/>
              <w:left w:val="nil"/>
              <w:bottom w:val="single" w:sz="12" w:space="0" w:color="auto"/>
              <w:right w:val="single" w:sz="4" w:space="0" w:color="auto"/>
            </w:tcBorders>
            <w:shd w:val="clear" w:color="auto" w:fill="auto"/>
          </w:tcPr>
          <w:p w14:paraId="21D663C0" w14:textId="77777777" w:rsidR="00C4104D" w:rsidRPr="008C6A8C" w:rsidRDefault="00C4104D" w:rsidP="005F2E4B">
            <w:pPr>
              <w:jc w:val="center"/>
              <w:rPr>
                <w:rFonts w:eastAsia="Calibri" w:cs="Arial"/>
                <w:bCs/>
                <w:sz w:val="20"/>
                <w:szCs w:val="20"/>
              </w:rPr>
            </w:pPr>
            <w:r w:rsidRPr="008C6A8C">
              <w:rPr>
                <w:rFonts w:cs="Arial"/>
                <w:sz w:val="20"/>
                <w:szCs w:val="20"/>
              </w:rPr>
              <w:t>2023</w:t>
            </w:r>
          </w:p>
        </w:tc>
        <w:tc>
          <w:tcPr>
            <w:tcW w:w="2020" w:type="dxa"/>
            <w:tcBorders>
              <w:top w:val="nil"/>
              <w:left w:val="nil"/>
              <w:bottom w:val="single" w:sz="12" w:space="0" w:color="auto"/>
              <w:right w:val="single" w:sz="4" w:space="0" w:color="auto"/>
            </w:tcBorders>
            <w:shd w:val="clear" w:color="auto" w:fill="auto"/>
          </w:tcPr>
          <w:p w14:paraId="38BD9085" w14:textId="77777777" w:rsidR="00C4104D" w:rsidRPr="008C6A8C" w:rsidRDefault="00C4104D" w:rsidP="005F2E4B">
            <w:pPr>
              <w:spacing w:line="252" w:lineRule="auto"/>
              <w:jc w:val="center"/>
              <w:rPr>
                <w:rFonts w:eastAsia="Calibri" w:cs="Arial"/>
                <w:bCs/>
                <w:sz w:val="20"/>
                <w:szCs w:val="20"/>
              </w:rPr>
            </w:pPr>
            <w:r w:rsidRPr="008C6A8C">
              <w:rPr>
                <w:rFonts w:eastAsia="Calibri" w:cs="Arial"/>
                <w:bCs/>
                <w:sz w:val="20"/>
                <w:szCs w:val="20"/>
              </w:rPr>
              <w:t>8</w:t>
            </w:r>
          </w:p>
        </w:tc>
        <w:tc>
          <w:tcPr>
            <w:tcW w:w="2738" w:type="dxa"/>
            <w:tcBorders>
              <w:top w:val="nil"/>
              <w:left w:val="nil"/>
              <w:bottom w:val="single" w:sz="12" w:space="0" w:color="auto"/>
              <w:right w:val="single" w:sz="4" w:space="0" w:color="auto"/>
            </w:tcBorders>
            <w:shd w:val="clear" w:color="auto" w:fill="auto"/>
          </w:tcPr>
          <w:p w14:paraId="5B5E1B00" w14:textId="77777777" w:rsidR="00C4104D" w:rsidRPr="008C6A8C" w:rsidRDefault="00C4104D" w:rsidP="005F2E4B">
            <w:pPr>
              <w:spacing w:line="252" w:lineRule="auto"/>
              <w:jc w:val="center"/>
              <w:rPr>
                <w:rFonts w:eastAsia="Calibri" w:cs="Arial"/>
                <w:bCs/>
                <w:sz w:val="20"/>
                <w:szCs w:val="20"/>
              </w:rPr>
            </w:pPr>
            <w:r w:rsidRPr="008C6A8C">
              <w:rPr>
                <w:rFonts w:eastAsia="Calibri" w:cs="Arial"/>
                <w:bCs/>
                <w:sz w:val="20"/>
                <w:szCs w:val="20"/>
              </w:rPr>
              <w:t>4</w:t>
            </w:r>
          </w:p>
        </w:tc>
        <w:tc>
          <w:tcPr>
            <w:tcW w:w="2551" w:type="dxa"/>
            <w:tcBorders>
              <w:top w:val="nil"/>
              <w:left w:val="nil"/>
              <w:bottom w:val="single" w:sz="12" w:space="0" w:color="auto"/>
              <w:right w:val="single" w:sz="12" w:space="0" w:color="auto"/>
            </w:tcBorders>
            <w:shd w:val="clear" w:color="auto" w:fill="auto"/>
          </w:tcPr>
          <w:p w14:paraId="443EC34A" w14:textId="77777777" w:rsidR="00C4104D" w:rsidRPr="008C6A8C" w:rsidRDefault="00C4104D" w:rsidP="005F2E4B">
            <w:pPr>
              <w:spacing w:line="252" w:lineRule="auto"/>
              <w:jc w:val="center"/>
              <w:rPr>
                <w:rFonts w:eastAsia="Calibri" w:cs="Arial"/>
                <w:bCs/>
                <w:sz w:val="20"/>
                <w:szCs w:val="20"/>
              </w:rPr>
            </w:pPr>
            <w:r w:rsidRPr="008C6A8C">
              <w:rPr>
                <w:rFonts w:eastAsia="Calibri" w:cs="Arial"/>
                <w:bCs/>
                <w:sz w:val="20"/>
                <w:szCs w:val="20"/>
              </w:rPr>
              <w:t>4</w:t>
            </w:r>
          </w:p>
        </w:tc>
      </w:tr>
      <w:tr w:rsidR="00C4104D" w:rsidRPr="00094DA0" w14:paraId="244BD1E6" w14:textId="77777777" w:rsidTr="005F2E4B">
        <w:trPr>
          <w:trHeight w:val="300"/>
        </w:trPr>
        <w:tc>
          <w:tcPr>
            <w:tcW w:w="960"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tcPr>
          <w:p w14:paraId="682EDC16" w14:textId="77777777" w:rsidR="00C4104D" w:rsidRPr="00065489" w:rsidRDefault="00C4104D" w:rsidP="005F2E4B">
            <w:pPr>
              <w:rPr>
                <w:rFonts w:cs="Arial"/>
                <w:b/>
                <w:bCs/>
                <w:color w:val="000000"/>
                <w:sz w:val="20"/>
                <w:szCs w:val="20"/>
              </w:rPr>
            </w:pPr>
            <w:r w:rsidRPr="00065489">
              <w:rPr>
                <w:rFonts w:cs="Arial"/>
                <w:b/>
                <w:bCs/>
                <w:color w:val="000000"/>
                <w:sz w:val="20"/>
                <w:szCs w:val="20"/>
              </w:rPr>
              <w:t>ÚV</w:t>
            </w:r>
          </w:p>
        </w:tc>
        <w:tc>
          <w:tcPr>
            <w:tcW w:w="960" w:type="dxa"/>
            <w:tcBorders>
              <w:top w:val="single" w:sz="12" w:space="0" w:color="auto"/>
              <w:left w:val="nil"/>
              <w:bottom w:val="single" w:sz="4" w:space="0" w:color="auto"/>
              <w:right w:val="single" w:sz="4" w:space="0" w:color="auto"/>
            </w:tcBorders>
            <w:shd w:val="clear" w:color="auto" w:fill="auto"/>
          </w:tcPr>
          <w:p w14:paraId="68BE1760" w14:textId="77777777" w:rsidR="00C4104D" w:rsidRPr="00065489" w:rsidRDefault="00C4104D" w:rsidP="005F2E4B">
            <w:pPr>
              <w:jc w:val="center"/>
              <w:rPr>
                <w:rFonts w:cs="Arial"/>
                <w:sz w:val="20"/>
                <w:szCs w:val="20"/>
              </w:rPr>
            </w:pPr>
            <w:r w:rsidRPr="00065489">
              <w:rPr>
                <w:rFonts w:cs="Arial"/>
                <w:sz w:val="20"/>
                <w:szCs w:val="20"/>
              </w:rPr>
              <w:t>2022</w:t>
            </w:r>
          </w:p>
        </w:tc>
        <w:tc>
          <w:tcPr>
            <w:tcW w:w="2020" w:type="dxa"/>
            <w:tcBorders>
              <w:top w:val="single" w:sz="12" w:space="0" w:color="auto"/>
              <w:left w:val="nil"/>
              <w:bottom w:val="single" w:sz="4" w:space="0" w:color="auto"/>
              <w:right w:val="single" w:sz="4" w:space="0" w:color="auto"/>
            </w:tcBorders>
            <w:shd w:val="clear" w:color="auto" w:fill="auto"/>
            <w:vAlign w:val="center"/>
          </w:tcPr>
          <w:p w14:paraId="5F93A07B" w14:textId="77777777" w:rsidR="00C4104D" w:rsidRPr="00DC4E4A" w:rsidRDefault="00C4104D" w:rsidP="005F2E4B">
            <w:pPr>
              <w:spacing w:line="256" w:lineRule="auto"/>
              <w:jc w:val="center"/>
              <w:rPr>
                <w:rFonts w:cs="Arial"/>
                <w:color w:val="000000"/>
                <w:sz w:val="20"/>
                <w:szCs w:val="20"/>
                <w:lang w:eastAsia="cs-CZ"/>
              </w:rPr>
            </w:pPr>
            <w:r w:rsidRPr="00DC4E4A">
              <w:rPr>
                <w:rFonts w:cs="Arial"/>
                <w:color w:val="000000"/>
                <w:sz w:val="20"/>
                <w:szCs w:val="20"/>
                <w:lang w:eastAsia="cs-CZ"/>
              </w:rPr>
              <w:t>6</w:t>
            </w:r>
          </w:p>
        </w:tc>
        <w:tc>
          <w:tcPr>
            <w:tcW w:w="2738" w:type="dxa"/>
            <w:tcBorders>
              <w:top w:val="single" w:sz="12" w:space="0" w:color="auto"/>
              <w:left w:val="nil"/>
              <w:bottom w:val="single" w:sz="4" w:space="0" w:color="auto"/>
              <w:right w:val="single" w:sz="4" w:space="0" w:color="auto"/>
            </w:tcBorders>
            <w:shd w:val="clear" w:color="auto" w:fill="auto"/>
            <w:vAlign w:val="center"/>
          </w:tcPr>
          <w:p w14:paraId="3D806A06" w14:textId="77777777" w:rsidR="00C4104D" w:rsidRPr="00DC4E4A" w:rsidRDefault="00C4104D" w:rsidP="005F2E4B">
            <w:pPr>
              <w:spacing w:line="256" w:lineRule="auto"/>
              <w:jc w:val="center"/>
              <w:rPr>
                <w:rFonts w:cs="Arial"/>
                <w:color w:val="000000"/>
                <w:sz w:val="20"/>
                <w:szCs w:val="20"/>
                <w:lang w:eastAsia="cs-CZ"/>
              </w:rPr>
            </w:pPr>
            <w:r w:rsidRPr="00DC4E4A">
              <w:rPr>
                <w:rFonts w:cs="Arial"/>
                <w:color w:val="000000"/>
                <w:sz w:val="20"/>
                <w:szCs w:val="20"/>
                <w:lang w:eastAsia="cs-CZ"/>
              </w:rPr>
              <w:t>2</w:t>
            </w:r>
          </w:p>
        </w:tc>
        <w:tc>
          <w:tcPr>
            <w:tcW w:w="2551" w:type="dxa"/>
            <w:tcBorders>
              <w:top w:val="single" w:sz="12" w:space="0" w:color="auto"/>
              <w:left w:val="nil"/>
              <w:bottom w:val="single" w:sz="4" w:space="0" w:color="auto"/>
              <w:right w:val="single" w:sz="12" w:space="0" w:color="auto"/>
            </w:tcBorders>
            <w:shd w:val="clear" w:color="auto" w:fill="auto"/>
            <w:vAlign w:val="center"/>
          </w:tcPr>
          <w:p w14:paraId="02702BC5" w14:textId="77777777" w:rsidR="00C4104D" w:rsidRPr="00DC4E4A" w:rsidRDefault="00C4104D" w:rsidP="005F2E4B">
            <w:pPr>
              <w:spacing w:line="256" w:lineRule="auto"/>
              <w:jc w:val="center"/>
              <w:rPr>
                <w:rFonts w:cs="Arial"/>
                <w:color w:val="000000"/>
                <w:sz w:val="20"/>
                <w:szCs w:val="20"/>
                <w:lang w:eastAsia="cs-CZ"/>
              </w:rPr>
            </w:pPr>
            <w:r w:rsidRPr="00DC4E4A">
              <w:rPr>
                <w:rFonts w:cs="Arial"/>
                <w:color w:val="000000"/>
                <w:sz w:val="20"/>
                <w:szCs w:val="20"/>
                <w:lang w:eastAsia="cs-CZ"/>
              </w:rPr>
              <w:t>4</w:t>
            </w:r>
          </w:p>
        </w:tc>
      </w:tr>
      <w:tr w:rsidR="00C4104D" w:rsidRPr="00094DA0" w14:paraId="5EB7CB02" w14:textId="77777777" w:rsidTr="005F2E4B">
        <w:trPr>
          <w:trHeight w:val="315"/>
        </w:trPr>
        <w:tc>
          <w:tcPr>
            <w:tcW w:w="960" w:type="dxa"/>
            <w:vMerge/>
            <w:tcBorders>
              <w:top w:val="nil"/>
              <w:left w:val="single" w:sz="12" w:space="0" w:color="auto"/>
              <w:bottom w:val="single" w:sz="12" w:space="0" w:color="auto"/>
              <w:right w:val="single" w:sz="4" w:space="0" w:color="auto"/>
            </w:tcBorders>
            <w:vAlign w:val="center"/>
          </w:tcPr>
          <w:p w14:paraId="0BC03A47" w14:textId="77777777" w:rsidR="00C4104D" w:rsidRPr="00065489" w:rsidRDefault="00C4104D" w:rsidP="005F2E4B">
            <w:pPr>
              <w:rPr>
                <w:rFonts w:cs="Arial"/>
                <w:b/>
                <w:bCs/>
                <w:color w:val="000000"/>
                <w:sz w:val="20"/>
                <w:szCs w:val="20"/>
              </w:rPr>
            </w:pPr>
          </w:p>
        </w:tc>
        <w:tc>
          <w:tcPr>
            <w:tcW w:w="960" w:type="dxa"/>
            <w:tcBorders>
              <w:top w:val="nil"/>
              <w:left w:val="nil"/>
              <w:bottom w:val="single" w:sz="12" w:space="0" w:color="auto"/>
              <w:right w:val="single" w:sz="4" w:space="0" w:color="auto"/>
            </w:tcBorders>
            <w:shd w:val="clear" w:color="auto" w:fill="auto"/>
          </w:tcPr>
          <w:p w14:paraId="6888787A" w14:textId="77777777" w:rsidR="00C4104D" w:rsidRPr="00065489" w:rsidRDefault="00C4104D" w:rsidP="005F2E4B">
            <w:pPr>
              <w:jc w:val="center"/>
              <w:rPr>
                <w:rFonts w:cs="Arial"/>
                <w:sz w:val="20"/>
                <w:szCs w:val="20"/>
              </w:rPr>
            </w:pPr>
            <w:r w:rsidRPr="00065489">
              <w:rPr>
                <w:rFonts w:cs="Arial"/>
                <w:sz w:val="20"/>
                <w:szCs w:val="20"/>
              </w:rPr>
              <w:t>2023</w:t>
            </w:r>
          </w:p>
        </w:tc>
        <w:tc>
          <w:tcPr>
            <w:tcW w:w="2020" w:type="dxa"/>
            <w:tcBorders>
              <w:top w:val="nil"/>
              <w:left w:val="nil"/>
              <w:bottom w:val="single" w:sz="12" w:space="0" w:color="auto"/>
              <w:right w:val="single" w:sz="4" w:space="0" w:color="auto"/>
            </w:tcBorders>
            <w:shd w:val="clear" w:color="auto" w:fill="auto"/>
            <w:vAlign w:val="center"/>
          </w:tcPr>
          <w:p w14:paraId="5682D37C" w14:textId="77777777" w:rsidR="00C4104D" w:rsidRPr="00DC4E4A" w:rsidRDefault="00C4104D" w:rsidP="005F2E4B">
            <w:pPr>
              <w:spacing w:line="256" w:lineRule="auto"/>
              <w:jc w:val="center"/>
              <w:rPr>
                <w:rFonts w:cs="Arial"/>
                <w:color w:val="000000"/>
                <w:sz w:val="20"/>
                <w:szCs w:val="20"/>
                <w:lang w:eastAsia="cs-CZ"/>
              </w:rPr>
            </w:pPr>
            <w:r w:rsidRPr="00DC4E4A">
              <w:rPr>
                <w:rFonts w:cs="Arial"/>
                <w:color w:val="000000"/>
                <w:sz w:val="20"/>
                <w:szCs w:val="20"/>
                <w:lang w:eastAsia="cs-CZ"/>
              </w:rPr>
              <w:t>8</w:t>
            </w:r>
          </w:p>
        </w:tc>
        <w:tc>
          <w:tcPr>
            <w:tcW w:w="2738" w:type="dxa"/>
            <w:tcBorders>
              <w:top w:val="nil"/>
              <w:left w:val="nil"/>
              <w:bottom w:val="single" w:sz="12" w:space="0" w:color="auto"/>
              <w:right w:val="single" w:sz="4" w:space="0" w:color="auto"/>
            </w:tcBorders>
            <w:shd w:val="clear" w:color="auto" w:fill="auto"/>
            <w:vAlign w:val="center"/>
          </w:tcPr>
          <w:p w14:paraId="73F81CDA" w14:textId="77777777" w:rsidR="00C4104D" w:rsidRPr="00DC4E4A" w:rsidRDefault="00C4104D" w:rsidP="005F2E4B">
            <w:pPr>
              <w:spacing w:line="256" w:lineRule="auto"/>
              <w:jc w:val="center"/>
              <w:rPr>
                <w:rFonts w:cs="Arial"/>
                <w:color w:val="000000"/>
                <w:sz w:val="20"/>
                <w:szCs w:val="20"/>
                <w:lang w:eastAsia="cs-CZ"/>
              </w:rPr>
            </w:pPr>
            <w:r w:rsidRPr="00DC4E4A">
              <w:rPr>
                <w:rFonts w:cs="Arial"/>
                <w:color w:val="000000"/>
                <w:sz w:val="20"/>
                <w:szCs w:val="20"/>
                <w:lang w:eastAsia="cs-CZ"/>
              </w:rPr>
              <w:t>5</w:t>
            </w:r>
          </w:p>
        </w:tc>
        <w:tc>
          <w:tcPr>
            <w:tcW w:w="2551" w:type="dxa"/>
            <w:tcBorders>
              <w:top w:val="nil"/>
              <w:left w:val="nil"/>
              <w:bottom w:val="single" w:sz="12" w:space="0" w:color="auto"/>
              <w:right w:val="single" w:sz="12" w:space="0" w:color="auto"/>
            </w:tcBorders>
            <w:shd w:val="clear" w:color="auto" w:fill="auto"/>
            <w:vAlign w:val="center"/>
          </w:tcPr>
          <w:p w14:paraId="1077CB1D" w14:textId="77777777" w:rsidR="00C4104D" w:rsidRPr="00DC4E4A" w:rsidRDefault="00C4104D" w:rsidP="005F2E4B">
            <w:pPr>
              <w:spacing w:line="256" w:lineRule="auto"/>
              <w:jc w:val="center"/>
              <w:rPr>
                <w:rFonts w:cs="Arial"/>
                <w:color w:val="000000"/>
                <w:sz w:val="20"/>
                <w:szCs w:val="20"/>
                <w:lang w:eastAsia="cs-CZ"/>
              </w:rPr>
            </w:pPr>
            <w:r w:rsidRPr="00DC4E4A">
              <w:rPr>
                <w:rFonts w:cs="Arial"/>
                <w:color w:val="000000"/>
                <w:sz w:val="20"/>
                <w:szCs w:val="20"/>
                <w:lang w:eastAsia="cs-CZ"/>
              </w:rPr>
              <w:t>3</w:t>
            </w:r>
          </w:p>
        </w:tc>
      </w:tr>
    </w:tbl>
    <w:p w14:paraId="4BF403C3" w14:textId="77777777" w:rsidR="00C4104D" w:rsidRPr="00C33E04" w:rsidRDefault="00C4104D" w:rsidP="00C4104D">
      <w:pPr>
        <w:rPr>
          <w:rFonts w:cs="Arial"/>
          <w:sz w:val="20"/>
          <w:szCs w:val="20"/>
        </w:rPr>
      </w:pPr>
    </w:p>
    <w:p w14:paraId="6B41293A" w14:textId="77777777" w:rsidR="00C4104D" w:rsidRPr="00EF6F2C" w:rsidRDefault="00C4104D" w:rsidP="009A3643">
      <w:pPr>
        <w:spacing w:after="0"/>
        <w:rPr>
          <w:rFonts w:eastAsia="Calibri" w:cs="Arial"/>
          <w:bCs/>
          <w:sz w:val="20"/>
          <w:szCs w:val="20"/>
        </w:rPr>
      </w:pPr>
      <w:r w:rsidRPr="00EF6F2C">
        <w:rPr>
          <w:rFonts w:eastAsia="Calibri" w:cs="Arial"/>
          <w:bCs/>
          <w:sz w:val="20"/>
          <w:szCs w:val="20"/>
        </w:rPr>
        <w:t>GŘC – Generální ředitelství cel, GFŘ – Generální finanční ředitelství, ÚZSVM – Úřad pro zastupování státu ve věcech majetkových, STC – Státní tiskárna cenin</w:t>
      </w:r>
    </w:p>
    <w:p w14:paraId="3DD78AA9" w14:textId="77777777" w:rsidR="00C4104D" w:rsidRPr="00507685" w:rsidRDefault="00C4104D" w:rsidP="009A3643">
      <w:pPr>
        <w:spacing w:after="0"/>
        <w:rPr>
          <w:rFonts w:cs="Arial"/>
          <w:sz w:val="20"/>
          <w:szCs w:val="20"/>
          <w:highlight w:val="yellow"/>
        </w:rPr>
      </w:pPr>
    </w:p>
    <w:p w14:paraId="10EF4126" w14:textId="77777777" w:rsidR="00C4104D" w:rsidRPr="008E30C8" w:rsidRDefault="00C4104D" w:rsidP="009A3643">
      <w:pPr>
        <w:spacing w:after="0"/>
        <w:rPr>
          <w:rFonts w:cs="Arial"/>
          <w:sz w:val="20"/>
          <w:szCs w:val="20"/>
        </w:rPr>
      </w:pPr>
      <w:r w:rsidRPr="008E30C8">
        <w:rPr>
          <w:rFonts w:cs="Arial"/>
          <w:sz w:val="20"/>
          <w:szCs w:val="20"/>
        </w:rPr>
        <w:t>ND -</w:t>
      </w:r>
      <w:r w:rsidRPr="008E30C8">
        <w:rPr>
          <w:rFonts w:eastAsia="Calibri" w:cs="Arial"/>
          <w:sz w:val="20"/>
          <w:szCs w:val="20"/>
        </w:rPr>
        <w:t xml:space="preserve"> Národní divadlo</w:t>
      </w:r>
      <w:r w:rsidRPr="008E30C8">
        <w:rPr>
          <w:rFonts w:cs="Arial"/>
          <w:sz w:val="20"/>
          <w:szCs w:val="20"/>
        </w:rPr>
        <w:t xml:space="preserve">, ČF – Česká filharmonie, IU-DÚ - Institut umění – Divadelní ústav, NK ČR – Národní knihovna ČR, MZK – Moravská zemská knihovna, KTN – Knihovna a tiskárna pro nevidomé K. E. Macana, NPÚ – Národní památkový ústav, NM – Národní muzeum, MZM – Moravské zemské muzeum, SZM – Slezské zemské muzeum, NGP – Národní galerie v Praze, MGB - Moravská galerie v Brně, MUO – Muzeum umění Olomouc, MSB – Muzeum skla a bižuterie v Jablonci nad Nisou, TMB – Technické muzeum v Brně, NMP – Národní muzeum v přírodě, HMT – Husitské muzeum v Táboře, </w:t>
      </w:r>
      <w:r w:rsidRPr="008E30C8">
        <w:rPr>
          <w:rFonts w:cs="Arial"/>
          <w:color w:val="000000"/>
          <w:sz w:val="20"/>
          <w:szCs w:val="20"/>
        </w:rPr>
        <w:t xml:space="preserve">NÚLK - </w:t>
      </w:r>
      <w:r w:rsidRPr="008E30C8">
        <w:rPr>
          <w:rFonts w:eastAsia="Calibri" w:cs="Arial"/>
          <w:sz w:val="20"/>
          <w:szCs w:val="20"/>
        </w:rPr>
        <w:t xml:space="preserve">Národní ústav lidové kultury ve Strážnici, NIPOS - </w:t>
      </w:r>
      <w:r w:rsidRPr="008E30C8">
        <w:rPr>
          <w:rFonts w:cs="Arial"/>
          <w:bCs/>
          <w:sz w:val="20"/>
          <w:szCs w:val="20"/>
        </w:rPr>
        <w:t xml:space="preserve">Národní informační a poradenské středisko pro kulturu, MRK – Muzeum romské kultury, </w:t>
      </w:r>
      <w:r w:rsidRPr="008E30C8">
        <w:rPr>
          <w:rFonts w:eastAsia="Calibri" w:cs="Arial"/>
          <w:sz w:val="20"/>
          <w:szCs w:val="20"/>
        </w:rPr>
        <w:t xml:space="preserve">PNP - Památník národního písemnictví, PT - Památník Terezín, PL - Památník Lidice, NFA – Národní filmový archiv, NTM – Národní technické muzeum, UMP - Uměleckoprůmyslové museum v Praze, </w:t>
      </w:r>
      <w:r w:rsidRPr="008E30C8">
        <w:rPr>
          <w:rFonts w:cs="Arial"/>
          <w:bCs/>
          <w:sz w:val="20"/>
          <w:szCs w:val="20"/>
        </w:rPr>
        <w:t>MJAK – Muzeum J. A. Komenského, MLK – Muzeum loutkářských kultur</w:t>
      </w:r>
      <w:r w:rsidRPr="008E30C8">
        <w:rPr>
          <w:rFonts w:cs="Arial"/>
          <w:sz w:val="20"/>
          <w:szCs w:val="20"/>
        </w:rPr>
        <w:t>, PFS – Pražský filharmonický sbor</w:t>
      </w:r>
    </w:p>
    <w:p w14:paraId="45A31AC8" w14:textId="77777777" w:rsidR="00C4104D" w:rsidRPr="00507685" w:rsidRDefault="00C4104D" w:rsidP="009A3643">
      <w:pPr>
        <w:spacing w:after="0"/>
        <w:rPr>
          <w:rFonts w:eastAsia="Calibri" w:cs="Arial"/>
          <w:b/>
          <w:sz w:val="20"/>
          <w:szCs w:val="20"/>
          <w:highlight w:val="yellow"/>
        </w:rPr>
      </w:pPr>
    </w:p>
    <w:p w14:paraId="1D474B8A" w14:textId="00432BD8" w:rsidR="00C4104D" w:rsidRPr="00F3043A" w:rsidRDefault="00C4104D" w:rsidP="009A3643">
      <w:pPr>
        <w:spacing w:after="0"/>
        <w:rPr>
          <w:rFonts w:eastAsia="Calibri" w:cs="Arial"/>
          <w:bCs/>
          <w:sz w:val="20"/>
          <w:szCs w:val="20"/>
        </w:rPr>
      </w:pPr>
      <w:r w:rsidRPr="00004ED6">
        <w:rPr>
          <w:rFonts w:eastAsia="Calibri" w:cs="Arial"/>
          <w:bCs/>
          <w:sz w:val="20"/>
          <w:szCs w:val="20"/>
        </w:rPr>
        <w:t xml:space="preserve">IKSP – Institut pro kriminologii a sociální </w:t>
      </w:r>
      <w:r w:rsidRPr="00F3043A">
        <w:rPr>
          <w:rFonts w:eastAsia="Calibri" w:cs="Arial"/>
          <w:bCs/>
          <w:sz w:val="20"/>
          <w:szCs w:val="20"/>
        </w:rPr>
        <w:t>prevenci, JA – Just</w:t>
      </w:r>
      <w:r w:rsidR="000D2BD6">
        <w:rPr>
          <w:rFonts w:eastAsia="Calibri" w:cs="Arial"/>
          <w:bCs/>
          <w:sz w:val="20"/>
          <w:szCs w:val="20"/>
        </w:rPr>
        <w:t>iční akademie, PMS – Probační a </w:t>
      </w:r>
      <w:r w:rsidRPr="00F3043A">
        <w:rPr>
          <w:rFonts w:eastAsia="Calibri" w:cs="Arial"/>
          <w:bCs/>
          <w:sz w:val="20"/>
          <w:szCs w:val="20"/>
        </w:rPr>
        <w:t>mediační služba, RT – Rejstřík trestů, VS ČR – Vězeňská služba ČR</w:t>
      </w:r>
    </w:p>
    <w:p w14:paraId="5329C1A7" w14:textId="77777777" w:rsidR="00C4104D" w:rsidRDefault="00C4104D" w:rsidP="009A3643">
      <w:pPr>
        <w:spacing w:after="0"/>
        <w:rPr>
          <w:rFonts w:eastAsia="Calibri" w:cs="Arial"/>
          <w:sz w:val="20"/>
          <w:szCs w:val="20"/>
          <w:highlight w:val="yellow"/>
        </w:rPr>
      </w:pPr>
    </w:p>
    <w:p w14:paraId="03F6F951" w14:textId="77777777" w:rsidR="00C4104D" w:rsidRPr="0052713F" w:rsidRDefault="00C4104D" w:rsidP="00C4104D">
      <w:pPr>
        <w:rPr>
          <w:rFonts w:eastAsia="Calibri" w:cs="Arial"/>
          <w:sz w:val="20"/>
          <w:szCs w:val="20"/>
        </w:rPr>
      </w:pPr>
      <w:r w:rsidRPr="0052713F">
        <w:rPr>
          <w:rFonts w:eastAsia="Calibri" w:cs="Arial"/>
          <w:sz w:val="20"/>
          <w:szCs w:val="20"/>
        </w:rPr>
        <w:t>HZS ČR – Hasičský záchranný sbor České republiky, PČR – Policie České republiky</w:t>
      </w:r>
    </w:p>
    <w:p w14:paraId="34C73D24" w14:textId="77777777" w:rsidR="00C4104D" w:rsidRPr="00507685" w:rsidRDefault="00C4104D" w:rsidP="00C4104D">
      <w:pPr>
        <w:rPr>
          <w:rFonts w:eastAsia="Calibri" w:cs="Arial"/>
          <w:sz w:val="20"/>
          <w:szCs w:val="20"/>
          <w:highlight w:val="yellow"/>
        </w:rPr>
      </w:pPr>
    </w:p>
    <w:p w14:paraId="5A816811" w14:textId="77777777" w:rsidR="00C4104D" w:rsidRPr="00B42C54" w:rsidRDefault="00C4104D" w:rsidP="00C4104D">
      <w:pPr>
        <w:rPr>
          <w:rFonts w:cs="Arial"/>
          <w:b/>
          <w:bCs/>
          <w:sz w:val="20"/>
          <w:szCs w:val="20"/>
        </w:rPr>
      </w:pPr>
      <w:r w:rsidRPr="00B42C54">
        <w:rPr>
          <w:rFonts w:cs="Arial"/>
          <w:b/>
          <w:bCs/>
          <w:sz w:val="20"/>
          <w:szCs w:val="20"/>
        </w:rPr>
        <w:t xml:space="preserve">STANOVISKO K PLNĚNÍ: </w:t>
      </w:r>
    </w:p>
    <w:p w14:paraId="318233C9" w14:textId="73E64FD5" w:rsidR="00C4104D" w:rsidRPr="00507685" w:rsidRDefault="00C4104D" w:rsidP="00C4104D">
      <w:pPr>
        <w:rPr>
          <w:rFonts w:cs="Arial"/>
          <w:b/>
          <w:bCs/>
          <w:sz w:val="20"/>
          <w:szCs w:val="20"/>
          <w:highlight w:val="yellow"/>
        </w:rPr>
      </w:pPr>
      <w:r w:rsidRPr="00564905">
        <w:rPr>
          <w:rFonts w:cs="Arial"/>
          <w:b/>
          <w:bCs/>
          <w:sz w:val="20"/>
          <w:szCs w:val="20"/>
        </w:rPr>
        <w:t xml:space="preserve">Plněno: MD, </w:t>
      </w:r>
      <w:r w:rsidR="00564905" w:rsidRPr="00564905">
        <w:rPr>
          <w:rFonts w:cs="Arial"/>
          <w:b/>
          <w:bCs/>
          <w:sz w:val="20"/>
          <w:szCs w:val="20"/>
        </w:rPr>
        <w:t>MF</w:t>
      </w:r>
      <w:r w:rsidR="00564905" w:rsidRPr="002A3D5D">
        <w:rPr>
          <w:rFonts w:cs="Arial"/>
          <w:b/>
          <w:bCs/>
          <w:sz w:val="20"/>
          <w:szCs w:val="20"/>
        </w:rPr>
        <w:t xml:space="preserve">, </w:t>
      </w:r>
      <w:r w:rsidR="002A3D5D" w:rsidRPr="002A3D5D">
        <w:rPr>
          <w:rFonts w:cs="Arial"/>
          <w:b/>
          <w:bCs/>
          <w:sz w:val="20"/>
          <w:szCs w:val="20"/>
        </w:rPr>
        <w:t xml:space="preserve">MO, MPO, </w:t>
      </w:r>
      <w:r w:rsidR="000868CF">
        <w:rPr>
          <w:rFonts w:cs="Arial"/>
          <w:b/>
          <w:bCs/>
          <w:sz w:val="20"/>
          <w:szCs w:val="20"/>
        </w:rPr>
        <w:t>MPSV</w:t>
      </w:r>
      <w:r w:rsidR="000868CF" w:rsidRPr="00E75ACC">
        <w:rPr>
          <w:rFonts w:cs="Arial"/>
          <w:b/>
          <w:bCs/>
          <w:sz w:val="20"/>
          <w:szCs w:val="20"/>
        </w:rPr>
        <w:t xml:space="preserve">, </w:t>
      </w:r>
      <w:r w:rsidRPr="00E75ACC">
        <w:rPr>
          <w:rFonts w:cs="Arial"/>
          <w:b/>
          <w:bCs/>
          <w:sz w:val="20"/>
          <w:szCs w:val="20"/>
        </w:rPr>
        <w:t>M</w:t>
      </w:r>
      <w:r w:rsidRPr="006271C5">
        <w:rPr>
          <w:rFonts w:cs="Arial"/>
          <w:b/>
          <w:bCs/>
          <w:sz w:val="20"/>
          <w:szCs w:val="20"/>
        </w:rPr>
        <w:t xml:space="preserve">Sp, </w:t>
      </w:r>
      <w:r w:rsidR="006271C5" w:rsidRPr="00B42C54">
        <w:rPr>
          <w:rFonts w:cs="Arial"/>
          <w:b/>
          <w:bCs/>
          <w:sz w:val="20"/>
          <w:szCs w:val="20"/>
        </w:rPr>
        <w:t>MZe,</w:t>
      </w:r>
      <w:r w:rsidRPr="00B42C54">
        <w:rPr>
          <w:rFonts w:cs="Arial"/>
          <w:b/>
          <w:bCs/>
          <w:sz w:val="20"/>
          <w:szCs w:val="20"/>
        </w:rPr>
        <w:t xml:space="preserve"> </w:t>
      </w:r>
      <w:r w:rsidR="006271C5" w:rsidRPr="00B42C54">
        <w:rPr>
          <w:rFonts w:cs="Arial"/>
          <w:b/>
          <w:bCs/>
          <w:sz w:val="20"/>
          <w:szCs w:val="20"/>
        </w:rPr>
        <w:t>ÚV</w:t>
      </w:r>
    </w:p>
    <w:p w14:paraId="6B09772A" w14:textId="131F9F2A" w:rsidR="00C4104D" w:rsidRPr="00507685" w:rsidRDefault="00C4104D" w:rsidP="00C4104D">
      <w:pPr>
        <w:rPr>
          <w:rFonts w:cs="Arial"/>
          <w:b/>
          <w:bCs/>
          <w:sz w:val="20"/>
          <w:szCs w:val="20"/>
          <w:highlight w:val="yellow"/>
        </w:rPr>
      </w:pPr>
      <w:r w:rsidRPr="00564905">
        <w:rPr>
          <w:rFonts w:cs="Arial"/>
          <w:b/>
          <w:bCs/>
          <w:sz w:val="20"/>
          <w:szCs w:val="20"/>
        </w:rPr>
        <w:t>Částečně plněno:</w:t>
      </w:r>
      <w:r w:rsidR="00564905" w:rsidRPr="00564905">
        <w:rPr>
          <w:rFonts w:cs="Arial"/>
          <w:b/>
          <w:bCs/>
          <w:sz w:val="20"/>
          <w:szCs w:val="20"/>
        </w:rPr>
        <w:t xml:space="preserve"> MŽP</w:t>
      </w:r>
    </w:p>
    <w:p w14:paraId="652D7B98" w14:textId="5D694182" w:rsidR="00C4104D" w:rsidRPr="00C33E04" w:rsidRDefault="00C4104D" w:rsidP="00C4104D">
      <w:pPr>
        <w:rPr>
          <w:rFonts w:cs="Arial"/>
          <w:b/>
          <w:bCs/>
          <w:sz w:val="20"/>
          <w:szCs w:val="20"/>
        </w:rPr>
      </w:pPr>
      <w:r w:rsidRPr="00564905">
        <w:rPr>
          <w:rFonts w:cs="Arial"/>
          <w:b/>
          <w:bCs/>
          <w:sz w:val="20"/>
          <w:szCs w:val="20"/>
        </w:rPr>
        <w:t xml:space="preserve">Neplněno: </w:t>
      </w:r>
      <w:r w:rsidR="00564905" w:rsidRPr="00D94D3B">
        <w:rPr>
          <w:rFonts w:cs="Arial"/>
          <w:b/>
          <w:bCs/>
          <w:sz w:val="20"/>
          <w:szCs w:val="20"/>
        </w:rPr>
        <w:t xml:space="preserve">MK, </w:t>
      </w:r>
      <w:r w:rsidR="00D94D3B" w:rsidRPr="00D94D3B">
        <w:rPr>
          <w:rFonts w:cs="Arial"/>
          <w:b/>
          <w:bCs/>
          <w:sz w:val="20"/>
          <w:szCs w:val="20"/>
        </w:rPr>
        <w:t xml:space="preserve">MMR, </w:t>
      </w:r>
      <w:r w:rsidR="00590085" w:rsidRPr="00590085">
        <w:rPr>
          <w:rFonts w:cs="Arial"/>
          <w:b/>
          <w:bCs/>
          <w:sz w:val="20"/>
          <w:szCs w:val="20"/>
        </w:rPr>
        <w:t>MŠMT,</w:t>
      </w:r>
      <w:r w:rsidR="00EF0D97">
        <w:rPr>
          <w:rFonts w:cs="Arial"/>
          <w:b/>
          <w:bCs/>
          <w:sz w:val="20"/>
          <w:szCs w:val="20"/>
        </w:rPr>
        <w:t xml:space="preserve"> MV, </w:t>
      </w:r>
      <w:r w:rsidRPr="00EF0D97">
        <w:rPr>
          <w:rFonts w:cs="Arial"/>
          <w:b/>
          <w:bCs/>
          <w:sz w:val="20"/>
          <w:szCs w:val="20"/>
        </w:rPr>
        <w:t>MZ</w:t>
      </w:r>
      <w:r w:rsidR="006271C5">
        <w:rPr>
          <w:rFonts w:cs="Arial"/>
          <w:b/>
          <w:bCs/>
          <w:sz w:val="20"/>
          <w:szCs w:val="20"/>
        </w:rPr>
        <w:t>, MZV</w:t>
      </w:r>
    </w:p>
    <w:p w14:paraId="56D059AD" w14:textId="333AC75F" w:rsidR="00F17E74" w:rsidRPr="002C7C06" w:rsidRDefault="00544214" w:rsidP="00C3667E">
      <w:pPr>
        <w:pStyle w:val="Nadpis2"/>
        <w:numPr>
          <w:ilvl w:val="0"/>
          <w:numId w:val="0"/>
        </w:numPr>
        <w:rPr>
          <w:rFonts w:cs="Arial"/>
          <w:szCs w:val="28"/>
        </w:rPr>
      </w:pPr>
      <w:bookmarkStart w:id="46" w:name="_Toc38548797"/>
      <w:bookmarkStart w:id="47" w:name="_Toc38828894"/>
      <w:bookmarkStart w:id="48" w:name="_Toc101957900"/>
      <w:r w:rsidRPr="002C7C06">
        <w:rPr>
          <w:szCs w:val="28"/>
        </w:rPr>
        <w:t>Oblast č. 1</w:t>
      </w:r>
      <w:r w:rsidR="00891A85" w:rsidRPr="002C7C06">
        <w:rPr>
          <w:szCs w:val="28"/>
        </w:rPr>
        <w:t>2</w:t>
      </w:r>
      <w:r w:rsidR="00FE68E2" w:rsidRPr="002C7C06">
        <w:rPr>
          <w:szCs w:val="28"/>
        </w:rPr>
        <w:t>:</w:t>
      </w:r>
      <w:r w:rsidRPr="002C7C06">
        <w:rPr>
          <w:szCs w:val="28"/>
        </w:rPr>
        <w:t xml:space="preserve"> </w:t>
      </w:r>
      <w:r w:rsidR="00F17E74" w:rsidRPr="002C7C06">
        <w:rPr>
          <w:szCs w:val="28"/>
        </w:rPr>
        <w:t xml:space="preserve">Posuzování zdravotního stavu pro jednotlivé subsystémy </w:t>
      </w:r>
      <w:r w:rsidR="00F17E74" w:rsidRPr="002C7C06">
        <w:rPr>
          <w:rFonts w:cs="Arial"/>
          <w:szCs w:val="28"/>
        </w:rPr>
        <w:t>sociálního zabezpečení</w:t>
      </w:r>
      <w:bookmarkEnd w:id="46"/>
      <w:bookmarkEnd w:id="47"/>
      <w:bookmarkEnd w:id="48"/>
      <w:r w:rsidR="00F17E74" w:rsidRPr="002C7C06">
        <w:rPr>
          <w:rFonts w:cs="Arial"/>
          <w:szCs w:val="28"/>
        </w:rPr>
        <w:t xml:space="preserve"> </w:t>
      </w:r>
    </w:p>
    <w:p w14:paraId="1C35EC0E" w14:textId="68C5E032" w:rsidR="00F17E74" w:rsidRDefault="00F17E74" w:rsidP="006E26A3">
      <w:pPr>
        <w:rPr>
          <w:rFonts w:cs="Arial"/>
          <w:sz w:val="20"/>
          <w:szCs w:val="20"/>
        </w:rPr>
      </w:pPr>
      <w:r w:rsidRPr="003F0888">
        <w:rPr>
          <w:rFonts w:cs="Arial"/>
          <w:sz w:val="20"/>
          <w:szCs w:val="20"/>
        </w:rPr>
        <w:t xml:space="preserve">Opatření obsažená v </w:t>
      </w:r>
      <w:r w:rsidRPr="00082A9C">
        <w:rPr>
          <w:rFonts w:cs="Arial"/>
          <w:sz w:val="20"/>
          <w:szCs w:val="20"/>
        </w:rPr>
        <w:t xml:space="preserve">této </w:t>
      </w:r>
      <w:r w:rsidR="00082A9C" w:rsidRPr="00082A9C">
        <w:rPr>
          <w:rFonts w:cs="Arial"/>
          <w:sz w:val="20"/>
          <w:szCs w:val="20"/>
        </w:rPr>
        <w:t>oblasti</w:t>
      </w:r>
      <w:r w:rsidRPr="00082A9C">
        <w:rPr>
          <w:rFonts w:cs="Arial"/>
          <w:sz w:val="20"/>
          <w:szCs w:val="20"/>
        </w:rPr>
        <w:t xml:space="preserve"> jsou zaměřena především na h</w:t>
      </w:r>
      <w:r w:rsidR="000D2BD6">
        <w:rPr>
          <w:rFonts w:cs="Arial"/>
          <w:sz w:val="20"/>
          <w:szCs w:val="20"/>
        </w:rPr>
        <w:t>ledání možností, jak zpřesnit a </w:t>
      </w:r>
      <w:r w:rsidRPr="00082A9C">
        <w:rPr>
          <w:rFonts w:cs="Arial"/>
          <w:sz w:val="20"/>
          <w:szCs w:val="20"/>
        </w:rPr>
        <w:t>zkvalitnit systém posuzování zdravotního stavu</w:t>
      </w:r>
      <w:r w:rsidRPr="003F0888">
        <w:rPr>
          <w:rFonts w:cs="Arial"/>
          <w:sz w:val="20"/>
          <w:szCs w:val="20"/>
        </w:rPr>
        <w:t xml:space="preserve"> pro jednotlivé subsystémy sociálního zabezpečení. Základním úkolem pro následující období </w:t>
      </w:r>
      <w:r w:rsidR="00B31485" w:rsidRPr="003F0888">
        <w:rPr>
          <w:rFonts w:cs="Arial"/>
          <w:sz w:val="20"/>
          <w:szCs w:val="20"/>
        </w:rPr>
        <w:t xml:space="preserve">je </w:t>
      </w:r>
      <w:r w:rsidRPr="003F0888">
        <w:rPr>
          <w:rFonts w:cs="Arial"/>
          <w:sz w:val="20"/>
          <w:szCs w:val="20"/>
        </w:rPr>
        <w:t>provedení revize cel</w:t>
      </w:r>
      <w:r w:rsidR="000D2BD6">
        <w:rPr>
          <w:rFonts w:cs="Arial"/>
          <w:sz w:val="20"/>
          <w:szCs w:val="20"/>
        </w:rPr>
        <w:t>ého systému posuzování, neboť i </w:t>
      </w:r>
      <w:r w:rsidRPr="003F0888">
        <w:rPr>
          <w:rFonts w:cs="Arial"/>
          <w:sz w:val="20"/>
          <w:szCs w:val="20"/>
        </w:rPr>
        <w:t xml:space="preserve">přes řadu opatření se současný systém </w:t>
      </w:r>
      <w:r w:rsidR="0094235B" w:rsidRPr="003F0888">
        <w:rPr>
          <w:rFonts w:cs="Arial"/>
          <w:sz w:val="20"/>
          <w:szCs w:val="20"/>
        </w:rPr>
        <w:t>lékařské posudkové služby</w:t>
      </w:r>
      <w:r w:rsidRPr="003F0888">
        <w:rPr>
          <w:rFonts w:cs="Arial"/>
          <w:sz w:val="20"/>
          <w:szCs w:val="20"/>
        </w:rPr>
        <w:t xml:space="preserve"> potýká s dlouhými lhůtami při vyřizování žádostí. Je proto nezbytné nastavit systém posuzování tak, aby byly nejen dodržovány stanovené lhůty, ale aby byla zajištěna i průkaznost a </w:t>
      </w:r>
      <w:r w:rsidR="003D4EC4" w:rsidRPr="003F0888">
        <w:rPr>
          <w:rFonts w:cs="Arial"/>
          <w:sz w:val="20"/>
          <w:szCs w:val="20"/>
        </w:rPr>
        <w:t xml:space="preserve">co největší </w:t>
      </w:r>
      <w:r w:rsidR="006E26A3">
        <w:rPr>
          <w:rFonts w:cs="Arial"/>
          <w:sz w:val="20"/>
          <w:szCs w:val="20"/>
        </w:rPr>
        <w:t>objektivita vydávaných posudků.</w:t>
      </w:r>
    </w:p>
    <w:p w14:paraId="0DA234DC" w14:textId="77777777" w:rsidR="006E26A3" w:rsidRPr="003F0888" w:rsidRDefault="006E26A3" w:rsidP="006E26A3">
      <w:pPr>
        <w:rPr>
          <w:rFonts w:cs="Arial"/>
          <w:sz w:val="20"/>
          <w:szCs w:val="20"/>
        </w:rPr>
      </w:pPr>
    </w:p>
    <w:p w14:paraId="66B7656F" w14:textId="1F7302BA" w:rsidR="00AF383C" w:rsidRPr="000C2B3A" w:rsidRDefault="00F17E74" w:rsidP="000C2B3A">
      <w:pPr>
        <w:rPr>
          <w:rFonts w:cs="Arial"/>
          <w:b/>
          <w:bCs/>
          <w:szCs w:val="20"/>
        </w:rPr>
      </w:pPr>
      <w:r>
        <w:rPr>
          <w:rFonts w:cs="Arial"/>
          <w:b/>
          <w:bCs/>
          <w:szCs w:val="20"/>
        </w:rPr>
        <w:t xml:space="preserve">12.1 </w:t>
      </w:r>
      <w:r w:rsidRPr="000D3EDE">
        <w:rPr>
          <w:rFonts w:cs="Arial"/>
          <w:b/>
          <w:bCs/>
          <w:szCs w:val="20"/>
        </w:rPr>
        <w:t>Cíl: Kvalitní systém posuzování zdravotního stavu pro účely sociálního zabezpečení.</w:t>
      </w:r>
    </w:p>
    <w:p w14:paraId="22BEBD8F" w14:textId="77777777" w:rsidR="00974DEB" w:rsidRPr="000D3EDE" w:rsidRDefault="00974DEB" w:rsidP="00974DEB">
      <w:pPr>
        <w:rPr>
          <w:rFonts w:cs="Arial"/>
          <w:szCs w:val="20"/>
        </w:rPr>
      </w:pPr>
      <w:r w:rsidRPr="0035060D">
        <w:rPr>
          <w:rFonts w:cs="Arial"/>
          <w:bCs/>
          <w:szCs w:val="20"/>
        </w:rPr>
        <w:t xml:space="preserve">Opatření </w:t>
      </w:r>
      <w:r>
        <w:rPr>
          <w:rFonts w:cs="Arial"/>
          <w:bCs/>
          <w:szCs w:val="20"/>
        </w:rPr>
        <w:t>12</w:t>
      </w:r>
      <w:r>
        <w:rPr>
          <w:rFonts w:cs="Arial"/>
          <w:szCs w:val="20"/>
        </w:rPr>
        <w:t xml:space="preserve">.1.3 </w:t>
      </w:r>
      <w:r w:rsidRPr="000D3EDE">
        <w:rPr>
          <w:rFonts w:cs="Arial"/>
          <w:szCs w:val="20"/>
        </w:rPr>
        <w:t xml:space="preserve">Provést revizi systému posuzování </w:t>
      </w:r>
      <w:r w:rsidRPr="000D3EDE">
        <w:rPr>
          <w:rFonts w:cs="Arial"/>
          <w:bCs/>
          <w:szCs w:val="20"/>
        </w:rPr>
        <w:t xml:space="preserve">zdravotního stavu </w:t>
      </w:r>
      <w:r>
        <w:rPr>
          <w:rFonts w:cs="Arial"/>
          <w:bCs/>
          <w:szCs w:val="20"/>
        </w:rPr>
        <w:t>se zohledněním nových postupů v této oblasti</w:t>
      </w:r>
      <w:r>
        <w:rPr>
          <w:rFonts w:cs="Arial"/>
          <w:szCs w:val="20"/>
        </w:rPr>
        <w:t>.</w:t>
      </w:r>
    </w:p>
    <w:p w14:paraId="0A7ACB41" w14:textId="77777777" w:rsidR="00974DEB" w:rsidRPr="000D3EDE" w:rsidRDefault="00974DEB" w:rsidP="00974DEB">
      <w:pPr>
        <w:rPr>
          <w:rFonts w:cs="Arial"/>
          <w:szCs w:val="20"/>
        </w:rPr>
      </w:pPr>
      <w:r w:rsidRPr="000D3EDE">
        <w:rPr>
          <w:rFonts w:cs="Arial"/>
          <w:szCs w:val="20"/>
        </w:rPr>
        <w:t xml:space="preserve">Termín: </w:t>
      </w:r>
      <w:proofErr w:type="gramStart"/>
      <w:r w:rsidRPr="000D3EDE">
        <w:rPr>
          <w:rFonts w:cs="Arial"/>
          <w:szCs w:val="20"/>
        </w:rPr>
        <w:t>31.12</w:t>
      </w:r>
      <w:r>
        <w:rPr>
          <w:rFonts w:cs="Arial"/>
          <w:szCs w:val="20"/>
        </w:rPr>
        <w:t>.2023</w:t>
      </w:r>
      <w:proofErr w:type="gramEnd"/>
    </w:p>
    <w:p w14:paraId="23D427D9" w14:textId="77777777" w:rsidR="00974DEB" w:rsidRDefault="00974DEB" w:rsidP="00361376">
      <w:pPr>
        <w:rPr>
          <w:rFonts w:cs="Arial"/>
          <w:szCs w:val="20"/>
        </w:rPr>
      </w:pPr>
      <w:r w:rsidRPr="000D3EDE">
        <w:rPr>
          <w:rFonts w:cs="Arial"/>
          <w:szCs w:val="20"/>
        </w:rPr>
        <w:t>Gestor: MPSV</w:t>
      </w:r>
    </w:p>
    <w:p w14:paraId="1D098241" w14:textId="3C825EE0" w:rsidR="00974DEB" w:rsidRDefault="00974DEB" w:rsidP="00361376">
      <w:pPr>
        <w:rPr>
          <w:rFonts w:cs="Arial"/>
          <w:szCs w:val="20"/>
        </w:rPr>
      </w:pPr>
      <w:r w:rsidRPr="00831152">
        <w:rPr>
          <w:rFonts w:cs="Arial"/>
          <w:szCs w:val="20"/>
        </w:rPr>
        <w:t>Indikátor:</w:t>
      </w:r>
      <w:r>
        <w:rPr>
          <w:rFonts w:cs="Arial"/>
          <w:szCs w:val="20"/>
        </w:rPr>
        <w:t xml:space="preserve"> Byly provedeny interní analýzy a navrženo řešení.</w:t>
      </w:r>
    </w:p>
    <w:p w14:paraId="707E855F" w14:textId="77777777" w:rsidR="00361376" w:rsidRDefault="00361376" w:rsidP="00361376">
      <w:pPr>
        <w:rPr>
          <w:rFonts w:cs="Arial"/>
          <w:szCs w:val="20"/>
        </w:rPr>
      </w:pPr>
    </w:p>
    <w:p w14:paraId="629C6C88" w14:textId="705563BC" w:rsidR="00330607" w:rsidRPr="00D12021" w:rsidRDefault="00330607" w:rsidP="00361376">
      <w:pPr>
        <w:keepNext/>
        <w:tabs>
          <w:tab w:val="left" w:pos="720"/>
        </w:tabs>
        <w:rPr>
          <w:rFonts w:cs="Arial"/>
          <w:b/>
          <w:bCs/>
          <w:sz w:val="20"/>
          <w:szCs w:val="20"/>
          <w:lang w:eastAsia="cs-CZ"/>
        </w:rPr>
      </w:pPr>
      <w:r w:rsidRPr="00D12021">
        <w:rPr>
          <w:rFonts w:cs="Arial"/>
          <w:b/>
          <w:bCs/>
          <w:sz w:val="20"/>
          <w:szCs w:val="20"/>
          <w:lang w:eastAsia="cs-CZ"/>
        </w:rPr>
        <w:t>PLNĚNÍ MPSV:</w:t>
      </w:r>
    </w:p>
    <w:p w14:paraId="1BE2E98E" w14:textId="640CB5AD" w:rsidR="00D12021" w:rsidRPr="00D12021" w:rsidRDefault="00D12021" w:rsidP="00D12021">
      <w:pPr>
        <w:rPr>
          <w:rFonts w:cs="Arial"/>
          <w:sz w:val="20"/>
          <w:szCs w:val="20"/>
        </w:rPr>
      </w:pPr>
      <w:r w:rsidRPr="00D12021">
        <w:rPr>
          <w:rFonts w:cs="Arial"/>
          <w:sz w:val="20"/>
          <w:szCs w:val="20"/>
        </w:rPr>
        <w:t xml:space="preserve">MPSV (odbor 91) bylo zavázáno vypracováním dvou analýz s názvem „Analýza k možnostem změny mechanismu posuzování invalidity a nastavení výše přiznaného invalidního důchodu tak, aby flexibilně reagoval na aktuální kompetence lidí s duševním onemocněním, </w:t>
      </w:r>
      <w:r w:rsidR="000D2BD6">
        <w:rPr>
          <w:rFonts w:cs="Arial"/>
          <w:sz w:val="20"/>
          <w:szCs w:val="20"/>
        </w:rPr>
        <w:t>rozvíjel potenciál k zotavení a </w:t>
      </w:r>
      <w:r w:rsidRPr="00D12021">
        <w:rPr>
          <w:rFonts w:cs="Arial"/>
          <w:sz w:val="20"/>
          <w:szCs w:val="20"/>
        </w:rPr>
        <w:t>zohledňoval specifika duševních onemocnění“ a „Revidovat kritéria pro hodnocení funkčních schopností a disability lidí s duševním onemocněním v rámci posuzování výše příspěvku na péči tak, aby reflektovala funkční postižení související s typem a tíží onemocnění. Optimalizovat čekací dobu na přiznání příspěvku na péči.“, a to MZ ČR – Národním akčním plánem pro duševní zdraví 2020-2030 (dále jen „NAPDZ“) v červnu 2021, kdy se konalo jednání mezi MPSV a členy NAPDZ, a kdy se účastníci domluvili na konkrétní formě plnění opatření 2.1.2 a 2.1.</w:t>
      </w:r>
      <w:r w:rsidR="000D2BD6">
        <w:rPr>
          <w:rFonts w:cs="Arial"/>
          <w:sz w:val="20"/>
          <w:szCs w:val="20"/>
        </w:rPr>
        <w:t>3 NAPDZ. Již v roce 2021 byly u </w:t>
      </w:r>
      <w:r w:rsidRPr="00D12021">
        <w:rPr>
          <w:rFonts w:cs="Arial"/>
          <w:sz w:val="20"/>
          <w:szCs w:val="20"/>
        </w:rPr>
        <w:t>obou veřejných zakázek malého rozsahu schváleny Záměry reali</w:t>
      </w:r>
      <w:r w:rsidR="000D2BD6">
        <w:rPr>
          <w:rFonts w:cs="Arial"/>
          <w:sz w:val="20"/>
          <w:szCs w:val="20"/>
        </w:rPr>
        <w:t>zace zadávacího řízení. Řádná a </w:t>
      </w:r>
      <w:r w:rsidRPr="00D12021">
        <w:rPr>
          <w:rFonts w:cs="Arial"/>
          <w:sz w:val="20"/>
          <w:szCs w:val="20"/>
        </w:rPr>
        <w:t>opětovná vyhlášení VZMR byla uskutečněna v roce 2022, přičemž za nabízené částky na provedení analýz se nepodařilo ani přes opakované vyhlášení nalézt dodav</w:t>
      </w:r>
      <w:r w:rsidR="000D2BD6">
        <w:rPr>
          <w:rFonts w:cs="Arial"/>
          <w:sz w:val="20"/>
          <w:szCs w:val="20"/>
        </w:rPr>
        <w:t>atele, na základě čehož došlo k </w:t>
      </w:r>
      <w:r w:rsidRPr="00D12021">
        <w:rPr>
          <w:rFonts w:cs="Arial"/>
          <w:sz w:val="20"/>
          <w:szCs w:val="20"/>
        </w:rPr>
        <w:t>prodloužení termínu realizace do konce roku 2025 a ke zvýšení hodnoty veřejné zakázky.</w:t>
      </w:r>
    </w:p>
    <w:p w14:paraId="6B26A78D" w14:textId="77777777" w:rsidR="00D12021" w:rsidRPr="00D12021" w:rsidRDefault="00D12021" w:rsidP="00D12021">
      <w:pPr>
        <w:rPr>
          <w:rFonts w:cs="Arial"/>
          <w:sz w:val="20"/>
          <w:szCs w:val="20"/>
        </w:rPr>
      </w:pPr>
      <w:r w:rsidRPr="00D12021">
        <w:rPr>
          <w:rFonts w:cs="Arial"/>
          <w:sz w:val="20"/>
          <w:szCs w:val="20"/>
        </w:rPr>
        <w:t xml:space="preserve">Dne 15. listopadu 2023 byla vypsána veřejná zakázka malého rozsahu k problematice příspěvku na péči. Vyhlášení této veřejné zakázky je stanoveno do 19. února 2024. </w:t>
      </w:r>
    </w:p>
    <w:p w14:paraId="44F6CA8D" w14:textId="282A23F3" w:rsidR="00D12021" w:rsidRPr="00D12021" w:rsidRDefault="00D12021" w:rsidP="00D12021">
      <w:pPr>
        <w:rPr>
          <w:rFonts w:cs="Arial"/>
          <w:sz w:val="20"/>
          <w:szCs w:val="20"/>
        </w:rPr>
      </w:pPr>
      <w:r w:rsidRPr="00D12021">
        <w:rPr>
          <w:rFonts w:cs="Arial"/>
          <w:sz w:val="20"/>
          <w:szCs w:val="20"/>
        </w:rPr>
        <w:t>Ve druhé polovině roku 2024 MPSV předpokládá vypsání veřejné zakázky malého roz</w:t>
      </w:r>
      <w:r w:rsidR="000D2BD6">
        <w:rPr>
          <w:rFonts w:cs="Arial"/>
          <w:sz w:val="20"/>
          <w:szCs w:val="20"/>
        </w:rPr>
        <w:t>sahu k </w:t>
      </w:r>
      <w:r w:rsidRPr="00D12021">
        <w:rPr>
          <w:rFonts w:cs="Arial"/>
          <w:sz w:val="20"/>
          <w:szCs w:val="20"/>
        </w:rPr>
        <w:t>problematice posuzování invalidity.</w:t>
      </w:r>
    </w:p>
    <w:p w14:paraId="16E01BEF" w14:textId="66C2C6AF" w:rsidR="00D12021" w:rsidRPr="00D12021" w:rsidRDefault="0048481B" w:rsidP="00D12021">
      <w:pPr>
        <w:rPr>
          <w:rFonts w:cs="Arial"/>
          <w:sz w:val="20"/>
          <w:szCs w:val="20"/>
        </w:rPr>
      </w:pPr>
      <w:r>
        <w:rPr>
          <w:rFonts w:cs="Arial"/>
          <w:sz w:val="20"/>
          <w:szCs w:val="20"/>
        </w:rPr>
        <w:t>V ČSSZ byla v roce 2023</w:t>
      </w:r>
      <w:r w:rsidR="00D12021" w:rsidRPr="00D12021">
        <w:rPr>
          <w:rFonts w:cs="Arial"/>
          <w:sz w:val="20"/>
          <w:szCs w:val="20"/>
        </w:rPr>
        <w:t xml:space="preserve"> provedena revize v oblasti posuzování zdravotního stavu pro účely nemocenského pojištění, v oblasti posuzování zdravotního stavu pro účely námitkového a odvolacího řízení ve věcech dávek pojistného systému a též v oblasti organizace práce za účelem zefektivnění činnosti a zkrácení délky posudkového řízení. Výsledná zjištění byla promítnuta do metodiky, organizace práce, oblasti vzdělávání a též legislativních změn, z nichž tou nejzásadnější bylo zřízení Institutu posuzování zdravotního stavu (IPZS) od 1. 1. 2024.</w:t>
      </w:r>
    </w:p>
    <w:p w14:paraId="25FC954B" w14:textId="02412B3D" w:rsidR="00330607" w:rsidRPr="00D12021" w:rsidRDefault="00330607" w:rsidP="00361376">
      <w:pPr>
        <w:keepNext/>
        <w:tabs>
          <w:tab w:val="left" w:pos="720"/>
        </w:tabs>
        <w:rPr>
          <w:rFonts w:cs="Arial"/>
          <w:b/>
          <w:bCs/>
          <w:sz w:val="20"/>
          <w:szCs w:val="20"/>
          <w:lang w:eastAsia="cs-CZ"/>
        </w:rPr>
      </w:pPr>
      <w:r w:rsidRPr="00D12021">
        <w:rPr>
          <w:rFonts w:cs="Arial"/>
          <w:b/>
          <w:bCs/>
          <w:sz w:val="20"/>
          <w:szCs w:val="20"/>
          <w:lang w:eastAsia="cs-CZ"/>
        </w:rPr>
        <w:t xml:space="preserve">STANOVISKO K PLNĚNÍ: </w:t>
      </w:r>
      <w:r w:rsidRPr="0047440D">
        <w:rPr>
          <w:rFonts w:cs="Arial"/>
          <w:b/>
          <w:bCs/>
          <w:sz w:val="20"/>
          <w:szCs w:val="20"/>
          <w:lang w:eastAsia="cs-CZ"/>
        </w:rPr>
        <w:t>Nesplněno. Nav</w:t>
      </w:r>
      <w:r w:rsidR="00303C09" w:rsidRPr="0047440D">
        <w:rPr>
          <w:rFonts w:cs="Arial"/>
          <w:b/>
          <w:bCs/>
          <w:sz w:val="20"/>
          <w:szCs w:val="20"/>
          <w:lang w:eastAsia="cs-CZ"/>
        </w:rPr>
        <w:t xml:space="preserve">ržen posun termínu do </w:t>
      </w:r>
      <w:proofErr w:type="gramStart"/>
      <w:r w:rsidR="00303C09" w:rsidRPr="0047440D">
        <w:rPr>
          <w:rFonts w:cs="Arial"/>
          <w:b/>
          <w:bCs/>
          <w:sz w:val="20"/>
          <w:szCs w:val="20"/>
          <w:lang w:eastAsia="cs-CZ"/>
        </w:rPr>
        <w:t>31.12.2025</w:t>
      </w:r>
      <w:proofErr w:type="gramEnd"/>
      <w:r w:rsidRPr="0047440D">
        <w:rPr>
          <w:rFonts w:cs="Arial"/>
          <w:b/>
          <w:bCs/>
          <w:sz w:val="20"/>
          <w:szCs w:val="20"/>
          <w:lang w:eastAsia="cs-CZ"/>
        </w:rPr>
        <w:t>.</w:t>
      </w:r>
    </w:p>
    <w:p w14:paraId="5133858E" w14:textId="7553E20A" w:rsidR="002C7CB8" w:rsidRPr="002719D8" w:rsidRDefault="002C7CB8" w:rsidP="00361376">
      <w:pPr>
        <w:keepNext/>
        <w:tabs>
          <w:tab w:val="left" w:pos="720"/>
        </w:tabs>
        <w:rPr>
          <w:rFonts w:cs="Arial"/>
          <w:b/>
          <w:bCs/>
          <w:sz w:val="20"/>
          <w:szCs w:val="20"/>
        </w:rPr>
      </w:pPr>
    </w:p>
    <w:p w14:paraId="68A2B1E3" w14:textId="77777777" w:rsidR="00F17E74" w:rsidRPr="00881ACB" w:rsidRDefault="00F17E74" w:rsidP="00F17E74">
      <w:pPr>
        <w:rPr>
          <w:rFonts w:cs="Arial"/>
          <w:szCs w:val="20"/>
        </w:rPr>
      </w:pPr>
      <w:r w:rsidRPr="00881ACB">
        <w:rPr>
          <w:rFonts w:cs="Arial"/>
          <w:bCs/>
          <w:szCs w:val="20"/>
        </w:rPr>
        <w:t>Opatření 12</w:t>
      </w:r>
      <w:r w:rsidRPr="00881ACB">
        <w:rPr>
          <w:rFonts w:cs="Arial"/>
          <w:szCs w:val="20"/>
        </w:rPr>
        <w:t xml:space="preserve">.1.5 Zvyšovat povědomí praktických lékařů o nezbytnosti přesného a náležitého vyplňování formulářů lékařské posudkové služby dle zjištěného zdravotního stavu pacienta pro účely sociálního zabezpečení. </w:t>
      </w:r>
    </w:p>
    <w:p w14:paraId="448F3139" w14:textId="7E8E197D" w:rsidR="00F17E74" w:rsidRPr="00881ACB" w:rsidRDefault="001B3C11" w:rsidP="00F17E74">
      <w:pPr>
        <w:rPr>
          <w:rFonts w:cs="Arial"/>
          <w:szCs w:val="20"/>
        </w:rPr>
      </w:pPr>
      <w:r>
        <w:rPr>
          <w:rFonts w:cs="Arial"/>
          <w:szCs w:val="20"/>
        </w:rPr>
        <w:t>Termín: průběžně</w:t>
      </w:r>
    </w:p>
    <w:p w14:paraId="446036CB" w14:textId="77777777" w:rsidR="00F17E74" w:rsidRPr="000D3EDE" w:rsidRDefault="00F17E74" w:rsidP="00287511">
      <w:pPr>
        <w:rPr>
          <w:rFonts w:cs="Arial"/>
          <w:szCs w:val="20"/>
        </w:rPr>
      </w:pPr>
      <w:r w:rsidRPr="00881ACB">
        <w:rPr>
          <w:rFonts w:cs="Arial"/>
          <w:szCs w:val="20"/>
        </w:rPr>
        <w:t>Gestor: MPSV, MZ</w:t>
      </w:r>
    </w:p>
    <w:p w14:paraId="3A22D07B" w14:textId="47904D33" w:rsidR="00F17E74" w:rsidRDefault="00F17E74" w:rsidP="00287511">
      <w:pPr>
        <w:rPr>
          <w:rFonts w:cs="Arial"/>
          <w:szCs w:val="20"/>
        </w:rPr>
      </w:pPr>
      <w:r w:rsidRPr="00831152">
        <w:rPr>
          <w:rFonts w:cs="Arial"/>
          <w:szCs w:val="20"/>
        </w:rPr>
        <w:t>Indikátor:</w:t>
      </w:r>
      <w:r w:rsidRPr="00193A00">
        <w:rPr>
          <w:rFonts w:cs="Arial"/>
          <w:szCs w:val="20"/>
        </w:rPr>
        <w:t xml:space="preserve"> </w:t>
      </w:r>
      <w:r>
        <w:rPr>
          <w:rFonts w:cs="Arial"/>
          <w:szCs w:val="20"/>
        </w:rPr>
        <w:t>Ve sledovaném období proběhlo školení a/nebo byl vypracován informační materiál na uvedené téma.</w:t>
      </w:r>
    </w:p>
    <w:p w14:paraId="05EE7B6B" w14:textId="77777777" w:rsidR="00287511" w:rsidRPr="00FC7FA9" w:rsidRDefault="00287511" w:rsidP="00FC7FA9">
      <w:pPr>
        <w:rPr>
          <w:rFonts w:cs="Arial"/>
          <w:sz w:val="20"/>
          <w:szCs w:val="20"/>
        </w:rPr>
      </w:pPr>
    </w:p>
    <w:p w14:paraId="304792C7" w14:textId="75614664" w:rsidR="006116CA" w:rsidRPr="003D571F" w:rsidRDefault="006116CA" w:rsidP="00FC7FA9">
      <w:pPr>
        <w:keepNext/>
        <w:tabs>
          <w:tab w:val="left" w:pos="720"/>
        </w:tabs>
        <w:rPr>
          <w:rFonts w:cs="Arial"/>
          <w:b/>
          <w:bCs/>
          <w:sz w:val="20"/>
          <w:szCs w:val="20"/>
          <w:lang w:eastAsia="cs-CZ"/>
        </w:rPr>
      </w:pPr>
      <w:r w:rsidRPr="003D571F">
        <w:rPr>
          <w:rFonts w:cs="Arial"/>
          <w:b/>
          <w:bCs/>
          <w:sz w:val="20"/>
          <w:szCs w:val="20"/>
          <w:lang w:eastAsia="cs-CZ"/>
        </w:rPr>
        <w:t>PLNĚNÍ MPSV:</w:t>
      </w:r>
    </w:p>
    <w:p w14:paraId="680119A1" w14:textId="64A8D7CF" w:rsidR="003D571F" w:rsidRPr="003D571F" w:rsidRDefault="003D571F" w:rsidP="003D571F">
      <w:pPr>
        <w:rPr>
          <w:rFonts w:cs="Arial"/>
          <w:sz w:val="20"/>
          <w:szCs w:val="20"/>
        </w:rPr>
      </w:pPr>
      <w:r w:rsidRPr="003D571F">
        <w:rPr>
          <w:rFonts w:cs="Arial"/>
          <w:sz w:val="20"/>
          <w:szCs w:val="20"/>
        </w:rPr>
        <w:t>Náplní specializovaného předatestačního vzdělávání v oboru všeobecné praktické lékařství je znalost právních předpisů týkajících se posudkové činnosti, její praktické zvládání vč. znalosti postupů při vypracování podkladů pro posouzení a vykazování součinnosti s o</w:t>
      </w:r>
      <w:r w:rsidR="000D2BD6">
        <w:rPr>
          <w:rFonts w:cs="Arial"/>
          <w:sz w:val="20"/>
          <w:szCs w:val="20"/>
        </w:rPr>
        <w:t>rgány sociálního zabezpečení. K </w:t>
      </w:r>
      <w:r w:rsidRPr="003D571F">
        <w:rPr>
          <w:rFonts w:cs="Arial"/>
          <w:sz w:val="20"/>
          <w:szCs w:val="20"/>
        </w:rPr>
        <w:t xml:space="preserve">uvedené problematice se na MPSV uskutečnilo několik schůzek se zástupci odborných lékařských </w:t>
      </w:r>
      <w:r w:rsidRPr="003D571F">
        <w:rPr>
          <w:rFonts w:cs="Arial"/>
          <w:sz w:val="20"/>
          <w:szCs w:val="20"/>
        </w:rPr>
        <w:lastRenderedPageBreak/>
        <w:t>společností sdružujících praktické lékaře, a to za spolupráce s Katedrou posudkového lékařství Institutu postgraduálního vzdělávání ve zdravotnictví (dále jen „IPVZ“). Problematika byla vysvětlena, s cílem rozšířit spolupráci praktických lékařů s lékařskou posudkovou službou ČSSZ na krajské úrovni, resp. Institutem posuzování zdravotního stavu (IPZS). MPSV rovněž v této otázc</w:t>
      </w:r>
      <w:r w:rsidR="000D2BD6">
        <w:rPr>
          <w:rFonts w:cs="Arial"/>
          <w:sz w:val="20"/>
          <w:szCs w:val="20"/>
        </w:rPr>
        <w:t>e spolupracovalo s </w:t>
      </w:r>
      <w:r w:rsidRPr="003D571F">
        <w:rPr>
          <w:rFonts w:cs="Arial"/>
          <w:sz w:val="20"/>
          <w:szCs w:val="20"/>
        </w:rPr>
        <w:t>MZ ČR, kdy na základě společné schůzky ze dne 21. března 2022 MZ ČR oslovilo odborné lékařské společnosti sdružující praktické lékaře pro dospělé a praktické lékaře pro děti a dorost s dotazem, zda je potřeba rozšířit předatestační vzdělávání uvedených lékařů či je potřeba se touto problematikou zabývat v rámci celoživotního vzdělávání lékařů. Z uvedeného šetření vyplynulo, že odborné společnosti neshledávají velké problémy s vyplňováním tiskopisů. Uvítaly by edukaci lékařů v rámci celoživotního vzdělání, zejména při změně legislativy apod. MPSV konstatovalo, že je schopno tuto edukaci zajistit v případě zájmů odborných společností na úrovni celorepublikové i na úrovni krajů, formou přednášek pro odborné společnosti nebo např. v rámci vzdělávání v IPVZ, a to na základě konkrétního zájmu o edukační přednášky, který bude zjišťován ve spolupráci s MZ ČR.</w:t>
      </w:r>
    </w:p>
    <w:p w14:paraId="2FD6570D" w14:textId="4BD36B0D" w:rsidR="003D571F" w:rsidRPr="003D571F" w:rsidRDefault="003D571F" w:rsidP="003D571F">
      <w:pPr>
        <w:rPr>
          <w:rFonts w:cs="Arial"/>
          <w:sz w:val="20"/>
          <w:szCs w:val="20"/>
        </w:rPr>
      </w:pPr>
      <w:r w:rsidRPr="003D571F">
        <w:rPr>
          <w:rFonts w:cs="Arial"/>
          <w:sz w:val="20"/>
          <w:szCs w:val="20"/>
        </w:rPr>
        <w:t xml:space="preserve">LPS ČSSZ pokračovala v zavedené spolupráci se Sdružením praktických lékařů ČR (SPL) na pravidelných setkáváních. V rámci nich byl mj. dojednán upravený zjednodušený postup při vyžadování součinnosti žadatelů o dávky podmíněné dlouhodobě </w:t>
      </w:r>
      <w:r w:rsidR="000D2BD6">
        <w:rPr>
          <w:rFonts w:cs="Arial"/>
          <w:sz w:val="20"/>
          <w:szCs w:val="20"/>
        </w:rPr>
        <w:t>nepříznivým zdravotním stavem v </w:t>
      </w:r>
      <w:r w:rsidRPr="003D571F">
        <w:rPr>
          <w:rFonts w:cs="Arial"/>
          <w:sz w:val="20"/>
          <w:szCs w:val="20"/>
        </w:rPr>
        <w:t>souvislosti s potřebou podrobit se vyšetření u svého ošetřujícího lékaře. Za účelem zkrácení lhůt došlo k přechodu na elektronické vyžadování vyšetření a komunikaci přes datové schránky, byl také předjednán další posun v oblasti elektronické výměny informací. Zástupci vedení LPS se aktivně účastnili vzdělávacích akcí pro členy SPL i další odborná lékařská uskupení.</w:t>
      </w:r>
    </w:p>
    <w:p w14:paraId="7C9A4212" w14:textId="1BD9EC77" w:rsidR="006116CA" w:rsidRPr="003D571F" w:rsidRDefault="006116CA" w:rsidP="00FC7FA9">
      <w:pPr>
        <w:keepNext/>
        <w:tabs>
          <w:tab w:val="left" w:pos="720"/>
        </w:tabs>
        <w:rPr>
          <w:rFonts w:cs="Arial"/>
          <w:b/>
          <w:bCs/>
          <w:sz w:val="20"/>
          <w:szCs w:val="20"/>
          <w:lang w:eastAsia="cs-CZ"/>
        </w:rPr>
      </w:pPr>
      <w:r w:rsidRPr="003D571F">
        <w:rPr>
          <w:rFonts w:cs="Arial"/>
          <w:b/>
          <w:bCs/>
          <w:sz w:val="20"/>
          <w:szCs w:val="20"/>
          <w:lang w:eastAsia="cs-CZ"/>
        </w:rPr>
        <w:t>STANOVISKO K PLNĚNÍ:</w:t>
      </w:r>
      <w:r w:rsidR="00915D57" w:rsidRPr="003D571F">
        <w:rPr>
          <w:rFonts w:cs="Arial"/>
          <w:b/>
          <w:bCs/>
          <w:sz w:val="20"/>
          <w:szCs w:val="20"/>
          <w:lang w:eastAsia="cs-CZ"/>
        </w:rPr>
        <w:t xml:space="preserve"> Plněno.</w:t>
      </w:r>
    </w:p>
    <w:p w14:paraId="580F3783" w14:textId="03D7DBBF" w:rsidR="00754C21" w:rsidRPr="00FC7FA9" w:rsidRDefault="00754C21" w:rsidP="00FC7FA9">
      <w:pPr>
        <w:keepNext/>
        <w:tabs>
          <w:tab w:val="left" w:pos="720"/>
        </w:tabs>
        <w:rPr>
          <w:rFonts w:cs="Arial"/>
          <w:b/>
          <w:bCs/>
          <w:sz w:val="20"/>
          <w:szCs w:val="20"/>
          <w:lang w:eastAsia="cs-CZ"/>
        </w:rPr>
      </w:pPr>
    </w:p>
    <w:p w14:paraId="72F3144D" w14:textId="629412BA" w:rsidR="00754C21" w:rsidRPr="0064206E" w:rsidRDefault="00754C21" w:rsidP="0064206E">
      <w:pPr>
        <w:tabs>
          <w:tab w:val="left" w:pos="720"/>
        </w:tabs>
        <w:rPr>
          <w:rFonts w:cs="Arial"/>
          <w:b/>
          <w:bCs/>
          <w:sz w:val="20"/>
          <w:szCs w:val="20"/>
          <w:lang w:eastAsia="cs-CZ"/>
        </w:rPr>
      </w:pPr>
      <w:r w:rsidRPr="0064206E">
        <w:rPr>
          <w:rFonts w:cs="Arial"/>
          <w:b/>
          <w:bCs/>
          <w:sz w:val="20"/>
          <w:szCs w:val="20"/>
          <w:lang w:eastAsia="cs-CZ"/>
        </w:rPr>
        <w:t>PLNĚNÍ MZ:</w:t>
      </w:r>
    </w:p>
    <w:p w14:paraId="00A1F0E9" w14:textId="235E4DE1" w:rsidR="0064206E" w:rsidRPr="0064206E" w:rsidRDefault="0064206E" w:rsidP="0064206E">
      <w:pPr>
        <w:rPr>
          <w:rFonts w:cs="Arial"/>
          <w:color w:val="000000" w:themeColor="text1"/>
          <w:sz w:val="20"/>
          <w:szCs w:val="20"/>
        </w:rPr>
      </w:pPr>
      <w:r w:rsidRPr="0064206E">
        <w:rPr>
          <w:rFonts w:cs="Arial"/>
          <w:color w:val="000000" w:themeColor="text1"/>
          <w:sz w:val="20"/>
          <w:szCs w:val="20"/>
        </w:rPr>
        <w:t>Zástupci Odborné společnosti praktických dětských lékařů ČLS JEP, Sdružení praktických lékařů pro děti a dorost ČR a Sdružení všeobecných lékařů ČR a Společností všeobecného l</w:t>
      </w:r>
      <w:r w:rsidR="000D2BD6">
        <w:rPr>
          <w:rFonts w:cs="Arial"/>
          <w:color w:val="000000" w:themeColor="text1"/>
          <w:sz w:val="20"/>
          <w:szCs w:val="20"/>
        </w:rPr>
        <w:t>ékařství ČLS JEP byli osloveni s</w:t>
      </w:r>
      <w:r w:rsidRPr="0064206E">
        <w:rPr>
          <w:rFonts w:cs="Arial"/>
          <w:color w:val="000000" w:themeColor="text1"/>
          <w:sz w:val="20"/>
          <w:szCs w:val="20"/>
        </w:rPr>
        <w:t> žádostí o stanoviska k tomu, zda je vnímána potřeba:</w:t>
      </w:r>
    </w:p>
    <w:p w14:paraId="5FA3C068" w14:textId="77777777" w:rsidR="0064206E" w:rsidRPr="0064206E" w:rsidRDefault="0064206E" w:rsidP="008263CB">
      <w:pPr>
        <w:pStyle w:val="Odstavecseseznamem"/>
        <w:numPr>
          <w:ilvl w:val="0"/>
          <w:numId w:val="51"/>
        </w:numPr>
        <w:rPr>
          <w:rFonts w:eastAsia="Times New Roman" w:cs="Arial"/>
          <w:color w:val="000000" w:themeColor="text1"/>
          <w:sz w:val="20"/>
          <w:szCs w:val="20"/>
        </w:rPr>
      </w:pPr>
      <w:r w:rsidRPr="0064206E">
        <w:rPr>
          <w:rFonts w:eastAsia="Times New Roman" w:cs="Arial"/>
          <w:color w:val="000000" w:themeColor="text1"/>
          <w:sz w:val="20"/>
          <w:szCs w:val="20"/>
        </w:rPr>
        <w:t xml:space="preserve">dalších edukací na uvedené téma, </w:t>
      </w:r>
    </w:p>
    <w:p w14:paraId="2819449A" w14:textId="77777777" w:rsidR="0064206E" w:rsidRPr="0064206E" w:rsidRDefault="0064206E" w:rsidP="008263CB">
      <w:pPr>
        <w:pStyle w:val="Default"/>
        <w:numPr>
          <w:ilvl w:val="0"/>
          <w:numId w:val="50"/>
        </w:numPr>
        <w:autoSpaceDE/>
        <w:autoSpaceDN/>
        <w:adjustRightInd/>
        <w:spacing w:after="120"/>
        <w:ind w:left="780"/>
        <w:jc w:val="both"/>
        <w:rPr>
          <w:rFonts w:ascii="Arial" w:eastAsia="Times New Roman" w:hAnsi="Arial" w:cs="Arial"/>
          <w:color w:val="000000" w:themeColor="text1"/>
          <w:sz w:val="20"/>
          <w:szCs w:val="20"/>
        </w:rPr>
      </w:pPr>
      <w:r w:rsidRPr="0064206E">
        <w:rPr>
          <w:rFonts w:ascii="Arial" w:eastAsia="Times New Roman" w:hAnsi="Arial" w:cs="Arial"/>
          <w:color w:val="000000" w:themeColor="text1"/>
          <w:sz w:val="20"/>
          <w:szCs w:val="20"/>
        </w:rPr>
        <w:t xml:space="preserve">rozšířit předatestační vzdělávání uvedených lékařů, </w:t>
      </w:r>
    </w:p>
    <w:p w14:paraId="6C699FAF" w14:textId="23C88E57" w:rsidR="0064206E" w:rsidRPr="0064206E" w:rsidRDefault="0064206E" w:rsidP="008263CB">
      <w:pPr>
        <w:pStyle w:val="Default"/>
        <w:numPr>
          <w:ilvl w:val="0"/>
          <w:numId w:val="50"/>
        </w:numPr>
        <w:autoSpaceDE/>
        <w:autoSpaceDN/>
        <w:adjustRightInd/>
        <w:spacing w:after="120"/>
        <w:ind w:left="780"/>
        <w:jc w:val="both"/>
        <w:rPr>
          <w:rFonts w:ascii="Arial" w:eastAsia="Times New Roman" w:hAnsi="Arial" w:cs="Arial"/>
          <w:color w:val="000000" w:themeColor="text1"/>
          <w:sz w:val="20"/>
          <w:szCs w:val="20"/>
        </w:rPr>
      </w:pPr>
      <w:proofErr w:type="gramStart"/>
      <w:r w:rsidRPr="0064206E">
        <w:rPr>
          <w:rFonts w:ascii="Arial" w:eastAsia="Times New Roman" w:hAnsi="Arial" w:cs="Arial"/>
          <w:color w:val="000000" w:themeColor="text1"/>
          <w:sz w:val="20"/>
          <w:szCs w:val="20"/>
        </w:rPr>
        <w:t>se touto</w:t>
      </w:r>
      <w:proofErr w:type="gramEnd"/>
      <w:r w:rsidRPr="0064206E">
        <w:rPr>
          <w:rFonts w:ascii="Arial" w:eastAsia="Times New Roman" w:hAnsi="Arial" w:cs="Arial"/>
          <w:color w:val="000000" w:themeColor="text1"/>
          <w:sz w:val="20"/>
          <w:szCs w:val="20"/>
        </w:rPr>
        <w:t xml:space="preserve"> problematikou zabývat v rámci </w:t>
      </w:r>
      <w:r w:rsidR="000D2BD6">
        <w:rPr>
          <w:rFonts w:ascii="Arial" w:eastAsia="Times New Roman" w:hAnsi="Arial" w:cs="Arial"/>
          <w:color w:val="000000" w:themeColor="text1"/>
          <w:sz w:val="20"/>
          <w:szCs w:val="20"/>
        </w:rPr>
        <w:t>celoživotního vzdělávání lékařů,</w:t>
      </w:r>
    </w:p>
    <w:p w14:paraId="037963E8" w14:textId="1919CCCD" w:rsidR="0064206E" w:rsidRPr="0064206E" w:rsidRDefault="0064206E" w:rsidP="008263CB">
      <w:pPr>
        <w:pStyle w:val="Default"/>
        <w:numPr>
          <w:ilvl w:val="0"/>
          <w:numId w:val="50"/>
        </w:numPr>
        <w:autoSpaceDE/>
        <w:autoSpaceDN/>
        <w:adjustRightInd/>
        <w:spacing w:after="120"/>
        <w:ind w:left="780"/>
        <w:jc w:val="both"/>
        <w:rPr>
          <w:rFonts w:ascii="Arial" w:eastAsia="Times New Roman" w:hAnsi="Arial" w:cs="Arial"/>
          <w:color w:val="000000" w:themeColor="text1"/>
          <w:sz w:val="20"/>
          <w:szCs w:val="20"/>
        </w:rPr>
      </w:pPr>
      <w:r w:rsidRPr="0064206E">
        <w:rPr>
          <w:rFonts w:ascii="Arial" w:eastAsia="Times New Roman" w:hAnsi="Arial" w:cs="Arial"/>
          <w:color w:val="000000" w:themeColor="text1"/>
          <w:sz w:val="20"/>
          <w:szCs w:val="20"/>
        </w:rPr>
        <w:t>v rámci uvedené problematiky rozšířit spolupráci lékařů s lékařskou posudkovou službou ČSSZ na krajské úrovni</w:t>
      </w:r>
      <w:r w:rsidR="000D2BD6">
        <w:rPr>
          <w:rFonts w:ascii="Arial" w:eastAsia="Times New Roman" w:hAnsi="Arial" w:cs="Arial"/>
          <w:color w:val="000000" w:themeColor="text1"/>
          <w:sz w:val="20"/>
          <w:szCs w:val="20"/>
        </w:rPr>
        <w:t>.</w:t>
      </w:r>
    </w:p>
    <w:p w14:paraId="6EB7183E" w14:textId="6AAA325B" w:rsidR="0064206E" w:rsidRPr="0064206E" w:rsidRDefault="0064206E" w:rsidP="0064206E">
      <w:pPr>
        <w:pStyle w:val="Default"/>
        <w:autoSpaceDE/>
        <w:autoSpaceDN/>
        <w:adjustRightInd/>
        <w:spacing w:after="120"/>
        <w:jc w:val="both"/>
        <w:rPr>
          <w:rFonts w:ascii="Arial" w:hAnsi="Arial" w:cs="Arial"/>
          <w:color w:val="000000" w:themeColor="text1"/>
          <w:sz w:val="20"/>
          <w:szCs w:val="20"/>
        </w:rPr>
      </w:pPr>
      <w:r w:rsidRPr="0064206E">
        <w:rPr>
          <w:rFonts w:ascii="Arial" w:hAnsi="Arial" w:cs="Arial"/>
          <w:color w:val="000000" w:themeColor="text1"/>
          <w:sz w:val="20"/>
          <w:szCs w:val="20"/>
        </w:rPr>
        <w:t>Na základě jednání s MPSV bylo dohodnuto, že MZ osloví odborné společnosti a sdružení praktických lékařů pro děti a dorost a dospělé s žádostí o identifikaci oblastí, ve kterých by lékaři uvítali součinnost a podporu ze strany MPSV v návaznosti na spolupráci lékařů s OSSZ při zpracovávání zpráv pro účely posuzování nároku na přiznání dávek sociálního zabezpečení. V této souvislosti se zástupci praktických lékařů vyjádřili k podpoře pozitivně. Odborná společnost praktických dětských lékařů ČLS JEP zaslala i návrh konkrétních témat.</w:t>
      </w:r>
    </w:p>
    <w:p w14:paraId="0B15DD98" w14:textId="4FEF61EE" w:rsidR="00754C21" w:rsidRPr="0064206E" w:rsidRDefault="00754C21" w:rsidP="0064206E">
      <w:pPr>
        <w:keepNext/>
        <w:tabs>
          <w:tab w:val="left" w:pos="720"/>
        </w:tabs>
        <w:rPr>
          <w:rFonts w:cs="Arial"/>
          <w:b/>
          <w:bCs/>
          <w:sz w:val="20"/>
          <w:szCs w:val="20"/>
          <w:lang w:eastAsia="cs-CZ"/>
        </w:rPr>
      </w:pPr>
      <w:r w:rsidRPr="0064206E">
        <w:rPr>
          <w:rFonts w:cs="Arial"/>
          <w:b/>
          <w:bCs/>
          <w:sz w:val="20"/>
          <w:szCs w:val="20"/>
          <w:lang w:eastAsia="cs-CZ"/>
        </w:rPr>
        <w:t>STANOVISKO K PLNĚNÍ:</w:t>
      </w:r>
      <w:r w:rsidR="00D50AFC" w:rsidRPr="0064206E">
        <w:rPr>
          <w:rFonts w:cs="Arial"/>
          <w:b/>
          <w:bCs/>
          <w:sz w:val="20"/>
          <w:szCs w:val="20"/>
          <w:lang w:eastAsia="cs-CZ"/>
        </w:rPr>
        <w:t xml:space="preserve"> Plněno.</w:t>
      </w:r>
    </w:p>
    <w:p w14:paraId="5C7459FF" w14:textId="77777777" w:rsidR="006116CA" w:rsidRPr="0064206E" w:rsidRDefault="006116CA" w:rsidP="0064206E">
      <w:pPr>
        <w:rPr>
          <w:rFonts w:cs="Arial"/>
          <w:sz w:val="20"/>
          <w:szCs w:val="20"/>
        </w:rPr>
      </w:pPr>
    </w:p>
    <w:p w14:paraId="64A4C424" w14:textId="77777777" w:rsidR="00F17E74" w:rsidRPr="000D3EDE" w:rsidRDefault="00F17E74" w:rsidP="00F17E74">
      <w:pPr>
        <w:rPr>
          <w:rFonts w:cs="Arial"/>
          <w:szCs w:val="20"/>
        </w:rPr>
      </w:pPr>
      <w:r w:rsidRPr="0035060D">
        <w:rPr>
          <w:rFonts w:cs="Arial"/>
          <w:bCs/>
          <w:szCs w:val="20"/>
        </w:rPr>
        <w:t xml:space="preserve">Opatření </w:t>
      </w:r>
      <w:r>
        <w:rPr>
          <w:rFonts w:cs="Arial"/>
          <w:bCs/>
          <w:szCs w:val="20"/>
        </w:rPr>
        <w:t>12</w:t>
      </w:r>
      <w:r>
        <w:rPr>
          <w:rFonts w:cs="Arial"/>
          <w:szCs w:val="20"/>
        </w:rPr>
        <w:t xml:space="preserve">.1.6 </w:t>
      </w:r>
      <w:r w:rsidRPr="000D3EDE">
        <w:rPr>
          <w:rFonts w:cs="Arial"/>
          <w:szCs w:val="20"/>
        </w:rPr>
        <w:t>Spolupracovat s VVOZP při upřesňování metodických pravidel posuzování zdravotního stavu a jeho důsledků.</w:t>
      </w:r>
    </w:p>
    <w:p w14:paraId="20058188" w14:textId="72FF8144" w:rsidR="00F17E74" w:rsidRPr="000D3EDE" w:rsidRDefault="001F513B" w:rsidP="00F17E74">
      <w:pPr>
        <w:rPr>
          <w:rFonts w:cs="Arial"/>
          <w:szCs w:val="20"/>
        </w:rPr>
      </w:pPr>
      <w:r>
        <w:rPr>
          <w:rFonts w:cs="Arial"/>
          <w:szCs w:val="20"/>
        </w:rPr>
        <w:t>Termín: průběžně</w:t>
      </w:r>
    </w:p>
    <w:p w14:paraId="0E46F9D4" w14:textId="77777777" w:rsidR="00F17E74" w:rsidRDefault="00F17E74" w:rsidP="00F17E74">
      <w:pPr>
        <w:rPr>
          <w:rFonts w:cs="Arial"/>
          <w:szCs w:val="20"/>
        </w:rPr>
      </w:pPr>
      <w:r w:rsidRPr="000D3EDE">
        <w:rPr>
          <w:rFonts w:cs="Arial"/>
          <w:szCs w:val="20"/>
        </w:rPr>
        <w:t>Gestor: MPSV</w:t>
      </w:r>
    </w:p>
    <w:p w14:paraId="53EAEF10" w14:textId="77777777" w:rsidR="004F140B" w:rsidRPr="000D3EDE" w:rsidRDefault="004F140B" w:rsidP="00F17E74">
      <w:pPr>
        <w:rPr>
          <w:rFonts w:cs="Arial"/>
          <w:szCs w:val="20"/>
        </w:rPr>
      </w:pPr>
      <w:r>
        <w:rPr>
          <w:rFonts w:cs="Arial"/>
          <w:szCs w:val="20"/>
        </w:rPr>
        <w:t>Spolugestor</w:t>
      </w:r>
      <w:r w:rsidR="00CE7DBA">
        <w:rPr>
          <w:rFonts w:cs="Arial"/>
          <w:szCs w:val="20"/>
        </w:rPr>
        <w:t>:</w:t>
      </w:r>
      <w:r>
        <w:rPr>
          <w:rFonts w:cs="Arial"/>
          <w:szCs w:val="20"/>
        </w:rPr>
        <w:t xml:space="preserve"> VVOZP</w:t>
      </w:r>
    </w:p>
    <w:p w14:paraId="03F26898" w14:textId="6A9978DA" w:rsidR="00BC25DE" w:rsidRDefault="00F17E74" w:rsidP="008E1156">
      <w:pPr>
        <w:rPr>
          <w:rFonts w:cs="Arial"/>
          <w:szCs w:val="20"/>
        </w:rPr>
      </w:pPr>
      <w:r w:rsidRPr="00831152">
        <w:rPr>
          <w:rFonts w:cs="Arial"/>
          <w:szCs w:val="20"/>
        </w:rPr>
        <w:t>Indikátor:</w:t>
      </w:r>
      <w:r w:rsidRPr="00193A00">
        <w:rPr>
          <w:rFonts w:cs="Arial"/>
          <w:szCs w:val="20"/>
        </w:rPr>
        <w:t xml:space="preserve"> </w:t>
      </w:r>
      <w:r>
        <w:rPr>
          <w:rFonts w:cs="Arial"/>
          <w:szCs w:val="20"/>
        </w:rPr>
        <w:t>Ve sledovaném období pro</w:t>
      </w:r>
      <w:bookmarkStart w:id="49" w:name="_Toc38548798"/>
      <w:bookmarkStart w:id="50" w:name="_Toc38828895"/>
      <w:r w:rsidR="00D41716">
        <w:rPr>
          <w:rFonts w:cs="Arial"/>
          <w:szCs w:val="20"/>
        </w:rPr>
        <w:t>běhly konzultace na toto téma.</w:t>
      </w:r>
    </w:p>
    <w:p w14:paraId="11E62667" w14:textId="77777777" w:rsidR="008E1156" w:rsidRPr="002B3363" w:rsidRDefault="008E1156" w:rsidP="002B3363">
      <w:pPr>
        <w:rPr>
          <w:rFonts w:cs="Arial"/>
          <w:sz w:val="20"/>
          <w:szCs w:val="20"/>
        </w:rPr>
      </w:pPr>
    </w:p>
    <w:p w14:paraId="442A4C25" w14:textId="63E69D18" w:rsidR="00343F31" w:rsidRPr="00B36DA9" w:rsidRDefault="00343F31" w:rsidP="002B3363">
      <w:pPr>
        <w:keepNext/>
        <w:tabs>
          <w:tab w:val="left" w:pos="720"/>
        </w:tabs>
        <w:rPr>
          <w:rFonts w:cs="Arial"/>
          <w:b/>
          <w:bCs/>
          <w:sz w:val="20"/>
          <w:szCs w:val="20"/>
          <w:lang w:eastAsia="cs-CZ"/>
        </w:rPr>
      </w:pPr>
      <w:r w:rsidRPr="00B36DA9">
        <w:rPr>
          <w:rFonts w:cs="Arial"/>
          <w:b/>
          <w:bCs/>
          <w:sz w:val="20"/>
          <w:szCs w:val="20"/>
          <w:lang w:eastAsia="cs-CZ"/>
        </w:rPr>
        <w:lastRenderedPageBreak/>
        <w:t>PLNĚNÍ MPSV:</w:t>
      </w:r>
    </w:p>
    <w:p w14:paraId="53EEDE0D" w14:textId="5F78ADA9" w:rsidR="00B36DA9" w:rsidRPr="00B36DA9" w:rsidRDefault="00B36DA9" w:rsidP="00B36DA9">
      <w:pPr>
        <w:rPr>
          <w:rFonts w:cs="Arial"/>
          <w:sz w:val="20"/>
          <w:szCs w:val="20"/>
        </w:rPr>
      </w:pPr>
      <w:r w:rsidRPr="00B36DA9">
        <w:rPr>
          <w:rFonts w:cs="Arial"/>
          <w:sz w:val="20"/>
          <w:szCs w:val="20"/>
        </w:rPr>
        <w:t xml:space="preserve">V rámci plnění tohoto opatření spolupracuje VVOZP s MPSV, zejména pak s odborem, v jehož gesci je lékařská posudková služba, při upřesňování metodických pravidel </w:t>
      </w:r>
      <w:r w:rsidR="00D41716">
        <w:rPr>
          <w:rFonts w:cs="Arial"/>
          <w:sz w:val="20"/>
          <w:szCs w:val="20"/>
        </w:rPr>
        <w:t>posuzování zdravotního stavu a </w:t>
      </w:r>
      <w:r w:rsidRPr="00B36DA9">
        <w:rPr>
          <w:rFonts w:cs="Arial"/>
          <w:sz w:val="20"/>
          <w:szCs w:val="20"/>
        </w:rPr>
        <w:t>jeho důsledků. V návaznosti na součinnost s VVOZP byly přijaty novelizace právních předpisů rozšiřující zdravotní indikace pro přiznání příspěvku na zvláštní pomůcky o osoby s poruchou autistického spektra a osoby s mentálním postižením, bez ohledu na to</w:t>
      </w:r>
      <w:r w:rsidR="00D41716">
        <w:rPr>
          <w:rFonts w:cs="Arial"/>
          <w:sz w:val="20"/>
          <w:szCs w:val="20"/>
        </w:rPr>
        <w:t>, kdy toto postižení vzniklo. S </w:t>
      </w:r>
      <w:r w:rsidRPr="00B36DA9">
        <w:rPr>
          <w:rFonts w:cs="Arial"/>
          <w:sz w:val="20"/>
          <w:szCs w:val="20"/>
        </w:rPr>
        <w:t>účinností ode dne 1. 1. 2022 byl novelizován zákon č. 329/2011 Sb., o poskytování dávek osobám se zdravotním postižením a o změně souvisejících zákonů, ve znění pozdějších předpisů a také vyhláška č. 388/2011 Sb., o provedení některých ustanovení zákona o poskytování dávek osobám se zdravotním postižením, ve znění pozdějších předpisů. V roce 2023 nevyvstala potřeba konzultace.</w:t>
      </w:r>
    </w:p>
    <w:p w14:paraId="2125836D" w14:textId="4D40811E" w:rsidR="00B36DA9" w:rsidRPr="00B36DA9" w:rsidRDefault="00B36DA9" w:rsidP="00B36DA9">
      <w:pPr>
        <w:rPr>
          <w:rFonts w:cs="Arial"/>
          <w:sz w:val="20"/>
          <w:szCs w:val="20"/>
        </w:rPr>
      </w:pPr>
      <w:r w:rsidRPr="00B36DA9">
        <w:rPr>
          <w:rFonts w:cs="Arial"/>
          <w:sz w:val="20"/>
          <w:szCs w:val="20"/>
        </w:rPr>
        <w:t>V rámci ČSSZ byla ve spolupráci s věcně příslušným koncepčním útvarem MPSV aktualizována metodika LPS pro posuzování zdravotního stavu tak, aby odpovídala nejnovějším medicínským poznatkům i potřebám osob se ZP.</w:t>
      </w:r>
    </w:p>
    <w:p w14:paraId="1E891F2B" w14:textId="673464D7" w:rsidR="00343F31" w:rsidRPr="00B36DA9" w:rsidRDefault="00343F31" w:rsidP="002B3363">
      <w:pPr>
        <w:rPr>
          <w:rFonts w:cs="Arial"/>
          <w:sz w:val="20"/>
          <w:szCs w:val="20"/>
        </w:rPr>
      </w:pPr>
      <w:r w:rsidRPr="00B36DA9">
        <w:rPr>
          <w:rFonts w:cs="Arial"/>
          <w:b/>
          <w:bCs/>
          <w:sz w:val="20"/>
          <w:szCs w:val="20"/>
          <w:lang w:eastAsia="cs-CZ"/>
        </w:rPr>
        <w:t>STANOVISKO K PLNĚNÍ:</w:t>
      </w:r>
      <w:r w:rsidR="009E6920" w:rsidRPr="00B36DA9">
        <w:rPr>
          <w:rFonts w:cs="Arial"/>
          <w:b/>
          <w:bCs/>
          <w:sz w:val="20"/>
          <w:szCs w:val="20"/>
          <w:lang w:eastAsia="cs-CZ"/>
        </w:rPr>
        <w:t xml:space="preserve"> Plněno.</w:t>
      </w:r>
    </w:p>
    <w:p w14:paraId="5CC4F092" w14:textId="728BC239" w:rsidR="00343F31" w:rsidRPr="00B36DA9" w:rsidRDefault="00343F31" w:rsidP="002B3363">
      <w:pPr>
        <w:rPr>
          <w:rFonts w:cs="Arial"/>
          <w:sz w:val="20"/>
          <w:szCs w:val="20"/>
        </w:rPr>
      </w:pPr>
    </w:p>
    <w:p w14:paraId="47412AB6" w14:textId="2BE6D758" w:rsidR="00096557" w:rsidRPr="00902DD4" w:rsidRDefault="00096557" w:rsidP="002B3363">
      <w:pPr>
        <w:tabs>
          <w:tab w:val="left" w:pos="720"/>
        </w:tabs>
        <w:rPr>
          <w:rFonts w:cs="Arial"/>
          <w:b/>
          <w:bCs/>
          <w:sz w:val="20"/>
          <w:szCs w:val="20"/>
          <w:lang w:eastAsia="cs-CZ"/>
        </w:rPr>
      </w:pPr>
      <w:r w:rsidRPr="00902DD4">
        <w:rPr>
          <w:rFonts w:cs="Arial"/>
          <w:b/>
          <w:bCs/>
          <w:sz w:val="20"/>
          <w:szCs w:val="20"/>
          <w:lang w:eastAsia="cs-CZ"/>
        </w:rPr>
        <w:t>PLNĚNÍ VVOZP:</w:t>
      </w:r>
    </w:p>
    <w:p w14:paraId="51E027F4" w14:textId="01C1FE4B" w:rsidR="007B7D86" w:rsidRPr="002B3363" w:rsidRDefault="007B7D86" w:rsidP="002B3363">
      <w:pPr>
        <w:rPr>
          <w:rFonts w:cs="Arial"/>
          <w:sz w:val="20"/>
          <w:szCs w:val="20"/>
        </w:rPr>
      </w:pPr>
      <w:r w:rsidRPr="00902DD4">
        <w:rPr>
          <w:rFonts w:cs="Arial"/>
          <w:sz w:val="20"/>
          <w:szCs w:val="20"/>
        </w:rPr>
        <w:t xml:space="preserve">V rámci plnění tohoto opatření probíhala dle potřeby v loňském roce spolupráce mezi sekretariátem VVOZP a MPSV, především pak s jeho odborem posudkové služby. </w:t>
      </w:r>
    </w:p>
    <w:p w14:paraId="084272AE" w14:textId="25BCC625" w:rsidR="00096557" w:rsidRPr="002B3363" w:rsidRDefault="00096557" w:rsidP="002B3363">
      <w:pPr>
        <w:rPr>
          <w:rFonts w:cs="Arial"/>
          <w:sz w:val="20"/>
          <w:szCs w:val="20"/>
        </w:rPr>
      </w:pPr>
      <w:r w:rsidRPr="002B3363">
        <w:rPr>
          <w:rFonts w:cs="Arial"/>
          <w:b/>
          <w:bCs/>
          <w:sz w:val="20"/>
          <w:szCs w:val="20"/>
          <w:lang w:eastAsia="cs-CZ"/>
        </w:rPr>
        <w:t>STANOVISKO K PLNĚNÍ:</w:t>
      </w:r>
      <w:r w:rsidR="0001764A" w:rsidRPr="002B3363">
        <w:rPr>
          <w:rFonts w:cs="Arial"/>
          <w:b/>
          <w:bCs/>
          <w:sz w:val="20"/>
          <w:szCs w:val="20"/>
          <w:lang w:eastAsia="cs-CZ"/>
        </w:rPr>
        <w:t xml:space="preserve"> </w:t>
      </w:r>
      <w:r w:rsidR="00112AE5" w:rsidRPr="002B3363">
        <w:rPr>
          <w:rFonts w:cs="Arial"/>
          <w:b/>
          <w:bCs/>
          <w:sz w:val="20"/>
          <w:szCs w:val="20"/>
          <w:lang w:eastAsia="cs-CZ"/>
        </w:rPr>
        <w:t>Plněno.</w:t>
      </w:r>
    </w:p>
    <w:p w14:paraId="76A6FA6B" w14:textId="77777777" w:rsidR="00096557" w:rsidRPr="002B3363" w:rsidRDefault="00096557" w:rsidP="002B3363">
      <w:pPr>
        <w:rPr>
          <w:rFonts w:cs="Arial"/>
          <w:sz w:val="20"/>
          <w:szCs w:val="20"/>
        </w:rPr>
      </w:pPr>
    </w:p>
    <w:p w14:paraId="5D67BA82" w14:textId="7BD3B5CD" w:rsidR="00F17E74" w:rsidRPr="00544214" w:rsidRDefault="00544214" w:rsidP="00CE1F94">
      <w:pPr>
        <w:pStyle w:val="Nadpis2"/>
        <w:numPr>
          <w:ilvl w:val="0"/>
          <w:numId w:val="0"/>
        </w:numPr>
        <w:spacing w:before="0" w:after="120"/>
        <w:ind w:left="576" w:hanging="576"/>
      </w:pPr>
      <w:bookmarkStart w:id="51" w:name="_Toc101957901"/>
      <w:r>
        <w:t>Oblast č. 1</w:t>
      </w:r>
      <w:r w:rsidR="00891A85">
        <w:t>3</w:t>
      </w:r>
      <w:r w:rsidR="00FE68E2">
        <w:t>:</w:t>
      </w:r>
      <w:r>
        <w:t xml:space="preserve"> </w:t>
      </w:r>
      <w:r w:rsidR="00F17E74" w:rsidRPr="00544214">
        <w:t>Pečující osoby</w:t>
      </w:r>
      <w:bookmarkEnd w:id="49"/>
      <w:bookmarkEnd w:id="50"/>
      <w:bookmarkEnd w:id="51"/>
    </w:p>
    <w:p w14:paraId="4AD6AB9F" w14:textId="47D73F19" w:rsidR="00F17E74" w:rsidRPr="00CE1F94" w:rsidRDefault="00F17E74" w:rsidP="00E255B9">
      <w:pPr>
        <w:rPr>
          <w:rFonts w:cs="Arial"/>
          <w:sz w:val="20"/>
          <w:szCs w:val="20"/>
        </w:rPr>
      </w:pPr>
      <w:r w:rsidRPr="00CE1F94">
        <w:rPr>
          <w:rFonts w:cs="Arial"/>
          <w:sz w:val="20"/>
          <w:szCs w:val="20"/>
        </w:rPr>
        <w:t xml:space="preserve">Důležitou součástí kvalitního života i naplnění práva na nezávislý život v komunitě je setrvání ve svém přirozeném </w:t>
      </w:r>
      <w:r w:rsidR="00961122" w:rsidRPr="00CE1F94">
        <w:rPr>
          <w:rFonts w:cs="Arial"/>
          <w:sz w:val="20"/>
          <w:szCs w:val="20"/>
        </w:rPr>
        <w:t>sociálním</w:t>
      </w:r>
      <w:r w:rsidRPr="00CE1F94">
        <w:rPr>
          <w:rFonts w:cs="Arial"/>
          <w:sz w:val="20"/>
          <w:szCs w:val="20"/>
        </w:rPr>
        <w:t xml:space="preserve"> prostředí. K tomu je však potřeba </w:t>
      </w:r>
      <w:r w:rsidR="006A3471" w:rsidRPr="00CE1F94">
        <w:rPr>
          <w:rFonts w:cs="Arial"/>
          <w:sz w:val="20"/>
          <w:szCs w:val="20"/>
        </w:rPr>
        <w:t xml:space="preserve">vysoká </w:t>
      </w:r>
      <w:r w:rsidRPr="00CE1F94">
        <w:rPr>
          <w:rFonts w:cs="Arial"/>
          <w:sz w:val="20"/>
          <w:szCs w:val="20"/>
        </w:rPr>
        <w:t>míra soběstačnosti. Pokud tomu tak není, je potřebná pomoc a podpora zajišťována nabídkou sociálních služeb nebo prostřednictvím pečujících osob, a to zejména z řad rodiny, ale i přátel či</w:t>
      </w:r>
      <w:r w:rsidR="006A3471" w:rsidRPr="00CE1F94">
        <w:rPr>
          <w:rFonts w:cs="Arial"/>
          <w:sz w:val="20"/>
          <w:szCs w:val="20"/>
        </w:rPr>
        <w:t> </w:t>
      </w:r>
      <w:r w:rsidRPr="00CE1F94">
        <w:rPr>
          <w:rFonts w:cs="Arial"/>
          <w:sz w:val="20"/>
          <w:szCs w:val="20"/>
        </w:rPr>
        <w:t>sousedů. Právě pomoc tzv. neformální</w:t>
      </w:r>
      <w:r w:rsidR="006A3471" w:rsidRPr="00CE1F94">
        <w:rPr>
          <w:rFonts w:cs="Arial"/>
          <w:sz w:val="20"/>
          <w:szCs w:val="20"/>
        </w:rPr>
        <w:t>ch</w:t>
      </w:r>
      <w:r w:rsidRPr="00CE1F94">
        <w:rPr>
          <w:rFonts w:cs="Arial"/>
          <w:sz w:val="20"/>
          <w:szCs w:val="20"/>
        </w:rPr>
        <w:t xml:space="preserve"> pečující</w:t>
      </w:r>
      <w:r w:rsidR="006A3471" w:rsidRPr="00CE1F94">
        <w:rPr>
          <w:rFonts w:cs="Arial"/>
          <w:sz w:val="20"/>
          <w:szCs w:val="20"/>
        </w:rPr>
        <w:t>ch</w:t>
      </w:r>
      <w:r w:rsidRPr="00CE1F94">
        <w:rPr>
          <w:rFonts w:cs="Arial"/>
          <w:sz w:val="20"/>
          <w:szCs w:val="20"/>
        </w:rPr>
        <w:t xml:space="preserve">, většinou z řad rodinných příslušníků, patří k nejdůležitějším formám pomoci při zajišťování dlouhodobé péče v domácím prostředí. Vysoká náročnost spojená s péčí o osobu blízkou se promítá nejen do života </w:t>
      </w:r>
      <w:r w:rsidR="006D3A12" w:rsidRPr="00CE1F94">
        <w:rPr>
          <w:sz w:val="20"/>
          <w:szCs w:val="20"/>
        </w:rPr>
        <w:t>osoby závislé na pomoci jiné fyzické osoby</w:t>
      </w:r>
      <w:r w:rsidRPr="00CE1F94">
        <w:rPr>
          <w:rFonts w:cs="Arial"/>
          <w:sz w:val="20"/>
          <w:szCs w:val="20"/>
        </w:rPr>
        <w:t>, ale také do všech aspektů</w:t>
      </w:r>
      <w:r w:rsidR="0017452A">
        <w:rPr>
          <w:rFonts w:cs="Arial"/>
          <w:sz w:val="20"/>
          <w:szCs w:val="20"/>
        </w:rPr>
        <w:t xml:space="preserve"> života ostatních členů rodiny. </w:t>
      </w:r>
      <w:r w:rsidRPr="00CE1F94">
        <w:rPr>
          <w:rFonts w:cs="Arial"/>
          <w:sz w:val="20"/>
          <w:szCs w:val="20"/>
        </w:rPr>
        <w:t>Tato činnost znamená pro</w:t>
      </w:r>
      <w:r w:rsidR="006A3471" w:rsidRPr="00CE1F94">
        <w:rPr>
          <w:rFonts w:cs="Arial"/>
          <w:sz w:val="20"/>
          <w:szCs w:val="20"/>
        </w:rPr>
        <w:t> </w:t>
      </w:r>
      <w:r w:rsidRPr="00CE1F94">
        <w:rPr>
          <w:rFonts w:cs="Arial"/>
          <w:sz w:val="20"/>
          <w:szCs w:val="20"/>
        </w:rPr>
        <w:t>pečující osoby</w:t>
      </w:r>
      <w:r w:rsidR="00D41716">
        <w:rPr>
          <w:rFonts w:cs="Arial"/>
          <w:sz w:val="20"/>
          <w:szCs w:val="20"/>
        </w:rPr>
        <w:t xml:space="preserve"> zpravidla vysokou psychickou i </w:t>
      </w:r>
      <w:r w:rsidRPr="00CE1F94">
        <w:rPr>
          <w:rFonts w:cs="Arial"/>
          <w:sz w:val="20"/>
          <w:szCs w:val="20"/>
        </w:rPr>
        <w:t>fyzickou zátěž, nedostatek v</w:t>
      </w:r>
      <w:r w:rsidR="00B31485" w:rsidRPr="00CE1F94">
        <w:rPr>
          <w:rFonts w:cs="Arial"/>
          <w:sz w:val="20"/>
          <w:szCs w:val="20"/>
        </w:rPr>
        <w:t>olného</w:t>
      </w:r>
      <w:r w:rsidRPr="00CE1F94">
        <w:rPr>
          <w:rFonts w:cs="Arial"/>
          <w:sz w:val="20"/>
          <w:szCs w:val="20"/>
        </w:rPr>
        <w:t xml:space="preserve"> času, často i omezení vlastní výdělečné činnosti.</w:t>
      </w:r>
    </w:p>
    <w:p w14:paraId="2882BD04" w14:textId="61FA4F96" w:rsidR="00F17E74" w:rsidRDefault="00F17E74" w:rsidP="009C11CE">
      <w:pPr>
        <w:rPr>
          <w:rFonts w:cs="Arial"/>
          <w:sz w:val="20"/>
          <w:szCs w:val="20"/>
        </w:rPr>
      </w:pPr>
      <w:r w:rsidRPr="00CE1F94">
        <w:rPr>
          <w:rFonts w:cs="Arial"/>
          <w:sz w:val="20"/>
          <w:szCs w:val="20"/>
        </w:rPr>
        <w:t>Je proto nezbytné, aby byla přijata a podporována taková opatření, která by pečujícím osobám zajistila vedle potřebného hmotného zabezpečení také možnost využívat odpovídající sociální služby a další vhodnou podporu tak, aby byly minimalizovány negativní dopady související s výkonem této péče.</w:t>
      </w:r>
    </w:p>
    <w:p w14:paraId="1AC24377" w14:textId="62E1E572" w:rsidR="002025C6" w:rsidRDefault="002025C6" w:rsidP="009C11CE">
      <w:pPr>
        <w:rPr>
          <w:rFonts w:cs="Arial"/>
          <w:sz w:val="20"/>
          <w:szCs w:val="20"/>
        </w:rPr>
      </w:pPr>
    </w:p>
    <w:p w14:paraId="2249CD5C" w14:textId="77777777" w:rsidR="009C11CE" w:rsidRPr="00831152" w:rsidRDefault="009C11CE" w:rsidP="009C11CE">
      <w:pPr>
        <w:rPr>
          <w:rFonts w:cs="Arial"/>
          <w:b/>
          <w:szCs w:val="20"/>
        </w:rPr>
      </w:pPr>
      <w:r>
        <w:rPr>
          <w:rFonts w:cs="Arial"/>
          <w:b/>
          <w:szCs w:val="20"/>
        </w:rPr>
        <w:t xml:space="preserve">13.1 </w:t>
      </w:r>
      <w:r w:rsidRPr="00831152">
        <w:rPr>
          <w:rFonts w:cs="Arial"/>
          <w:b/>
          <w:szCs w:val="20"/>
        </w:rPr>
        <w:t>Cíl: Podpora pečujících o osoby se zdravotním postižením.</w:t>
      </w:r>
    </w:p>
    <w:p w14:paraId="6D139B7B" w14:textId="77777777" w:rsidR="00E7388D" w:rsidRDefault="00E7388D" w:rsidP="00E7388D">
      <w:pPr>
        <w:rPr>
          <w:rFonts w:cs="Arial"/>
          <w:szCs w:val="20"/>
        </w:rPr>
      </w:pPr>
      <w:r w:rsidRPr="0035060D">
        <w:rPr>
          <w:rFonts w:cs="Arial"/>
          <w:bCs/>
          <w:szCs w:val="20"/>
        </w:rPr>
        <w:t xml:space="preserve">Opatření </w:t>
      </w:r>
      <w:r>
        <w:rPr>
          <w:rFonts w:cs="Arial"/>
          <w:bCs/>
          <w:szCs w:val="20"/>
        </w:rPr>
        <w:t>13</w:t>
      </w:r>
      <w:r>
        <w:rPr>
          <w:rFonts w:cs="Arial"/>
          <w:szCs w:val="20"/>
        </w:rPr>
        <w:t xml:space="preserve">.1.1 </w:t>
      </w:r>
      <w:r w:rsidRPr="007813E7">
        <w:t>Navrhnout zařazení neformálních pečujících do cílových skupin sociálních služeb</w:t>
      </w:r>
      <w:r>
        <w:t>.</w:t>
      </w:r>
      <w:r w:rsidRPr="00831152">
        <w:rPr>
          <w:rFonts w:cs="Arial"/>
          <w:szCs w:val="20"/>
        </w:rPr>
        <w:t xml:space="preserve"> </w:t>
      </w:r>
    </w:p>
    <w:p w14:paraId="2440A9F0" w14:textId="77777777" w:rsidR="00E7388D" w:rsidRPr="00831152" w:rsidRDefault="00E7388D" w:rsidP="00E7388D">
      <w:pPr>
        <w:rPr>
          <w:rFonts w:cs="Arial"/>
          <w:szCs w:val="20"/>
        </w:rPr>
      </w:pPr>
      <w:r>
        <w:rPr>
          <w:rFonts w:cs="Arial"/>
          <w:szCs w:val="20"/>
        </w:rPr>
        <w:t xml:space="preserve">Termín: </w:t>
      </w:r>
      <w:proofErr w:type="gramStart"/>
      <w:r>
        <w:rPr>
          <w:rFonts w:cs="Arial"/>
          <w:szCs w:val="20"/>
        </w:rPr>
        <w:t>31.12.2023</w:t>
      </w:r>
      <w:proofErr w:type="gramEnd"/>
    </w:p>
    <w:p w14:paraId="5FC42996" w14:textId="77777777" w:rsidR="00E7388D" w:rsidRPr="00831152" w:rsidRDefault="00E7388D" w:rsidP="00E7388D">
      <w:pPr>
        <w:rPr>
          <w:rFonts w:cs="Arial"/>
          <w:szCs w:val="20"/>
        </w:rPr>
      </w:pPr>
      <w:r w:rsidRPr="00831152">
        <w:rPr>
          <w:rFonts w:cs="Arial"/>
          <w:szCs w:val="20"/>
        </w:rPr>
        <w:t xml:space="preserve">Gestor: MPSV </w:t>
      </w:r>
    </w:p>
    <w:p w14:paraId="037C51B0" w14:textId="77777777" w:rsidR="00E7388D" w:rsidRPr="00831152" w:rsidRDefault="00E7388D" w:rsidP="00E7388D">
      <w:pPr>
        <w:rPr>
          <w:rFonts w:cs="Arial"/>
          <w:szCs w:val="20"/>
        </w:rPr>
      </w:pPr>
      <w:r w:rsidRPr="009D5EFA">
        <w:rPr>
          <w:rFonts w:cs="Arial"/>
          <w:bCs/>
          <w:szCs w:val="20"/>
        </w:rPr>
        <w:t>Indikátor</w:t>
      </w:r>
      <w:r w:rsidRPr="00831152">
        <w:rPr>
          <w:rFonts w:cs="Arial"/>
          <w:szCs w:val="20"/>
        </w:rPr>
        <w:t xml:space="preserve">: </w:t>
      </w:r>
      <w:r w:rsidRPr="007813E7">
        <w:t>Byl vypracován a do legislativního procesu předán návrh právní úpravy zahrnující pečující osoby mezi cílovou skupinu sociálních služeb</w:t>
      </w:r>
      <w:r>
        <w:t>.</w:t>
      </w:r>
    </w:p>
    <w:p w14:paraId="7EE20DFE" w14:textId="786C0B1A" w:rsidR="00E7388D" w:rsidRDefault="00E7388D" w:rsidP="00E7388D">
      <w:pPr>
        <w:rPr>
          <w:rFonts w:cs="Arial"/>
          <w:bCs/>
          <w:szCs w:val="20"/>
        </w:rPr>
      </w:pPr>
    </w:p>
    <w:p w14:paraId="1B66F35F" w14:textId="5CCA90F4" w:rsidR="00AE2B7C" w:rsidRPr="00C4188D" w:rsidRDefault="00AE2B7C" w:rsidP="00C4188D">
      <w:pPr>
        <w:keepNext/>
        <w:tabs>
          <w:tab w:val="left" w:pos="720"/>
        </w:tabs>
        <w:rPr>
          <w:rFonts w:cs="Arial"/>
          <w:b/>
          <w:bCs/>
          <w:sz w:val="20"/>
          <w:szCs w:val="20"/>
          <w:lang w:eastAsia="cs-CZ"/>
        </w:rPr>
      </w:pPr>
      <w:r w:rsidRPr="00C4188D">
        <w:rPr>
          <w:rFonts w:cs="Arial"/>
          <w:b/>
          <w:bCs/>
          <w:sz w:val="20"/>
          <w:szCs w:val="20"/>
          <w:lang w:eastAsia="cs-CZ"/>
        </w:rPr>
        <w:t>PLNĚNÍ MPSV:</w:t>
      </w:r>
    </w:p>
    <w:p w14:paraId="34F17D9C" w14:textId="74A87C4F" w:rsidR="00C4188D" w:rsidRPr="00C4188D" w:rsidRDefault="00C4188D" w:rsidP="00C4188D">
      <w:pPr>
        <w:rPr>
          <w:rFonts w:cs="Arial"/>
          <w:sz w:val="20"/>
          <w:szCs w:val="20"/>
        </w:rPr>
      </w:pPr>
      <w:r w:rsidRPr="00C4188D">
        <w:rPr>
          <w:rFonts w:cs="Arial"/>
          <w:sz w:val="20"/>
          <w:szCs w:val="20"/>
        </w:rPr>
        <w:t>V prosinci 2022 rozeslalo MPSV do meziresortního připomínkové</w:t>
      </w:r>
      <w:r w:rsidR="00D41716">
        <w:rPr>
          <w:rFonts w:cs="Arial"/>
          <w:sz w:val="20"/>
          <w:szCs w:val="20"/>
        </w:rPr>
        <w:t>ho řízení návrh novely zákona o </w:t>
      </w:r>
      <w:r w:rsidRPr="00C4188D">
        <w:rPr>
          <w:rFonts w:cs="Arial"/>
          <w:sz w:val="20"/>
          <w:szCs w:val="20"/>
        </w:rPr>
        <w:t xml:space="preserve">sociálních službách. Novela obsahovala i </w:t>
      </w:r>
      <w:r w:rsidRPr="00C4188D">
        <w:rPr>
          <w:rFonts w:cs="Arial"/>
          <w:bCs/>
          <w:sz w:val="20"/>
          <w:szCs w:val="20"/>
        </w:rPr>
        <w:t xml:space="preserve">návrh na zařazení neformálních pečujících jako cílové skupiny sociálních služeb a konkrétní činnosti zaměřené na jejich podporu. </w:t>
      </w:r>
      <w:r w:rsidRPr="00C4188D">
        <w:rPr>
          <w:rFonts w:cs="Arial"/>
          <w:sz w:val="20"/>
          <w:szCs w:val="20"/>
        </w:rPr>
        <w:t xml:space="preserve">S ohledem na nemožnost vypořádání některých zásadních připomínek se však v červenci 2023 rozhodlo MPSV uvedený návrh </w:t>
      </w:r>
      <w:r w:rsidRPr="00C4188D">
        <w:rPr>
          <w:rFonts w:cs="Arial"/>
          <w:sz w:val="20"/>
          <w:szCs w:val="20"/>
        </w:rPr>
        <w:lastRenderedPageBreak/>
        <w:t>novely z legislativního procesu zcela stáhnout a některé v něm zamýšlené změny promítnout do následných návrhů novelizace zákona o sociálních službách.</w:t>
      </w:r>
    </w:p>
    <w:p w14:paraId="2F6C8A7C" w14:textId="77777777" w:rsidR="00C4188D" w:rsidRPr="00C4188D" w:rsidRDefault="00C4188D" w:rsidP="00C4188D">
      <w:pPr>
        <w:rPr>
          <w:rFonts w:cs="Arial"/>
          <w:bCs/>
          <w:sz w:val="20"/>
          <w:szCs w:val="20"/>
        </w:rPr>
      </w:pPr>
      <w:r w:rsidRPr="00C4188D">
        <w:rPr>
          <w:rFonts w:cs="Arial"/>
          <w:bCs/>
          <w:sz w:val="20"/>
          <w:szCs w:val="20"/>
        </w:rPr>
        <w:t>Zakotvení cílové skupiny „neformální pečující“ a jejich podpory prostřednictvím sociálních služeb obsahuje poslanecký návrh novely zákona o sociálních službách (sněmovní tisk č. 605).</w:t>
      </w:r>
    </w:p>
    <w:p w14:paraId="63F2CC38" w14:textId="064108BB" w:rsidR="00AE2B7C" w:rsidRPr="00C4188D" w:rsidRDefault="00AE2B7C" w:rsidP="00C4188D">
      <w:pPr>
        <w:rPr>
          <w:rFonts w:cs="Arial"/>
          <w:sz w:val="20"/>
          <w:szCs w:val="20"/>
        </w:rPr>
      </w:pPr>
      <w:r w:rsidRPr="00C4188D">
        <w:rPr>
          <w:rFonts w:cs="Arial"/>
          <w:b/>
          <w:bCs/>
          <w:sz w:val="20"/>
          <w:szCs w:val="20"/>
          <w:lang w:eastAsia="cs-CZ"/>
        </w:rPr>
        <w:t>STANOVISKO K </w:t>
      </w:r>
      <w:r w:rsidRPr="00EA768B">
        <w:rPr>
          <w:rFonts w:cs="Arial"/>
          <w:b/>
          <w:bCs/>
          <w:sz w:val="20"/>
          <w:szCs w:val="20"/>
          <w:lang w:eastAsia="cs-CZ"/>
        </w:rPr>
        <w:t xml:space="preserve">PLNĚNÍ: </w:t>
      </w:r>
      <w:r w:rsidR="00155EE2" w:rsidRPr="00EA768B">
        <w:rPr>
          <w:rFonts w:cs="Arial"/>
          <w:b/>
          <w:bCs/>
          <w:sz w:val="20"/>
          <w:szCs w:val="20"/>
          <w:lang w:eastAsia="cs-CZ"/>
        </w:rPr>
        <w:t>Sp</w:t>
      </w:r>
      <w:r w:rsidRPr="00EA768B">
        <w:rPr>
          <w:rFonts w:cs="Arial"/>
          <w:b/>
          <w:bCs/>
          <w:sz w:val="20"/>
          <w:szCs w:val="20"/>
          <w:lang w:eastAsia="cs-CZ"/>
        </w:rPr>
        <w:t>lněno.</w:t>
      </w:r>
      <w:r w:rsidR="00155EE2" w:rsidRPr="00C4188D">
        <w:rPr>
          <w:rFonts w:cs="Arial"/>
          <w:b/>
          <w:bCs/>
          <w:sz w:val="20"/>
          <w:szCs w:val="20"/>
          <w:lang w:eastAsia="cs-CZ"/>
        </w:rPr>
        <w:t xml:space="preserve"> </w:t>
      </w:r>
    </w:p>
    <w:p w14:paraId="0B4C222A" w14:textId="77777777" w:rsidR="00E7388D" w:rsidRDefault="00E7388D" w:rsidP="00E7388D">
      <w:pPr>
        <w:rPr>
          <w:rFonts w:cs="Arial"/>
          <w:bCs/>
          <w:szCs w:val="20"/>
        </w:rPr>
      </w:pPr>
    </w:p>
    <w:p w14:paraId="53567985" w14:textId="436EC36E" w:rsidR="00E7388D" w:rsidRPr="00831152" w:rsidRDefault="00E7388D" w:rsidP="00E7388D">
      <w:pPr>
        <w:rPr>
          <w:rFonts w:cs="Arial"/>
          <w:bCs/>
          <w:szCs w:val="20"/>
        </w:rPr>
      </w:pPr>
      <w:r w:rsidRPr="0035060D">
        <w:rPr>
          <w:rFonts w:cs="Arial"/>
          <w:bCs/>
          <w:szCs w:val="20"/>
        </w:rPr>
        <w:t xml:space="preserve">Opatření </w:t>
      </w:r>
      <w:r>
        <w:rPr>
          <w:rFonts w:cs="Arial"/>
          <w:bCs/>
          <w:szCs w:val="20"/>
        </w:rPr>
        <w:t>13</w:t>
      </w:r>
      <w:r>
        <w:rPr>
          <w:rFonts w:cs="Arial"/>
          <w:szCs w:val="20"/>
        </w:rPr>
        <w:t xml:space="preserve">.1.2 </w:t>
      </w:r>
      <w:r w:rsidRPr="00831152">
        <w:rPr>
          <w:rFonts w:cs="Arial"/>
          <w:bCs/>
          <w:szCs w:val="20"/>
        </w:rPr>
        <w:t>Navrhnout možné změny, které by výrazněji zohlednily dobu osobní péče o</w:t>
      </w:r>
      <w:r>
        <w:rPr>
          <w:rFonts w:cs="Arial"/>
          <w:bCs/>
          <w:szCs w:val="20"/>
        </w:rPr>
        <w:t> </w:t>
      </w:r>
      <w:r w:rsidRPr="00831152">
        <w:rPr>
          <w:rFonts w:cs="Arial"/>
          <w:bCs/>
          <w:szCs w:val="20"/>
        </w:rPr>
        <w:t>osobu závislou na pomoci jiné osoby ve stanoveném stupni závislosti v nárocích z</w:t>
      </w:r>
      <w:r>
        <w:rPr>
          <w:rFonts w:cs="Arial"/>
          <w:bCs/>
          <w:szCs w:val="20"/>
        </w:rPr>
        <w:t> </w:t>
      </w:r>
      <w:r w:rsidRPr="00831152">
        <w:rPr>
          <w:rFonts w:cs="Arial"/>
          <w:bCs/>
          <w:szCs w:val="20"/>
        </w:rPr>
        <w:t>důchodového pojištění pečující osoby.</w:t>
      </w:r>
    </w:p>
    <w:p w14:paraId="3780C014" w14:textId="77777777" w:rsidR="00E7388D" w:rsidRPr="00831152" w:rsidRDefault="00E7388D" w:rsidP="00E7388D">
      <w:pPr>
        <w:rPr>
          <w:rFonts w:cs="Arial"/>
          <w:bCs/>
          <w:szCs w:val="20"/>
        </w:rPr>
      </w:pPr>
      <w:r w:rsidRPr="00831152">
        <w:rPr>
          <w:rFonts w:cs="Arial"/>
          <w:bCs/>
          <w:szCs w:val="20"/>
        </w:rPr>
        <w:t xml:space="preserve">Termín: </w:t>
      </w:r>
      <w:proofErr w:type="gramStart"/>
      <w:r w:rsidRPr="00831152">
        <w:rPr>
          <w:rFonts w:cs="Arial"/>
          <w:bCs/>
          <w:szCs w:val="20"/>
        </w:rPr>
        <w:t>31.12.2023</w:t>
      </w:r>
      <w:proofErr w:type="gramEnd"/>
      <w:r w:rsidRPr="00831152">
        <w:rPr>
          <w:rFonts w:cs="Arial"/>
          <w:bCs/>
          <w:szCs w:val="20"/>
        </w:rPr>
        <w:t xml:space="preserve"> </w:t>
      </w:r>
    </w:p>
    <w:p w14:paraId="61559428" w14:textId="77777777" w:rsidR="00E7388D" w:rsidRPr="00831152" w:rsidRDefault="00E7388D" w:rsidP="00E7388D">
      <w:pPr>
        <w:rPr>
          <w:rFonts w:cs="Arial"/>
          <w:bCs/>
          <w:szCs w:val="20"/>
        </w:rPr>
      </w:pPr>
      <w:r w:rsidRPr="00831152">
        <w:rPr>
          <w:rFonts w:cs="Arial"/>
          <w:bCs/>
          <w:szCs w:val="20"/>
        </w:rPr>
        <w:t>Gestor: MPSV</w:t>
      </w:r>
    </w:p>
    <w:p w14:paraId="2B21BB04" w14:textId="77777777" w:rsidR="00E7388D" w:rsidRPr="00975AAF" w:rsidRDefault="00E7388D" w:rsidP="00E7388D">
      <w:pPr>
        <w:rPr>
          <w:rFonts w:cs="Arial"/>
          <w:bCs/>
          <w:szCs w:val="20"/>
        </w:rPr>
      </w:pPr>
      <w:r w:rsidRPr="00831152">
        <w:rPr>
          <w:rFonts w:cs="Arial"/>
          <w:bCs/>
          <w:szCs w:val="20"/>
        </w:rPr>
        <w:t xml:space="preserve">Indikátor: </w:t>
      </w:r>
      <w:r>
        <w:rPr>
          <w:rFonts w:cs="Arial"/>
          <w:bCs/>
          <w:szCs w:val="20"/>
        </w:rPr>
        <w:t>Byly</w:t>
      </w:r>
      <w:r w:rsidRPr="00831152">
        <w:rPr>
          <w:rFonts w:cs="Arial"/>
          <w:bCs/>
          <w:szCs w:val="20"/>
        </w:rPr>
        <w:t xml:space="preserve"> navrženy změny, které při</w:t>
      </w:r>
      <w:r>
        <w:rPr>
          <w:rFonts w:cs="Arial"/>
          <w:bCs/>
          <w:szCs w:val="20"/>
        </w:rPr>
        <w:t>s</w:t>
      </w:r>
      <w:r w:rsidRPr="00831152">
        <w:rPr>
          <w:rFonts w:cs="Arial"/>
          <w:bCs/>
          <w:szCs w:val="20"/>
        </w:rPr>
        <w:t xml:space="preserve">pívají k tomu, aby důchodové zabezpečení pečujících osob bylo na vyšší </w:t>
      </w:r>
      <w:r>
        <w:rPr>
          <w:rFonts w:cs="Arial"/>
          <w:bCs/>
          <w:szCs w:val="20"/>
        </w:rPr>
        <w:t>ú</w:t>
      </w:r>
      <w:r w:rsidRPr="00831152">
        <w:rPr>
          <w:rFonts w:cs="Arial"/>
          <w:bCs/>
          <w:szCs w:val="20"/>
        </w:rPr>
        <w:t xml:space="preserve">rovni než doposud. </w:t>
      </w:r>
    </w:p>
    <w:p w14:paraId="0F2C27C0" w14:textId="51FFED67" w:rsidR="009C11CE" w:rsidRDefault="009C11CE" w:rsidP="00E7388D">
      <w:pPr>
        <w:rPr>
          <w:rFonts w:cs="Arial"/>
          <w:sz w:val="20"/>
          <w:szCs w:val="20"/>
        </w:rPr>
      </w:pPr>
    </w:p>
    <w:p w14:paraId="6D4DD4ED" w14:textId="6B516ABD" w:rsidR="00484929" w:rsidRPr="00D13802" w:rsidRDefault="00484929" w:rsidP="00484929">
      <w:pPr>
        <w:keepNext/>
        <w:tabs>
          <w:tab w:val="left" w:pos="720"/>
        </w:tabs>
        <w:rPr>
          <w:rFonts w:cs="Arial"/>
          <w:b/>
          <w:bCs/>
          <w:sz w:val="20"/>
          <w:szCs w:val="20"/>
          <w:lang w:eastAsia="cs-CZ"/>
        </w:rPr>
      </w:pPr>
      <w:r w:rsidRPr="00D13802">
        <w:rPr>
          <w:rFonts w:cs="Arial"/>
          <w:b/>
          <w:bCs/>
          <w:sz w:val="20"/>
          <w:szCs w:val="20"/>
          <w:lang w:eastAsia="cs-CZ"/>
        </w:rPr>
        <w:t>PLNĚNÍ MPSV:</w:t>
      </w:r>
    </w:p>
    <w:p w14:paraId="51B41A9A" w14:textId="2AD600B6" w:rsidR="00D13802" w:rsidRPr="00D13802" w:rsidRDefault="00D13802" w:rsidP="00D13802">
      <w:pPr>
        <w:rPr>
          <w:rFonts w:cs="Arial"/>
          <w:bCs/>
          <w:sz w:val="20"/>
          <w:szCs w:val="20"/>
        </w:rPr>
      </w:pPr>
      <w:r w:rsidRPr="00D13802">
        <w:rPr>
          <w:rFonts w:cs="Arial"/>
          <w:bCs/>
          <w:sz w:val="20"/>
          <w:szCs w:val="20"/>
        </w:rPr>
        <w:t>V rámci tzv. důchodové reformy vypracovalo MPSV návrh změn</w:t>
      </w:r>
      <w:r w:rsidR="00E01D63">
        <w:rPr>
          <w:rFonts w:cs="Arial"/>
          <w:bCs/>
          <w:sz w:val="20"/>
          <w:szCs w:val="20"/>
        </w:rPr>
        <w:t>y</w:t>
      </w:r>
      <w:r w:rsidRPr="00D13802">
        <w:rPr>
          <w:rFonts w:cs="Arial"/>
          <w:bCs/>
          <w:sz w:val="20"/>
          <w:szCs w:val="20"/>
        </w:rPr>
        <w:t xml:space="preserve"> zákona č. 155/2006 Sb., o důchodovém pojištění, který předložilo dne 16. 11. 2023 do meziresortního připomínkového řízení. Jedním z navržených opatření je i zavedení fiktivního vyměřovacího základu pro osoby osobně pečující o osoby závislé na pomoci jiné osoby. Fiktivní vyměřovací základ ve výši všeobecné průměrné mzdy (jde-li o stupeň závislosti III nebo IV) nebo poloviny všeobecné průměrné mzdy (jde-li o stupeň závislosti II nebo I v případě péče o dítě do 10 let věku) by se měl podle návrhu pečující osobě zohledňovat jako příjem ze zaměstnání a v případě, že pečuj</w:t>
      </w:r>
      <w:r w:rsidR="00AB3B4C">
        <w:rPr>
          <w:rFonts w:cs="Arial"/>
          <w:bCs/>
          <w:sz w:val="20"/>
          <w:szCs w:val="20"/>
        </w:rPr>
        <w:t>ící osoba dosahovala souběžně s </w:t>
      </w:r>
      <w:r w:rsidRPr="00D13802">
        <w:rPr>
          <w:rFonts w:cs="Arial"/>
          <w:bCs/>
          <w:sz w:val="20"/>
          <w:szCs w:val="20"/>
        </w:rPr>
        <w:t>péčí skutečného příjmu, se k němu bude přičítat, pokud to pro pečující osobu bude výhodnější než vyloučená doba.</w:t>
      </w:r>
    </w:p>
    <w:p w14:paraId="475F337D" w14:textId="5AB3FC15" w:rsidR="00E01D63" w:rsidRPr="00D13802" w:rsidRDefault="00D13802" w:rsidP="00D13802">
      <w:pPr>
        <w:rPr>
          <w:rFonts w:cs="Arial"/>
          <w:bCs/>
          <w:sz w:val="20"/>
          <w:szCs w:val="20"/>
        </w:rPr>
      </w:pPr>
      <w:r w:rsidRPr="00E01D63">
        <w:rPr>
          <w:rFonts w:cs="Arial"/>
          <w:bCs/>
          <w:sz w:val="20"/>
          <w:szCs w:val="20"/>
        </w:rPr>
        <w:t xml:space="preserve">Návrh </w:t>
      </w:r>
      <w:r w:rsidR="00E01D63" w:rsidRPr="00E01D63">
        <w:rPr>
          <w:sz w:val="20"/>
          <w:szCs w:val="20"/>
        </w:rPr>
        <w:t>změny zákona č. 155/1995 Sb</w:t>
      </w:r>
      <w:r w:rsidR="00E01D63" w:rsidRPr="00E01D63">
        <w:rPr>
          <w:rFonts w:cs="Arial"/>
          <w:bCs/>
          <w:sz w:val="20"/>
          <w:szCs w:val="20"/>
        </w:rPr>
        <w:t xml:space="preserve">. </w:t>
      </w:r>
      <w:r w:rsidR="00E01D63" w:rsidRPr="00E01D63">
        <w:rPr>
          <w:sz w:val="20"/>
          <w:szCs w:val="20"/>
        </w:rPr>
        <w:t>byl schválen usnesením vlády ze dne 30. 4. 2024 č. </w:t>
      </w:r>
      <w:r w:rsidR="00D86C5E">
        <w:rPr>
          <w:sz w:val="20"/>
          <w:szCs w:val="20"/>
        </w:rPr>
        <w:t>276 a </w:t>
      </w:r>
      <w:r w:rsidR="00E01D63" w:rsidRPr="00E01D63">
        <w:rPr>
          <w:sz w:val="20"/>
          <w:szCs w:val="20"/>
        </w:rPr>
        <w:t>v Poslanecké sněmovně Parlamentu ČR prošel dne 30. 5. 2024 prvním čtením</w:t>
      </w:r>
      <w:r w:rsidRPr="00E01D63">
        <w:rPr>
          <w:rFonts w:cs="Arial"/>
          <w:bCs/>
          <w:sz w:val="20"/>
          <w:szCs w:val="20"/>
        </w:rPr>
        <w:t>, předpokládaná účinnost je od 1. 1. 2027.</w:t>
      </w:r>
    </w:p>
    <w:p w14:paraId="6243789F" w14:textId="3A29EE28" w:rsidR="00484929" w:rsidRPr="00D13802" w:rsidRDefault="00484929" w:rsidP="00E7388D">
      <w:pPr>
        <w:rPr>
          <w:rFonts w:cs="Arial"/>
          <w:sz w:val="20"/>
          <w:szCs w:val="20"/>
        </w:rPr>
      </w:pPr>
      <w:r w:rsidRPr="00D13802">
        <w:rPr>
          <w:rFonts w:cs="Arial"/>
          <w:b/>
          <w:bCs/>
          <w:sz w:val="20"/>
          <w:szCs w:val="20"/>
          <w:lang w:eastAsia="cs-CZ"/>
        </w:rPr>
        <w:t>STANOVISKO K </w:t>
      </w:r>
      <w:r w:rsidRPr="00EA768B">
        <w:rPr>
          <w:rFonts w:cs="Arial"/>
          <w:b/>
          <w:bCs/>
          <w:sz w:val="20"/>
          <w:szCs w:val="20"/>
          <w:lang w:eastAsia="cs-CZ"/>
        </w:rPr>
        <w:t>PLNĚNÍ: Splněno.</w:t>
      </w:r>
      <w:r w:rsidRPr="00D13802">
        <w:rPr>
          <w:rFonts w:cs="Arial"/>
          <w:b/>
          <w:bCs/>
          <w:sz w:val="20"/>
          <w:szCs w:val="20"/>
          <w:lang w:eastAsia="cs-CZ"/>
        </w:rPr>
        <w:t xml:space="preserve"> </w:t>
      </w:r>
    </w:p>
    <w:p w14:paraId="134A0D75" w14:textId="77777777" w:rsidR="002025C6" w:rsidRPr="003868E4" w:rsidRDefault="002025C6" w:rsidP="00890860">
      <w:pPr>
        <w:rPr>
          <w:rFonts w:cs="Arial"/>
          <w:sz w:val="20"/>
          <w:szCs w:val="20"/>
        </w:rPr>
      </w:pPr>
    </w:p>
    <w:p w14:paraId="0D7B586D" w14:textId="77777777" w:rsidR="00F17E74" w:rsidRPr="00544214" w:rsidRDefault="00544214" w:rsidP="00890860">
      <w:pPr>
        <w:pStyle w:val="Nadpis2"/>
        <w:numPr>
          <w:ilvl w:val="0"/>
          <w:numId w:val="0"/>
        </w:numPr>
        <w:spacing w:before="0" w:after="120"/>
      </w:pPr>
      <w:bookmarkStart w:id="52" w:name="_Toc38548799"/>
      <w:bookmarkStart w:id="53" w:name="_Toc38828896"/>
      <w:bookmarkStart w:id="54" w:name="_Toc101957902"/>
      <w:r>
        <w:t>Oblast č. 1</w:t>
      </w:r>
      <w:r w:rsidR="00891A85">
        <w:t>4</w:t>
      </w:r>
      <w:r w:rsidR="00FE68E2">
        <w:t>:</w:t>
      </w:r>
      <w:r>
        <w:t xml:space="preserve"> </w:t>
      </w:r>
      <w:r w:rsidR="00F17E74" w:rsidRPr="00544214">
        <w:t>Participace osob se zdravotním postižením a jejich organizací na politickém a veřejném životě</w:t>
      </w:r>
      <w:bookmarkEnd w:id="52"/>
      <w:bookmarkEnd w:id="53"/>
      <w:bookmarkEnd w:id="54"/>
      <w:r w:rsidR="00F17E74" w:rsidRPr="00544214">
        <w:t xml:space="preserve"> </w:t>
      </w:r>
    </w:p>
    <w:p w14:paraId="514D2BB9" w14:textId="6846CA64" w:rsidR="00F17E74" w:rsidRPr="00A31054" w:rsidRDefault="00F17E74" w:rsidP="00E906EB">
      <w:pPr>
        <w:rPr>
          <w:rFonts w:cs="Arial"/>
          <w:sz w:val="20"/>
          <w:szCs w:val="20"/>
        </w:rPr>
      </w:pPr>
      <w:r w:rsidRPr="00A31054">
        <w:rPr>
          <w:rFonts w:cs="Arial"/>
          <w:sz w:val="20"/>
          <w:szCs w:val="20"/>
        </w:rPr>
        <w:t xml:space="preserve">Organizace osob se zdravotním postižením, zejména spolky, zajišťují nezbytné propojení osob se zdravotním postižením s veřejnou správou, pomocí konzultací a připomínek </w:t>
      </w:r>
      <w:r w:rsidR="00AB3B4C">
        <w:rPr>
          <w:rFonts w:cs="Arial"/>
          <w:sz w:val="20"/>
          <w:szCs w:val="20"/>
        </w:rPr>
        <w:t>významně přispívají k </w:t>
      </w:r>
      <w:r w:rsidRPr="00A31054">
        <w:rPr>
          <w:rFonts w:cs="Arial"/>
          <w:sz w:val="20"/>
          <w:szCs w:val="20"/>
        </w:rPr>
        <w:t>formulacím opatření vedoucích k naplňování specifických potřeb a</w:t>
      </w:r>
      <w:r w:rsidR="00901CDC" w:rsidRPr="00A31054">
        <w:rPr>
          <w:rFonts w:cs="Arial"/>
          <w:sz w:val="20"/>
          <w:szCs w:val="20"/>
        </w:rPr>
        <w:t> </w:t>
      </w:r>
      <w:r w:rsidRPr="00A31054">
        <w:rPr>
          <w:rFonts w:cs="Arial"/>
          <w:sz w:val="20"/>
          <w:szCs w:val="20"/>
        </w:rPr>
        <w:t>zájmů osob se zdravotním postižením. Poskytují také širokou škálu potřebných služeb (sociální služby</w:t>
      </w:r>
      <w:r w:rsidR="00AB3B4C">
        <w:rPr>
          <w:rFonts w:cs="Arial"/>
          <w:sz w:val="20"/>
          <w:szCs w:val="20"/>
        </w:rPr>
        <w:t>, sociální rehabilitaci atd.) a </w:t>
      </w:r>
      <w:r w:rsidRPr="00A31054">
        <w:rPr>
          <w:rFonts w:cs="Arial"/>
          <w:sz w:val="20"/>
          <w:szCs w:val="20"/>
        </w:rPr>
        <w:t xml:space="preserve">zajišťují i poradenství a osvětovou činnost cílenou nejen na osoby </w:t>
      </w:r>
      <w:r w:rsidR="00AB3B4C">
        <w:rPr>
          <w:rFonts w:cs="Arial"/>
          <w:sz w:val="20"/>
          <w:szCs w:val="20"/>
        </w:rPr>
        <w:t>se zdravotním postižením, ale i </w:t>
      </w:r>
      <w:r w:rsidRPr="00A31054">
        <w:rPr>
          <w:rFonts w:cs="Arial"/>
          <w:sz w:val="20"/>
          <w:szCs w:val="20"/>
        </w:rPr>
        <w:t>na jejich rodiny a veřejnost, čímž významně napomáhají integraci osob se zdravotním postižením do společnosti. Jejich činnost pro</w:t>
      </w:r>
      <w:r w:rsidR="00035817">
        <w:rPr>
          <w:rFonts w:cs="Arial"/>
          <w:sz w:val="20"/>
          <w:szCs w:val="20"/>
        </w:rPr>
        <w:t>to musí být podporována</w:t>
      </w:r>
      <w:r w:rsidRPr="00A31054">
        <w:rPr>
          <w:rFonts w:cs="Arial"/>
          <w:sz w:val="20"/>
          <w:szCs w:val="20"/>
        </w:rPr>
        <w:t>, a to zejména vhodnými dotačními programy. Je rovněž důležité prohlubovat spolupráci těchto organizací s veřejnou správou i ostatními sociálními partnery.</w:t>
      </w:r>
    </w:p>
    <w:p w14:paraId="189340BC" w14:textId="728A03D9" w:rsidR="00F17E74" w:rsidRDefault="00F17E74" w:rsidP="00E906EB">
      <w:pPr>
        <w:rPr>
          <w:rFonts w:cs="Arial"/>
          <w:sz w:val="20"/>
          <w:szCs w:val="20"/>
        </w:rPr>
      </w:pPr>
      <w:r w:rsidRPr="00A31054">
        <w:rPr>
          <w:rFonts w:cs="Arial"/>
          <w:sz w:val="20"/>
          <w:szCs w:val="20"/>
        </w:rPr>
        <w:t xml:space="preserve">Právo podílet se na politickém a veřejném životě je dále naplňováno prostřednictvím volebního práva, které by jako jedno ze základních práv nemělo být omezováno. </w:t>
      </w:r>
    </w:p>
    <w:p w14:paraId="33C28615" w14:textId="77777777" w:rsidR="00E906EB" w:rsidRPr="00A31054" w:rsidRDefault="00E906EB" w:rsidP="00E906EB">
      <w:pPr>
        <w:rPr>
          <w:rFonts w:cs="Arial"/>
          <w:sz w:val="20"/>
          <w:szCs w:val="20"/>
        </w:rPr>
      </w:pPr>
    </w:p>
    <w:p w14:paraId="76FBC9B0" w14:textId="77777777" w:rsidR="00F17E74" w:rsidRPr="00346847" w:rsidRDefault="00F17E74" w:rsidP="00E906EB">
      <w:pPr>
        <w:rPr>
          <w:rFonts w:cs="Arial"/>
          <w:b/>
          <w:bCs/>
          <w:szCs w:val="20"/>
        </w:rPr>
      </w:pPr>
      <w:r>
        <w:rPr>
          <w:rFonts w:cs="Arial"/>
          <w:b/>
          <w:bCs/>
          <w:szCs w:val="20"/>
        </w:rPr>
        <w:t xml:space="preserve">14.1 </w:t>
      </w:r>
      <w:r w:rsidRPr="0057756D">
        <w:rPr>
          <w:rFonts w:cs="Arial"/>
          <w:b/>
          <w:bCs/>
          <w:szCs w:val="20"/>
        </w:rPr>
        <w:t xml:space="preserve">Cíl: </w:t>
      </w:r>
      <w:r>
        <w:rPr>
          <w:rFonts w:cs="Arial"/>
          <w:b/>
          <w:bCs/>
          <w:szCs w:val="20"/>
        </w:rPr>
        <w:t>Osoby</w:t>
      </w:r>
      <w:r w:rsidRPr="0057756D">
        <w:rPr>
          <w:rFonts w:cs="Arial"/>
          <w:b/>
          <w:bCs/>
          <w:szCs w:val="20"/>
        </w:rPr>
        <w:t xml:space="preserve"> se </w:t>
      </w:r>
      <w:r w:rsidRPr="002D3B01">
        <w:rPr>
          <w:rFonts w:cs="Arial"/>
          <w:b/>
          <w:szCs w:val="20"/>
        </w:rPr>
        <w:t>zdravotním</w:t>
      </w:r>
      <w:r w:rsidRPr="0057756D">
        <w:rPr>
          <w:rFonts w:cs="Arial"/>
          <w:b/>
          <w:bCs/>
          <w:szCs w:val="20"/>
        </w:rPr>
        <w:t xml:space="preserve"> postižením se podílejí na správě věcí veřejných.</w:t>
      </w:r>
    </w:p>
    <w:p w14:paraId="16234E59"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14</w:t>
      </w:r>
      <w:r>
        <w:rPr>
          <w:rFonts w:cs="Arial"/>
          <w:szCs w:val="20"/>
        </w:rPr>
        <w:t xml:space="preserve">.1.1 </w:t>
      </w:r>
      <w:r w:rsidRPr="0057756D">
        <w:rPr>
          <w:rFonts w:cs="Arial"/>
          <w:szCs w:val="20"/>
        </w:rPr>
        <w:t>Spolupracovat se zástupci organizací osob se zdravotním postižením při</w:t>
      </w:r>
      <w:r w:rsidR="000C2D0F">
        <w:rPr>
          <w:rFonts w:cs="Arial"/>
          <w:szCs w:val="20"/>
        </w:rPr>
        <w:t> </w:t>
      </w:r>
      <w:r w:rsidRPr="0057756D">
        <w:rPr>
          <w:rFonts w:cs="Arial"/>
          <w:szCs w:val="20"/>
        </w:rPr>
        <w:t>formulování opatření veřejné správy a při přípravě podkladů pro mezinárodní jednání, která se týkají osob se</w:t>
      </w:r>
      <w:r>
        <w:rPr>
          <w:rFonts w:cs="Arial"/>
          <w:szCs w:val="20"/>
        </w:rPr>
        <w:t> </w:t>
      </w:r>
      <w:r w:rsidRPr="0057756D">
        <w:rPr>
          <w:rFonts w:cs="Arial"/>
          <w:szCs w:val="20"/>
        </w:rPr>
        <w:t>zdravotním postižením.</w:t>
      </w:r>
    </w:p>
    <w:p w14:paraId="638171B7" w14:textId="77777777" w:rsidR="00F17E74" w:rsidRPr="0057756D" w:rsidRDefault="00F17E74" w:rsidP="00F17E74">
      <w:pPr>
        <w:rPr>
          <w:rFonts w:cs="Arial"/>
          <w:szCs w:val="20"/>
        </w:rPr>
      </w:pPr>
      <w:r w:rsidRPr="0057756D">
        <w:rPr>
          <w:rFonts w:cs="Arial"/>
          <w:szCs w:val="20"/>
        </w:rPr>
        <w:lastRenderedPageBreak/>
        <w:t>Termín: průběžně</w:t>
      </w:r>
    </w:p>
    <w:p w14:paraId="77F45AF6" w14:textId="77777777" w:rsidR="00F17E74" w:rsidRPr="0057756D" w:rsidRDefault="00F17E74" w:rsidP="00F17E74">
      <w:pPr>
        <w:rPr>
          <w:rFonts w:cs="Arial"/>
          <w:szCs w:val="20"/>
        </w:rPr>
      </w:pPr>
      <w:r w:rsidRPr="0057756D">
        <w:rPr>
          <w:rFonts w:cs="Arial"/>
          <w:szCs w:val="20"/>
        </w:rPr>
        <w:t>Gestor: všechny resorty, VVOZP</w:t>
      </w:r>
    </w:p>
    <w:p w14:paraId="74527544" w14:textId="358BB0FE" w:rsidR="00F17E74" w:rsidRDefault="00F17E74" w:rsidP="003338AC">
      <w:pPr>
        <w:rPr>
          <w:rFonts w:cs="Arial"/>
          <w:szCs w:val="20"/>
        </w:rPr>
      </w:pPr>
      <w:r w:rsidRPr="00831152">
        <w:rPr>
          <w:rFonts w:cs="Arial"/>
          <w:szCs w:val="20"/>
        </w:rPr>
        <w:t>Indikátor:</w:t>
      </w:r>
      <w:r w:rsidRPr="00193A00">
        <w:rPr>
          <w:rFonts w:cs="Arial"/>
          <w:szCs w:val="20"/>
        </w:rPr>
        <w:t xml:space="preserve"> </w:t>
      </w:r>
      <w:r>
        <w:rPr>
          <w:rFonts w:cs="Arial"/>
          <w:szCs w:val="20"/>
        </w:rPr>
        <w:t>O</w:t>
      </w:r>
      <w:r w:rsidRPr="00193A00">
        <w:rPr>
          <w:rFonts w:cs="Arial"/>
          <w:szCs w:val="20"/>
        </w:rPr>
        <w:t>patření veřejné správy, která mají dopad na osoby se zdravotním postižením, byla konzultována s</w:t>
      </w:r>
      <w:r>
        <w:rPr>
          <w:rFonts w:cs="Arial"/>
          <w:szCs w:val="20"/>
        </w:rPr>
        <w:t xml:space="preserve">e </w:t>
      </w:r>
      <w:r w:rsidRPr="00193A00">
        <w:rPr>
          <w:rFonts w:cs="Arial"/>
          <w:szCs w:val="20"/>
        </w:rPr>
        <w:t>zástupci</w:t>
      </w:r>
      <w:r>
        <w:rPr>
          <w:rFonts w:cs="Arial"/>
          <w:szCs w:val="20"/>
        </w:rPr>
        <w:t xml:space="preserve"> organizací</w:t>
      </w:r>
      <w:r w:rsidR="008D03A4">
        <w:rPr>
          <w:rFonts w:cs="Arial"/>
          <w:szCs w:val="20"/>
        </w:rPr>
        <w:t xml:space="preserve"> osob se zdravotním postižením</w:t>
      </w:r>
      <w:r w:rsidRPr="00193A00">
        <w:rPr>
          <w:rFonts w:cs="Arial"/>
          <w:szCs w:val="20"/>
        </w:rPr>
        <w:t>.</w:t>
      </w:r>
    </w:p>
    <w:p w14:paraId="4B11D611" w14:textId="77777777" w:rsidR="003338AC" w:rsidRDefault="003338AC" w:rsidP="003338AC">
      <w:pPr>
        <w:rPr>
          <w:rFonts w:cs="Arial"/>
          <w:szCs w:val="20"/>
        </w:rPr>
      </w:pPr>
    </w:p>
    <w:p w14:paraId="2A8C3653" w14:textId="2C17E195" w:rsidR="00F97AD8" w:rsidRPr="00F9006A" w:rsidRDefault="00F97AD8" w:rsidP="00BC3B4B">
      <w:pPr>
        <w:tabs>
          <w:tab w:val="left" w:pos="720"/>
        </w:tabs>
        <w:rPr>
          <w:rFonts w:cs="Arial"/>
          <w:b/>
          <w:bCs/>
          <w:sz w:val="20"/>
          <w:szCs w:val="20"/>
          <w:lang w:eastAsia="cs-CZ"/>
        </w:rPr>
      </w:pPr>
      <w:r w:rsidRPr="00F9006A">
        <w:rPr>
          <w:rFonts w:cs="Arial"/>
          <w:b/>
          <w:bCs/>
          <w:sz w:val="20"/>
          <w:szCs w:val="20"/>
          <w:lang w:eastAsia="cs-CZ"/>
        </w:rPr>
        <w:t>PLNĚNÍ MD:</w:t>
      </w:r>
    </w:p>
    <w:p w14:paraId="2B35ECC5" w14:textId="1DA41AB9" w:rsidR="00F9006A" w:rsidRPr="00F9006A" w:rsidRDefault="00F9006A" w:rsidP="00F9006A">
      <w:pPr>
        <w:rPr>
          <w:rFonts w:cs="Arial"/>
          <w:sz w:val="20"/>
          <w:szCs w:val="20"/>
        </w:rPr>
      </w:pPr>
      <w:r w:rsidRPr="00F9006A">
        <w:rPr>
          <w:rFonts w:cs="Arial"/>
          <w:sz w:val="20"/>
          <w:szCs w:val="20"/>
        </w:rPr>
        <w:t xml:space="preserve">Ministerstvo dopravy pokračuje ve spolupráci s organizacemi zastupujícími osoby se zdravotním postižením. Aktivní komunikace probíhá s Národní radou </w:t>
      </w:r>
      <w:r w:rsidR="00AB3B4C">
        <w:rPr>
          <w:rFonts w:cs="Arial"/>
          <w:sz w:val="20"/>
          <w:szCs w:val="20"/>
        </w:rPr>
        <w:t>osob se zdravotním postižením a </w:t>
      </w:r>
      <w:r w:rsidRPr="00F9006A">
        <w:rPr>
          <w:rFonts w:cs="Arial"/>
          <w:sz w:val="20"/>
          <w:szCs w:val="20"/>
        </w:rPr>
        <w:t>Sjednocenou organizací nevidomých a slabozrakých, se kterými jsou řešeny problémy veřejné dopravy i úpravy veřejného prostoru v souvislosti s pozemními komunikacemi a pravidly řízení provozu. Byla diskutována podoba novely nařízení 63/2011 Sb., která je nyní na odboru legislativy MD, dále je zřízena pracovní skupina k novele vyhlášky č. 294/2015 Sb. a byla zahájena spolupráce při přípravě prováděcí legislativy k novému stavebnímu zákonu.</w:t>
      </w:r>
    </w:p>
    <w:p w14:paraId="6A498BA6" w14:textId="6B87DBA9" w:rsidR="00F97AD8" w:rsidRPr="00F9006A" w:rsidRDefault="00F97AD8" w:rsidP="00BC3B4B">
      <w:pPr>
        <w:rPr>
          <w:rFonts w:ascii="Calibri" w:hAnsi="Calibri"/>
          <w:sz w:val="20"/>
          <w:szCs w:val="20"/>
          <w:lang w:eastAsia="cs-CZ"/>
        </w:rPr>
      </w:pPr>
      <w:r w:rsidRPr="00F9006A">
        <w:rPr>
          <w:rFonts w:cs="Arial"/>
          <w:b/>
          <w:bCs/>
          <w:sz w:val="20"/>
          <w:szCs w:val="20"/>
          <w:lang w:eastAsia="cs-CZ"/>
        </w:rPr>
        <w:t>STANOVISKO K PLNĚNÍ:</w:t>
      </w:r>
      <w:r w:rsidR="00E04CB2" w:rsidRPr="00F9006A">
        <w:rPr>
          <w:rFonts w:cs="Arial"/>
          <w:b/>
          <w:bCs/>
          <w:sz w:val="20"/>
          <w:szCs w:val="20"/>
          <w:lang w:eastAsia="cs-CZ"/>
        </w:rPr>
        <w:t xml:space="preserve"> Plněno.</w:t>
      </w:r>
    </w:p>
    <w:p w14:paraId="25B8959D" w14:textId="77777777" w:rsidR="003338AC" w:rsidRPr="00F9006A" w:rsidRDefault="003338AC" w:rsidP="00BC3B4B">
      <w:pPr>
        <w:rPr>
          <w:rFonts w:cs="Arial"/>
          <w:b/>
          <w:sz w:val="20"/>
          <w:szCs w:val="20"/>
        </w:rPr>
      </w:pPr>
    </w:p>
    <w:p w14:paraId="5FE0D2C6" w14:textId="4EE51C58" w:rsidR="00F67E75" w:rsidRDefault="00F67E75" w:rsidP="00FC7FB6">
      <w:pPr>
        <w:tabs>
          <w:tab w:val="left" w:pos="720"/>
        </w:tabs>
        <w:rPr>
          <w:rFonts w:cs="Arial"/>
          <w:b/>
          <w:bCs/>
          <w:sz w:val="20"/>
          <w:szCs w:val="20"/>
          <w:lang w:eastAsia="cs-CZ"/>
        </w:rPr>
      </w:pPr>
      <w:r w:rsidRPr="00E3601E">
        <w:rPr>
          <w:rFonts w:cs="Arial"/>
          <w:b/>
          <w:bCs/>
          <w:sz w:val="20"/>
          <w:szCs w:val="20"/>
          <w:lang w:eastAsia="cs-CZ"/>
        </w:rPr>
        <w:t>PLNĚNÍ MF:</w:t>
      </w:r>
    </w:p>
    <w:p w14:paraId="467D3A01" w14:textId="013BCDF0" w:rsidR="00FC7FB6" w:rsidRPr="00FC7FB6" w:rsidRDefault="00FC7FB6" w:rsidP="00FC7FB6">
      <w:pPr>
        <w:rPr>
          <w:rFonts w:cs="Arial"/>
          <w:sz w:val="20"/>
          <w:szCs w:val="20"/>
        </w:rPr>
      </w:pPr>
      <w:r w:rsidRPr="00FC7FB6">
        <w:rPr>
          <w:rFonts w:cs="Arial"/>
          <w:sz w:val="20"/>
          <w:szCs w:val="20"/>
        </w:rPr>
        <w:t xml:space="preserve">Pokud Ministerstvo financí a jemu podřízené organizace vydávají opatření, která mají dopad na osoby se zdravotním postižením nebo připravují podklady pro mezinárodní jednání, jsou tyto návrhy konzultovány se zástupci osob se zdravotním postižením. </w:t>
      </w:r>
    </w:p>
    <w:p w14:paraId="423AD1E5" w14:textId="7B56676F" w:rsidR="00471607" w:rsidRPr="002B5CF4" w:rsidRDefault="00F67E75" w:rsidP="002B5CF4">
      <w:pPr>
        <w:rPr>
          <w:rFonts w:cs="Arial"/>
          <w:b/>
          <w:sz w:val="20"/>
          <w:szCs w:val="20"/>
        </w:rPr>
      </w:pPr>
      <w:r w:rsidRPr="00471607">
        <w:rPr>
          <w:rFonts w:cs="Arial"/>
          <w:b/>
          <w:bCs/>
          <w:sz w:val="20"/>
          <w:szCs w:val="20"/>
          <w:lang w:eastAsia="cs-CZ"/>
        </w:rPr>
        <w:t>STANOVISKO K PLNĚNÍ:</w:t>
      </w:r>
      <w:r w:rsidR="00471607" w:rsidRPr="00471607">
        <w:rPr>
          <w:rFonts w:cs="Arial"/>
          <w:b/>
          <w:bCs/>
          <w:sz w:val="20"/>
          <w:szCs w:val="20"/>
          <w:lang w:eastAsia="cs-CZ"/>
        </w:rPr>
        <w:t xml:space="preserve"> </w:t>
      </w:r>
      <w:r w:rsidR="00471607" w:rsidRPr="00471607">
        <w:rPr>
          <w:rFonts w:cs="Arial"/>
          <w:b/>
          <w:sz w:val="20"/>
          <w:szCs w:val="20"/>
        </w:rPr>
        <w:t>Plněno.</w:t>
      </w:r>
    </w:p>
    <w:p w14:paraId="3DD1DD3C" w14:textId="6ED2D2C7" w:rsidR="00F67E75" w:rsidRDefault="00F67E75" w:rsidP="002B5CF4">
      <w:pPr>
        <w:rPr>
          <w:rFonts w:cs="Arial"/>
          <w:szCs w:val="20"/>
        </w:rPr>
      </w:pPr>
    </w:p>
    <w:p w14:paraId="16D7909B" w14:textId="71236940" w:rsidR="00484A82" w:rsidRPr="009301FB" w:rsidRDefault="00484A82" w:rsidP="00430A37">
      <w:pPr>
        <w:tabs>
          <w:tab w:val="left" w:pos="720"/>
        </w:tabs>
        <w:rPr>
          <w:rFonts w:cs="Arial"/>
          <w:b/>
          <w:bCs/>
          <w:sz w:val="20"/>
          <w:szCs w:val="20"/>
          <w:lang w:eastAsia="cs-CZ"/>
        </w:rPr>
      </w:pPr>
      <w:r w:rsidRPr="009301FB">
        <w:rPr>
          <w:rFonts w:cs="Arial"/>
          <w:b/>
          <w:bCs/>
          <w:sz w:val="20"/>
          <w:szCs w:val="20"/>
          <w:lang w:eastAsia="cs-CZ"/>
        </w:rPr>
        <w:t>PLNĚNÍ MK:</w:t>
      </w:r>
    </w:p>
    <w:p w14:paraId="55889B7B" w14:textId="7F01D4AE" w:rsidR="000E3216" w:rsidRPr="000E3216" w:rsidRDefault="000E3216" w:rsidP="009301FB">
      <w:pPr>
        <w:rPr>
          <w:rFonts w:eastAsia="Calibri"/>
          <w:bCs/>
          <w:sz w:val="20"/>
          <w:szCs w:val="20"/>
        </w:rPr>
      </w:pPr>
      <w:r w:rsidRPr="000E3216">
        <w:rPr>
          <w:rFonts w:eastAsia="Calibri"/>
          <w:bCs/>
          <w:sz w:val="20"/>
          <w:szCs w:val="20"/>
        </w:rPr>
        <w:t xml:space="preserve">Příklady spolupráce se </w:t>
      </w:r>
      <w:r w:rsidRPr="000E3216">
        <w:rPr>
          <w:rFonts w:cs="Arial"/>
          <w:sz w:val="20"/>
          <w:szCs w:val="20"/>
        </w:rPr>
        <w:t>zástupci organizací osob se zdravotním postižením:</w:t>
      </w:r>
    </w:p>
    <w:p w14:paraId="14C7B41A" w14:textId="2B8469A4" w:rsidR="009301FB" w:rsidRPr="009301FB" w:rsidRDefault="009301FB" w:rsidP="009301FB">
      <w:pPr>
        <w:rPr>
          <w:rFonts w:eastAsia="Calibri"/>
          <w:bCs/>
          <w:sz w:val="20"/>
          <w:szCs w:val="20"/>
        </w:rPr>
      </w:pPr>
      <w:r w:rsidRPr="000E3216">
        <w:rPr>
          <w:rFonts w:eastAsia="Calibri"/>
          <w:bCs/>
          <w:sz w:val="20"/>
          <w:szCs w:val="20"/>
        </w:rPr>
        <w:t xml:space="preserve">Národní muzeum (NM) aktivně a dlouhodobě spolupracuje s řadou organizací skupin osob se speciálními potřebami. Mezi ně patří například Národní rada osob se zdravotním postižením České republiky, Okamžik, z. ú., Pražská organizace vozíčkářů, </w:t>
      </w:r>
      <w:proofErr w:type="gramStart"/>
      <w:r w:rsidRPr="000E3216">
        <w:rPr>
          <w:rFonts w:eastAsia="Calibri"/>
          <w:bCs/>
          <w:sz w:val="20"/>
          <w:szCs w:val="20"/>
        </w:rPr>
        <w:t>o.s.</w:t>
      </w:r>
      <w:proofErr w:type="gramEnd"/>
      <w:r w:rsidRPr="000E3216">
        <w:rPr>
          <w:rFonts w:eastAsia="Calibri"/>
          <w:bCs/>
          <w:sz w:val="20"/>
          <w:szCs w:val="20"/>
        </w:rPr>
        <w:t>, Centrum pro dětský sluch Tamtam, o. p. s., KukátkOO – organizace věnující se uměleckému překladu a tlumočení z/do znakového jazyka, nebo SONS – Sjednocená organizace nevidomých a</w:t>
      </w:r>
      <w:r w:rsidRPr="009301FB">
        <w:rPr>
          <w:rFonts w:eastAsia="Calibri"/>
          <w:bCs/>
          <w:sz w:val="20"/>
          <w:szCs w:val="20"/>
        </w:rPr>
        <w:t xml:space="preserve"> slabozrakých Čes</w:t>
      </w:r>
      <w:r w:rsidR="00AB3B4C">
        <w:rPr>
          <w:rFonts w:eastAsia="Calibri"/>
          <w:bCs/>
          <w:sz w:val="20"/>
          <w:szCs w:val="20"/>
        </w:rPr>
        <w:t>ké republiky. V oblasti práce s </w:t>
      </w:r>
      <w:r w:rsidRPr="009301FB">
        <w:rPr>
          <w:rFonts w:eastAsia="Calibri"/>
          <w:bCs/>
          <w:sz w:val="20"/>
          <w:szCs w:val="20"/>
        </w:rPr>
        <w:t xml:space="preserve">návštěvníky s mentálním postižením NM spolupracuje se Společností pro podporu lidí s mentálním postižením v České </w:t>
      </w:r>
      <w:proofErr w:type="gramStart"/>
      <w:r w:rsidRPr="009301FB">
        <w:rPr>
          <w:rFonts w:eastAsia="Calibri"/>
          <w:bCs/>
          <w:sz w:val="20"/>
          <w:szCs w:val="20"/>
        </w:rPr>
        <w:t>republice, z. s.</w:t>
      </w:r>
      <w:proofErr w:type="gramEnd"/>
      <w:r w:rsidRPr="009301FB">
        <w:rPr>
          <w:rFonts w:eastAsia="Calibri"/>
          <w:bCs/>
          <w:sz w:val="20"/>
          <w:szCs w:val="20"/>
        </w:rPr>
        <w:t xml:space="preserve"> Spolupráce s těmito organizacemi probíhá v oblastech zprostředkování a metodické podpory zpřístupňování obsahu a objektů osobám se zdravotním postižením, skrze spoluorganizaci akcí pro tuto cílovou skupinu, nebo konzultační činností u přípravy opatření a podkladů.</w:t>
      </w:r>
    </w:p>
    <w:p w14:paraId="2F05A071" w14:textId="77777777" w:rsidR="009301FB" w:rsidRPr="00942E3F" w:rsidRDefault="009301FB" w:rsidP="009301FB">
      <w:pPr>
        <w:rPr>
          <w:rFonts w:eastAsia="Calibri"/>
          <w:bCs/>
          <w:sz w:val="20"/>
          <w:szCs w:val="20"/>
        </w:rPr>
      </w:pPr>
      <w:r w:rsidRPr="00C267FB">
        <w:rPr>
          <w:rFonts w:eastAsia="Calibri"/>
          <w:bCs/>
          <w:sz w:val="20"/>
          <w:szCs w:val="20"/>
        </w:rPr>
        <w:t>Technické muzeum v Brně (TMB)</w:t>
      </w:r>
      <w:r w:rsidRPr="00C267FB">
        <w:rPr>
          <w:rFonts w:eastAsia="Calibri"/>
          <w:b/>
          <w:sz w:val="20"/>
          <w:szCs w:val="20"/>
        </w:rPr>
        <w:t xml:space="preserve"> </w:t>
      </w:r>
      <w:r w:rsidRPr="00C267FB">
        <w:rPr>
          <w:rFonts w:eastAsia="Calibri"/>
          <w:bCs/>
          <w:sz w:val="20"/>
          <w:szCs w:val="20"/>
        </w:rPr>
        <w:t>spolupracuje</w:t>
      </w:r>
      <w:r w:rsidRPr="00942E3F">
        <w:rPr>
          <w:rFonts w:eastAsia="Calibri"/>
          <w:bCs/>
          <w:sz w:val="20"/>
          <w:szCs w:val="20"/>
        </w:rPr>
        <w:t xml:space="preserve"> s Tyfloservisem, Tyflocentrem, Hapateliérem, Školou pro výcvik vodicích psů, s. r. o., dále s Tandemem Brno (sportovní aktivity pro občany s těžkým postižením zraku), Českým svazem zrakově postižených sportovců, Nesmírem (Odborná skupina pro bezbariérovou astronomii a kosmonautiku) a se Společností pro ranou péči, pobočka Brno, Odbor zdraví Magistrátu města Brna.</w:t>
      </w:r>
    </w:p>
    <w:p w14:paraId="5337DFB2" w14:textId="5B7FC646" w:rsidR="00484A82" w:rsidRPr="009301FB" w:rsidRDefault="00484A82" w:rsidP="0017408F">
      <w:pPr>
        <w:rPr>
          <w:rFonts w:cs="Arial"/>
          <w:b/>
          <w:bCs/>
          <w:sz w:val="20"/>
          <w:szCs w:val="20"/>
          <w:lang w:eastAsia="cs-CZ"/>
        </w:rPr>
      </w:pPr>
      <w:r w:rsidRPr="009301FB">
        <w:rPr>
          <w:rFonts w:cs="Arial"/>
          <w:b/>
          <w:bCs/>
          <w:sz w:val="20"/>
          <w:szCs w:val="20"/>
          <w:lang w:eastAsia="cs-CZ"/>
        </w:rPr>
        <w:t>STANOVISKO K PLNĚNÍ:</w:t>
      </w:r>
      <w:r w:rsidR="000D043D" w:rsidRPr="009301FB">
        <w:rPr>
          <w:rFonts w:cs="Arial"/>
          <w:b/>
          <w:bCs/>
          <w:sz w:val="20"/>
          <w:szCs w:val="20"/>
          <w:lang w:eastAsia="cs-CZ"/>
        </w:rPr>
        <w:t xml:space="preserve"> Plněno.</w:t>
      </w:r>
    </w:p>
    <w:p w14:paraId="4FE64472" w14:textId="77777777" w:rsidR="006045F6" w:rsidRPr="0017408F" w:rsidRDefault="006045F6" w:rsidP="0017408F">
      <w:pPr>
        <w:rPr>
          <w:rFonts w:cs="Arial"/>
          <w:sz w:val="20"/>
          <w:szCs w:val="20"/>
        </w:rPr>
      </w:pPr>
    </w:p>
    <w:p w14:paraId="36299118" w14:textId="5229958D" w:rsidR="00FE7E70" w:rsidRPr="00367362" w:rsidRDefault="00FE7E70" w:rsidP="00367362">
      <w:pPr>
        <w:tabs>
          <w:tab w:val="left" w:pos="720"/>
        </w:tabs>
        <w:rPr>
          <w:rFonts w:cs="Arial"/>
          <w:b/>
          <w:bCs/>
          <w:sz w:val="20"/>
          <w:szCs w:val="20"/>
          <w:lang w:eastAsia="cs-CZ"/>
        </w:rPr>
      </w:pPr>
      <w:r w:rsidRPr="00367362">
        <w:rPr>
          <w:rFonts w:cs="Arial"/>
          <w:b/>
          <w:bCs/>
          <w:sz w:val="20"/>
          <w:szCs w:val="20"/>
          <w:lang w:eastAsia="cs-CZ"/>
        </w:rPr>
        <w:t>PLNĚNÍ MMR:</w:t>
      </w:r>
    </w:p>
    <w:p w14:paraId="2775D3EF" w14:textId="77777777" w:rsidR="00367362" w:rsidRPr="00367362" w:rsidRDefault="00367362" w:rsidP="00367362">
      <w:pPr>
        <w:rPr>
          <w:rFonts w:cs="Arial"/>
          <w:bCs/>
          <w:iCs/>
          <w:sz w:val="20"/>
          <w:szCs w:val="20"/>
        </w:rPr>
      </w:pPr>
      <w:r w:rsidRPr="00367362">
        <w:rPr>
          <w:rFonts w:cs="Arial"/>
          <w:bCs/>
          <w:iCs/>
          <w:sz w:val="20"/>
          <w:szCs w:val="20"/>
        </w:rPr>
        <w:t xml:space="preserve">MMR průběžně spolupracuje s Vládním výborem pro osoby se zdravotním postižením a s neziskovými organizacemi hájících práva osob se zdravotním postižením. V roce 2023 se uskutečnily tři jednání Platformy MMR k bezbariérovosti (březen 2023, červen 2023 a září 2023). Následně proběhla transformace na Poradní sbor ministra pro místní rozvoj k přístupnosti staveb, ve které má zastoupení 19 institucí či velkých organizací střešního typu jako je NIPI Bezbariérové prostředí, Národní rada osob se zdravotním postižením, Sjednocená organizace nevidomých a slabozrakých ČR a Asociace neslyšících, nedoslýchavých a jejich přátel. Z věcného hlediska pak uvádíme, že specifická právní </w:t>
      </w:r>
      <w:r w:rsidRPr="00367362">
        <w:rPr>
          <w:rFonts w:cs="Arial"/>
          <w:bCs/>
          <w:iCs/>
          <w:sz w:val="20"/>
          <w:szCs w:val="20"/>
        </w:rPr>
        <w:lastRenderedPageBreak/>
        <w:t>úprava požadavků na bezbariérové užívání staveb byla nahrazena univerzální přístupností staveb pro všechny.</w:t>
      </w:r>
    </w:p>
    <w:p w14:paraId="6E50454C" w14:textId="77777777" w:rsidR="00367362" w:rsidRPr="00367362" w:rsidRDefault="00367362" w:rsidP="00367362">
      <w:pPr>
        <w:rPr>
          <w:rFonts w:cs="Arial"/>
          <w:iCs/>
          <w:sz w:val="20"/>
          <w:szCs w:val="20"/>
        </w:rPr>
      </w:pPr>
      <w:r w:rsidRPr="00367362">
        <w:rPr>
          <w:rFonts w:cs="Arial"/>
          <w:iCs/>
          <w:sz w:val="20"/>
          <w:szCs w:val="20"/>
        </w:rPr>
        <w:t>Zaměření intervencí fondů EU v ČR projednává Rada pro fondy Evropské unie. Zástupci Asociace nestátních neziskových organizací jsou členy Rady na pracovní úrovni a pravidelně se účastní jednání. (ANNO je všeoborová střešní organizace, která zahrnuje i zástupce osob zdravotně postižených.)</w:t>
      </w:r>
    </w:p>
    <w:p w14:paraId="187F6DC5" w14:textId="77777777" w:rsidR="00367362" w:rsidRPr="00367362" w:rsidRDefault="00367362" w:rsidP="00367362">
      <w:pPr>
        <w:rPr>
          <w:rFonts w:cs="Arial"/>
          <w:iCs/>
          <w:sz w:val="20"/>
          <w:szCs w:val="20"/>
        </w:rPr>
      </w:pPr>
      <w:r w:rsidRPr="00367362">
        <w:rPr>
          <w:rFonts w:cs="Arial"/>
          <w:iCs/>
          <w:sz w:val="20"/>
          <w:szCs w:val="20"/>
        </w:rPr>
        <w:t xml:space="preserve">MMR v rámci „Systému vzdělávání pro implementační strukturu EU fondů – odborné kurzy“ věcně připravilo vzdělávací program „Problematika zdravotního postižení“ (ve spolupráci s MPSV, odborem sociálních služeb a sociální péče). Vzdělávací program je součástí odborného vzdělávání zaměstnanců implementační struktury EU fondů. </w:t>
      </w:r>
    </w:p>
    <w:p w14:paraId="205B232F" w14:textId="692F22EC" w:rsidR="004E6683" w:rsidRPr="00367362" w:rsidRDefault="00367362" w:rsidP="00367362">
      <w:pPr>
        <w:rPr>
          <w:rFonts w:cs="Arial"/>
          <w:iCs/>
          <w:sz w:val="20"/>
          <w:szCs w:val="20"/>
        </w:rPr>
      </w:pPr>
      <w:r w:rsidRPr="00367362">
        <w:rPr>
          <w:rFonts w:cs="Arial"/>
          <w:iCs/>
          <w:sz w:val="20"/>
          <w:szCs w:val="20"/>
        </w:rPr>
        <w:t>Navíc v rámci Resortní koordinační skupiny pro EU (RKS MMR) byl osloven dle Statutu RKS MMR čl. 6 zástupce Rady vlády pro nestátní neziskové organizace s žádostí o nominaci zástupce do této platformy. Zatím nepřišla reakce, ale je možné, že zástupci organizací osob se zdravotním postižením budou zastoupení i v RKS MMR.</w:t>
      </w:r>
    </w:p>
    <w:p w14:paraId="46AC0323" w14:textId="05530059" w:rsidR="00FE7E70" w:rsidRPr="00367362" w:rsidRDefault="00FE7E70" w:rsidP="00367362">
      <w:pPr>
        <w:rPr>
          <w:rFonts w:cs="Arial"/>
          <w:sz w:val="20"/>
          <w:szCs w:val="20"/>
        </w:rPr>
      </w:pPr>
      <w:r w:rsidRPr="00367362">
        <w:rPr>
          <w:rFonts w:cs="Arial"/>
          <w:b/>
          <w:bCs/>
          <w:sz w:val="20"/>
          <w:szCs w:val="20"/>
          <w:lang w:eastAsia="cs-CZ"/>
        </w:rPr>
        <w:t>STANOVISKO K PLNĚNÍ:</w:t>
      </w:r>
      <w:r w:rsidR="00C07BEA" w:rsidRPr="00367362">
        <w:rPr>
          <w:rFonts w:cs="Arial"/>
          <w:b/>
          <w:bCs/>
          <w:sz w:val="20"/>
          <w:szCs w:val="20"/>
          <w:lang w:eastAsia="cs-CZ"/>
        </w:rPr>
        <w:t xml:space="preserve"> Plněno.</w:t>
      </w:r>
    </w:p>
    <w:p w14:paraId="3FBC35BF" w14:textId="77777777" w:rsidR="001A54EE" w:rsidRPr="00D22734" w:rsidRDefault="001A54EE" w:rsidP="00D22734">
      <w:pPr>
        <w:tabs>
          <w:tab w:val="left" w:pos="720"/>
        </w:tabs>
        <w:rPr>
          <w:rFonts w:cs="Arial"/>
          <w:b/>
          <w:bCs/>
          <w:sz w:val="20"/>
          <w:szCs w:val="20"/>
          <w:lang w:eastAsia="cs-CZ"/>
        </w:rPr>
      </w:pPr>
    </w:p>
    <w:p w14:paraId="4067F26B" w14:textId="55ADC475" w:rsidR="00320DA1" w:rsidRPr="00D22734" w:rsidRDefault="00320DA1" w:rsidP="00D22734">
      <w:pPr>
        <w:tabs>
          <w:tab w:val="left" w:pos="720"/>
        </w:tabs>
        <w:rPr>
          <w:rFonts w:cs="Arial"/>
          <w:b/>
          <w:bCs/>
          <w:sz w:val="20"/>
          <w:szCs w:val="20"/>
          <w:lang w:eastAsia="cs-CZ"/>
        </w:rPr>
      </w:pPr>
      <w:r w:rsidRPr="00D22734">
        <w:rPr>
          <w:rFonts w:cs="Arial"/>
          <w:b/>
          <w:bCs/>
          <w:sz w:val="20"/>
          <w:szCs w:val="20"/>
          <w:lang w:eastAsia="cs-CZ"/>
        </w:rPr>
        <w:t>PLNĚNÍ MO:</w:t>
      </w:r>
    </w:p>
    <w:p w14:paraId="5009AF69" w14:textId="77777777" w:rsidR="00D22734" w:rsidRPr="00D22734" w:rsidRDefault="00D22734" w:rsidP="00D22734">
      <w:pPr>
        <w:rPr>
          <w:rFonts w:cs="Arial"/>
          <w:sz w:val="20"/>
          <w:szCs w:val="20"/>
        </w:rPr>
      </w:pPr>
      <w:r w:rsidRPr="00D22734">
        <w:rPr>
          <w:rFonts w:cs="Arial"/>
          <w:sz w:val="20"/>
          <w:szCs w:val="20"/>
        </w:rPr>
        <w:t>Podmínky přijetí a výkonu služebního poměru vojáka z povolání nebo vojáka v záloze určené právními předpisy vylučují zařazení osob se zdravotním postižením do služebního poměru vojáka z povolání nebo vojáka v záloze. Proto při formulování opatření veřejné správy a při přípravě podkladů pro mezinárodní jednání není spolupráce se zástupci organizací osob se zdravotním postižením relevantní.</w:t>
      </w:r>
    </w:p>
    <w:p w14:paraId="0656A27C" w14:textId="3F02930F" w:rsidR="00D22734" w:rsidRPr="00D22734" w:rsidRDefault="00D22734" w:rsidP="00D22734">
      <w:pPr>
        <w:rPr>
          <w:rFonts w:cs="Arial"/>
          <w:sz w:val="20"/>
          <w:szCs w:val="20"/>
        </w:rPr>
      </w:pPr>
      <w:r w:rsidRPr="00D22734">
        <w:rPr>
          <w:rFonts w:cs="Arial"/>
          <w:sz w:val="20"/>
          <w:szCs w:val="20"/>
        </w:rPr>
        <w:t xml:space="preserve">Ministerstvo obrany ČR se aktivně snaží prosazovat přístupnost informací a služeb ve veřejné správě a ve společnosti, proto se zavázalo spolupracovat se Společností pro podporu lidí s mentálním postižením v České </w:t>
      </w:r>
      <w:proofErr w:type="gramStart"/>
      <w:r w:rsidRPr="00D22734">
        <w:rPr>
          <w:rFonts w:cs="Arial"/>
          <w:sz w:val="20"/>
          <w:szCs w:val="20"/>
        </w:rPr>
        <w:t>republice, z. s.</w:t>
      </w:r>
      <w:proofErr w:type="gramEnd"/>
      <w:r w:rsidRPr="00D22734">
        <w:rPr>
          <w:rFonts w:cs="Arial"/>
          <w:sz w:val="20"/>
          <w:szCs w:val="20"/>
        </w:rPr>
        <w:t xml:space="preserve"> Za tímto účelem uzavřel dne 15. prosince 2023 státní tajemník v Ministerstvu obrany s ředitelkou této společnosti „Memorandum o spolupráci“.</w:t>
      </w:r>
    </w:p>
    <w:p w14:paraId="174B503D" w14:textId="56D9A8B9" w:rsidR="0044691A" w:rsidRPr="00D22734" w:rsidRDefault="00320DA1" w:rsidP="00D22734">
      <w:pPr>
        <w:rPr>
          <w:rFonts w:cs="Arial"/>
          <w:b/>
          <w:bCs/>
          <w:sz w:val="20"/>
          <w:szCs w:val="20"/>
          <w:lang w:eastAsia="cs-CZ"/>
        </w:rPr>
      </w:pPr>
      <w:r w:rsidRPr="00D22734">
        <w:rPr>
          <w:rFonts w:cs="Arial"/>
          <w:b/>
          <w:bCs/>
          <w:sz w:val="20"/>
          <w:szCs w:val="20"/>
          <w:lang w:eastAsia="cs-CZ"/>
        </w:rPr>
        <w:t>STANOVISKO K PLNĚNÍ:</w:t>
      </w:r>
      <w:r w:rsidR="0044691A" w:rsidRPr="00D22734">
        <w:rPr>
          <w:rFonts w:cs="Arial"/>
          <w:b/>
          <w:bCs/>
          <w:sz w:val="20"/>
          <w:szCs w:val="20"/>
          <w:lang w:eastAsia="cs-CZ"/>
        </w:rPr>
        <w:t xml:space="preserve"> </w:t>
      </w:r>
      <w:r w:rsidR="00787D6D" w:rsidRPr="00D22734">
        <w:rPr>
          <w:rFonts w:cs="Arial"/>
          <w:b/>
          <w:sz w:val="20"/>
          <w:szCs w:val="20"/>
        </w:rPr>
        <w:t>Plněno.</w:t>
      </w:r>
      <w:r w:rsidR="0044691A" w:rsidRPr="00D22734">
        <w:rPr>
          <w:rFonts w:cs="Arial"/>
          <w:b/>
          <w:bCs/>
          <w:sz w:val="20"/>
          <w:szCs w:val="20"/>
          <w:lang w:eastAsia="cs-CZ"/>
        </w:rPr>
        <w:t xml:space="preserve"> </w:t>
      </w:r>
    </w:p>
    <w:p w14:paraId="683F3B66" w14:textId="77777777" w:rsidR="0044691A" w:rsidRPr="0048759B" w:rsidRDefault="0044691A" w:rsidP="0048759B">
      <w:pPr>
        <w:rPr>
          <w:rFonts w:cs="Arial"/>
          <w:b/>
          <w:bCs/>
          <w:sz w:val="20"/>
          <w:szCs w:val="20"/>
          <w:lang w:eastAsia="cs-CZ"/>
        </w:rPr>
      </w:pPr>
    </w:p>
    <w:p w14:paraId="0A4D3415" w14:textId="65CFB770" w:rsidR="000F46CE" w:rsidRPr="009C402E" w:rsidRDefault="000F46CE" w:rsidP="009C402E">
      <w:pPr>
        <w:rPr>
          <w:rFonts w:cs="Arial"/>
          <w:b/>
          <w:bCs/>
          <w:sz w:val="20"/>
          <w:szCs w:val="20"/>
          <w:lang w:eastAsia="cs-CZ"/>
        </w:rPr>
      </w:pPr>
      <w:r w:rsidRPr="009C402E">
        <w:rPr>
          <w:rFonts w:cs="Arial"/>
          <w:b/>
          <w:bCs/>
          <w:sz w:val="20"/>
          <w:szCs w:val="20"/>
          <w:lang w:eastAsia="cs-CZ"/>
        </w:rPr>
        <w:t>PLNĚNÍ MPO:</w:t>
      </w:r>
    </w:p>
    <w:p w14:paraId="7A409063" w14:textId="77777777" w:rsidR="009C402E" w:rsidRPr="009C402E" w:rsidRDefault="009C402E" w:rsidP="009C402E">
      <w:pPr>
        <w:rPr>
          <w:sz w:val="20"/>
          <w:szCs w:val="20"/>
        </w:rPr>
      </w:pPr>
      <w:r w:rsidRPr="009C402E">
        <w:rPr>
          <w:rFonts w:cstheme="minorHAnsi"/>
          <w:sz w:val="20"/>
          <w:szCs w:val="20"/>
        </w:rPr>
        <w:t xml:space="preserve">Sekce energetiky MPO se v roce 2023 podílela na koncepci zranitelného zákazníka a jeho legislativním ukotvení v energetickém zákoně. Ve spolupráci se zástupci Ministerstva práce a sociálních věcí, Ministerstva zdravotnictví a Národní rady </w:t>
      </w:r>
      <w:r w:rsidRPr="009C402E">
        <w:rPr>
          <w:color w:val="000000"/>
          <w:sz w:val="20"/>
          <w:szCs w:val="20"/>
        </w:rPr>
        <w:t xml:space="preserve">osob se zdravotním postižením ČR, z. </w:t>
      </w:r>
      <w:proofErr w:type="gramStart"/>
      <w:r w:rsidRPr="009C402E">
        <w:rPr>
          <w:color w:val="000000"/>
          <w:sz w:val="20"/>
          <w:szCs w:val="20"/>
        </w:rPr>
        <w:t>s.</w:t>
      </w:r>
      <w:proofErr w:type="gramEnd"/>
      <w:r w:rsidRPr="009C402E">
        <w:rPr>
          <w:color w:val="000000"/>
          <w:sz w:val="20"/>
          <w:szCs w:val="20"/>
        </w:rPr>
        <w:t>, byla v průběhu loňského roku definována právní úprava zranitelného zákazníka a poté zapracována do novely energetického zákona. Novela energetického zákona byla publikována ve Sbírce zákonů dne 31. prosince 2023 pod číslem 469/2023 Sb. a nabyla účinnosti dnem 1. ledna 2024. Cílem právní úpravy zranitelného zákazníka je</w:t>
      </w:r>
      <w:r w:rsidRPr="009C402E">
        <w:rPr>
          <w:sz w:val="20"/>
          <w:szCs w:val="20"/>
        </w:rPr>
        <w:t> zajištění bezpečné a spolehlivé dodávky energií pro osoby se zdravotním postižením.</w:t>
      </w:r>
    </w:p>
    <w:p w14:paraId="19F01649" w14:textId="77777777" w:rsidR="009C402E" w:rsidRPr="009C402E" w:rsidRDefault="009C402E" w:rsidP="009C402E">
      <w:pPr>
        <w:rPr>
          <w:rFonts w:cs="Arial"/>
          <w:sz w:val="20"/>
          <w:szCs w:val="20"/>
        </w:rPr>
      </w:pPr>
      <w:r w:rsidRPr="009C402E">
        <w:rPr>
          <w:sz w:val="20"/>
          <w:szCs w:val="20"/>
        </w:rPr>
        <w:t xml:space="preserve">Odbor podnikatelského prostředí a obchodního podnikání MPO se podílí na tvorbě zákona o integračním sociálním podniku, který </w:t>
      </w:r>
      <w:r w:rsidRPr="009C402E">
        <w:rPr>
          <w:rFonts w:cstheme="minorHAnsi"/>
          <w:sz w:val="20"/>
          <w:szCs w:val="20"/>
          <w:lang w:eastAsia="cs-CZ"/>
        </w:rPr>
        <w:t xml:space="preserve">je připraven zejména s ohledem na podporu zaměstnavatelů zaměstnávajících osoby se specifickými potřebami. Přínosem navrhované právní úpravy je zavedení registrovaného sociálního podniku a rozvoj sociální ekonomiky, dosahování společensky prospěšných cílů, pomoc s důstojným a stabilním zaměstnáváním osob se zdravotním postižením, osob v předdůchodovém věku a v neposlední řadě při nalézání řešení neuspokojivé situace osob s určitým sociálním znevýhodněním, a to s cílem integrace těchto osob na pracovní trh. Daná problematika byla konzultována i se </w:t>
      </w:r>
      <w:r w:rsidRPr="009C402E">
        <w:rPr>
          <w:rFonts w:cs="Arial"/>
          <w:sz w:val="20"/>
          <w:szCs w:val="20"/>
        </w:rPr>
        <w:t>zástupci organizací osob se zdravotním postižením.</w:t>
      </w:r>
    </w:p>
    <w:p w14:paraId="2A93ACC9" w14:textId="00FF297A" w:rsidR="009C402E" w:rsidRPr="009C402E" w:rsidRDefault="009C402E" w:rsidP="009C402E">
      <w:pPr>
        <w:tabs>
          <w:tab w:val="left" w:pos="426"/>
        </w:tabs>
        <w:rPr>
          <w:rFonts w:cstheme="minorHAnsi"/>
          <w:sz w:val="20"/>
          <w:szCs w:val="20"/>
          <w:lang w:eastAsia="cs-CZ"/>
        </w:rPr>
      </w:pPr>
      <w:r w:rsidRPr="009C402E">
        <w:rPr>
          <w:rFonts w:cstheme="minorHAnsi"/>
          <w:sz w:val="20"/>
          <w:szCs w:val="20"/>
          <w:lang w:eastAsia="cs-CZ"/>
        </w:rPr>
        <w:t>Zástupci odboru podnikatelského prostředí a obchodního podnikání jsou rovněž členy Odborné skupiny Vládního výboru pro osoby se zdravotním postižením p</w:t>
      </w:r>
      <w:r w:rsidR="00A40681">
        <w:rPr>
          <w:rFonts w:cstheme="minorHAnsi"/>
          <w:sz w:val="20"/>
          <w:szCs w:val="20"/>
          <w:lang w:eastAsia="cs-CZ"/>
        </w:rPr>
        <w:t>ro přístupnost veřejné správy a </w:t>
      </w:r>
      <w:r w:rsidRPr="009C402E">
        <w:rPr>
          <w:rFonts w:cstheme="minorHAnsi"/>
          <w:sz w:val="20"/>
          <w:szCs w:val="20"/>
          <w:lang w:eastAsia="cs-CZ"/>
        </w:rPr>
        <w:t>veřejných služeb a spolupodílí se na formulování opatření veřejné správy.</w:t>
      </w:r>
    </w:p>
    <w:p w14:paraId="6CBD3B7F" w14:textId="0B9D6EDE" w:rsidR="009C402E" w:rsidRPr="009C402E" w:rsidRDefault="009C402E" w:rsidP="009C402E">
      <w:pPr>
        <w:tabs>
          <w:tab w:val="left" w:pos="426"/>
        </w:tabs>
        <w:rPr>
          <w:rFonts w:cstheme="minorHAnsi"/>
          <w:sz w:val="20"/>
          <w:szCs w:val="20"/>
          <w:lang w:eastAsia="cs-CZ"/>
        </w:rPr>
      </w:pPr>
      <w:r w:rsidRPr="009C402E">
        <w:rPr>
          <w:rFonts w:cstheme="minorHAnsi"/>
          <w:sz w:val="20"/>
          <w:szCs w:val="20"/>
          <w:lang w:eastAsia="cs-CZ"/>
        </w:rPr>
        <w:t>Odbor informatiky MPO se v prosinci 2023 obrátil na Sjednocenou organizaci nevidomých a slabozrakých ČR s žádostí o audit přístupnosti webu MPO a dále o konzultace v oblasti správné komunikace s osobami se zdravotním postižením. Audit přístupnosti a konzultace budou probíhat v únoru a březnu 2024.</w:t>
      </w:r>
    </w:p>
    <w:p w14:paraId="3EE23CF9" w14:textId="105C7C8B" w:rsidR="00167012" w:rsidRPr="009C402E" w:rsidRDefault="000F46CE" w:rsidP="009C402E">
      <w:pPr>
        <w:rPr>
          <w:rFonts w:cs="Arial"/>
          <w:b/>
          <w:bCs/>
          <w:sz w:val="20"/>
          <w:szCs w:val="20"/>
        </w:rPr>
      </w:pPr>
      <w:r w:rsidRPr="009C402E">
        <w:rPr>
          <w:rFonts w:cs="Arial"/>
          <w:b/>
          <w:bCs/>
          <w:sz w:val="20"/>
          <w:szCs w:val="20"/>
          <w:lang w:eastAsia="cs-CZ"/>
        </w:rPr>
        <w:lastRenderedPageBreak/>
        <w:t>STANOVISKO K PLNĚNÍ:</w:t>
      </w:r>
      <w:r w:rsidR="00167012" w:rsidRPr="009C402E">
        <w:rPr>
          <w:rFonts w:cs="Arial"/>
          <w:b/>
          <w:bCs/>
          <w:sz w:val="20"/>
          <w:szCs w:val="20"/>
          <w:lang w:eastAsia="cs-CZ"/>
        </w:rPr>
        <w:t xml:space="preserve"> </w:t>
      </w:r>
      <w:r w:rsidR="00167012" w:rsidRPr="009C402E">
        <w:rPr>
          <w:rFonts w:cs="Arial"/>
          <w:b/>
          <w:bCs/>
          <w:sz w:val="20"/>
          <w:szCs w:val="20"/>
        </w:rPr>
        <w:t xml:space="preserve">Plněno. </w:t>
      </w:r>
    </w:p>
    <w:p w14:paraId="2D6656D5" w14:textId="18BC7F57" w:rsidR="000F46CE" w:rsidRPr="00DD40EC" w:rsidRDefault="000F46CE" w:rsidP="00DD40EC">
      <w:pPr>
        <w:rPr>
          <w:rFonts w:cs="Arial"/>
          <w:sz w:val="20"/>
          <w:szCs w:val="20"/>
        </w:rPr>
      </w:pPr>
    </w:p>
    <w:p w14:paraId="61C83458" w14:textId="7CB4A671" w:rsidR="00933037" w:rsidRPr="00BD632D" w:rsidRDefault="00933037" w:rsidP="00DD40EC">
      <w:pPr>
        <w:keepNext/>
        <w:tabs>
          <w:tab w:val="left" w:pos="720"/>
        </w:tabs>
        <w:rPr>
          <w:rFonts w:cs="Arial"/>
          <w:b/>
          <w:bCs/>
          <w:sz w:val="20"/>
          <w:szCs w:val="20"/>
          <w:lang w:eastAsia="cs-CZ"/>
        </w:rPr>
      </w:pPr>
      <w:r w:rsidRPr="00BD632D">
        <w:rPr>
          <w:rFonts w:cs="Arial"/>
          <w:b/>
          <w:bCs/>
          <w:sz w:val="20"/>
          <w:szCs w:val="20"/>
          <w:lang w:eastAsia="cs-CZ"/>
        </w:rPr>
        <w:t>PLNĚNÍ MPSV:</w:t>
      </w:r>
    </w:p>
    <w:p w14:paraId="59B37E47" w14:textId="29466E5B" w:rsidR="00BD632D" w:rsidRPr="00BD632D" w:rsidRDefault="00BD632D" w:rsidP="00BD632D">
      <w:pPr>
        <w:rPr>
          <w:rFonts w:cs="Arial"/>
          <w:bCs/>
          <w:sz w:val="20"/>
          <w:szCs w:val="20"/>
        </w:rPr>
      </w:pPr>
      <w:r w:rsidRPr="00BD632D">
        <w:rPr>
          <w:rFonts w:cs="Arial"/>
          <w:bCs/>
          <w:sz w:val="20"/>
          <w:szCs w:val="20"/>
        </w:rPr>
        <w:t>Do procesu tvorby materiálů legislativního i nelegislativního charakte</w:t>
      </w:r>
      <w:r w:rsidR="0051237F">
        <w:rPr>
          <w:rFonts w:cs="Arial"/>
          <w:bCs/>
          <w:sz w:val="20"/>
          <w:szCs w:val="20"/>
        </w:rPr>
        <w:t>ru zapojuje MPSV i organizace a </w:t>
      </w:r>
      <w:r w:rsidRPr="00BD632D">
        <w:rPr>
          <w:rFonts w:cs="Arial"/>
          <w:bCs/>
          <w:sz w:val="20"/>
          <w:szCs w:val="20"/>
        </w:rPr>
        <w:t>subjekty hájící práva osob se ZP. K tomu blíže viz opatření č. 1.1.1 a opatření č. 1.2.2.</w:t>
      </w:r>
    </w:p>
    <w:p w14:paraId="5600479A" w14:textId="77777777" w:rsidR="00BD632D" w:rsidRPr="00BD632D" w:rsidRDefault="00BD632D" w:rsidP="00BD632D">
      <w:pPr>
        <w:rPr>
          <w:rFonts w:cs="Arial"/>
          <w:sz w:val="20"/>
          <w:szCs w:val="20"/>
        </w:rPr>
      </w:pPr>
      <w:r w:rsidRPr="00BD632D">
        <w:rPr>
          <w:rFonts w:cs="Arial"/>
          <w:sz w:val="20"/>
          <w:szCs w:val="20"/>
        </w:rPr>
        <w:t>ČSSZ nebyla oslovena zástupci organizací osob se ZP za účelem formulování opatření veřejné správy a při přípravě podkladů pro mezinárodní jednání, která se týkají těchto osob. ČSSZ se však průběžně podílí na tvorbě srozumitelných a dostupných informací o nárocích osob se ZP na webu ČSSZ, formou letáků, při účasti v rozhlasových a televizních vysíláních apod., a to jak z vlastního podnětu, tak z podnětu zástupců subjektů, jejichž činnost s osobami se ZP souvisí.</w:t>
      </w:r>
    </w:p>
    <w:p w14:paraId="63C7C8AB" w14:textId="0C9107DA" w:rsidR="00BD632D" w:rsidRPr="00BD632D" w:rsidRDefault="00BD632D" w:rsidP="00BD632D">
      <w:pPr>
        <w:rPr>
          <w:rFonts w:cs="Arial"/>
          <w:sz w:val="20"/>
          <w:szCs w:val="20"/>
        </w:rPr>
      </w:pPr>
      <w:r w:rsidRPr="00BD632D">
        <w:rPr>
          <w:rFonts w:cs="Arial"/>
          <w:sz w:val="20"/>
          <w:szCs w:val="20"/>
        </w:rPr>
        <w:t>V souladu s cílem tohoto opatření proběhlo v roce 2023 několik setkání zástupců LPS ČSSZ se zástupci zahraničních nositelů pojištění (např. Německa, Rakouska, Slovenska), jejichž cílem bylo zjednodušení a zrychlení spolupráce při posuzování zdravotního s</w:t>
      </w:r>
      <w:r w:rsidR="0051237F">
        <w:rPr>
          <w:rFonts w:cs="Arial"/>
          <w:sz w:val="20"/>
          <w:szCs w:val="20"/>
        </w:rPr>
        <w:t>tavu a posílení elektronizace v </w:t>
      </w:r>
      <w:r w:rsidRPr="00BD632D">
        <w:rPr>
          <w:rFonts w:cs="Arial"/>
          <w:sz w:val="20"/>
          <w:szCs w:val="20"/>
        </w:rPr>
        <w:t>případech s tzv. mezinárodním prvkem. Zástupci LPS ČSSZ se též</w:t>
      </w:r>
      <w:r w:rsidR="0051237F">
        <w:rPr>
          <w:rFonts w:cs="Arial"/>
          <w:sz w:val="20"/>
          <w:szCs w:val="20"/>
        </w:rPr>
        <w:t xml:space="preserve"> aktivně účastnili spolupráce v </w:t>
      </w:r>
      <w:r w:rsidRPr="00BD632D">
        <w:rPr>
          <w:rFonts w:cs="Arial"/>
          <w:sz w:val="20"/>
          <w:szCs w:val="20"/>
        </w:rPr>
        <w:t>rámci mezinárodní společnosti EUMASS (Evropská asociace posudkových a revizních lékařů), kde byla projednávána např. problematika dopadu onemocnění COVID-19 na zdravotní stav posuzovaných osob i řada dalších odborných témat.</w:t>
      </w:r>
    </w:p>
    <w:p w14:paraId="396248DE" w14:textId="679B30B7" w:rsidR="00BD632D" w:rsidRPr="00BD632D" w:rsidRDefault="00BD632D" w:rsidP="00BD632D">
      <w:pPr>
        <w:rPr>
          <w:rFonts w:cs="Arial"/>
          <w:sz w:val="20"/>
          <w:szCs w:val="20"/>
        </w:rPr>
      </w:pPr>
      <w:r w:rsidRPr="00BD632D">
        <w:rPr>
          <w:rFonts w:cs="Arial"/>
          <w:sz w:val="20"/>
          <w:szCs w:val="20"/>
        </w:rPr>
        <w:t xml:space="preserve">Návrhy na úpravy dotačního programu pro příjemce dotací na poskytování sociálních služeb nadregionálního/celostátního charakteru byly projednávány i se zástupci organizací, které dosud byly příjemci těchto dotací nebo uvažovaly o podání dotační žádosti do tohoto programu, vč. organizací poskytujících sociální služby osobám se ZP. Konkrétně se v roce 2023 uskutečnilo několik setkání, na nichž byly představeny zamýšlené změny pro rok 2024 (byla navržena nová kritéria pro nové žadatele) a zejména roky následující. </w:t>
      </w:r>
    </w:p>
    <w:p w14:paraId="33241D82" w14:textId="4985A415" w:rsidR="00933037" w:rsidRPr="00BD632D" w:rsidRDefault="00933037" w:rsidP="00DD40EC">
      <w:pPr>
        <w:rPr>
          <w:rFonts w:cs="Arial"/>
          <w:sz w:val="20"/>
          <w:szCs w:val="20"/>
        </w:rPr>
      </w:pPr>
      <w:r w:rsidRPr="00BD632D">
        <w:rPr>
          <w:rFonts w:cs="Arial"/>
          <w:b/>
          <w:bCs/>
          <w:sz w:val="20"/>
          <w:szCs w:val="20"/>
          <w:lang w:eastAsia="cs-CZ"/>
        </w:rPr>
        <w:t>STANOVISKO K PLNĚNÍ:</w:t>
      </w:r>
      <w:r w:rsidR="00A834D2" w:rsidRPr="00BD632D">
        <w:rPr>
          <w:rFonts w:cs="Arial"/>
          <w:b/>
          <w:bCs/>
          <w:sz w:val="20"/>
          <w:szCs w:val="20"/>
          <w:lang w:eastAsia="cs-CZ"/>
        </w:rPr>
        <w:t xml:space="preserve"> Plněno.</w:t>
      </w:r>
      <w:r w:rsidR="00601859" w:rsidRPr="00BD632D">
        <w:rPr>
          <w:rFonts w:cs="Arial"/>
          <w:sz w:val="20"/>
          <w:szCs w:val="20"/>
        </w:rPr>
        <w:t xml:space="preserve"> </w:t>
      </w:r>
    </w:p>
    <w:p w14:paraId="6A4DA2A0" w14:textId="3DF1A367" w:rsidR="00F97AD8" w:rsidRPr="00DD40EC" w:rsidRDefault="00F97AD8" w:rsidP="00DD40EC">
      <w:pPr>
        <w:rPr>
          <w:rFonts w:cs="Arial"/>
          <w:sz w:val="20"/>
          <w:szCs w:val="20"/>
        </w:rPr>
      </w:pPr>
    </w:p>
    <w:p w14:paraId="700AB7E7" w14:textId="6B85FFC3" w:rsidR="00ED6C44" w:rsidRPr="00EA4BDC" w:rsidRDefault="00ED6C44" w:rsidP="00EA4BDC">
      <w:pPr>
        <w:tabs>
          <w:tab w:val="left" w:pos="720"/>
        </w:tabs>
        <w:rPr>
          <w:rFonts w:cs="Arial"/>
          <w:b/>
          <w:bCs/>
          <w:sz w:val="20"/>
          <w:szCs w:val="20"/>
          <w:lang w:eastAsia="cs-CZ"/>
        </w:rPr>
      </w:pPr>
      <w:r w:rsidRPr="00EA4BDC">
        <w:rPr>
          <w:rFonts w:cs="Arial"/>
          <w:b/>
          <w:bCs/>
          <w:sz w:val="20"/>
          <w:szCs w:val="20"/>
          <w:lang w:eastAsia="cs-CZ"/>
        </w:rPr>
        <w:t xml:space="preserve">PLNĚNÍ </w:t>
      </w:r>
      <w:r w:rsidR="00AE6B66" w:rsidRPr="00EA4BDC">
        <w:rPr>
          <w:rFonts w:cs="Arial"/>
          <w:b/>
          <w:bCs/>
          <w:sz w:val="20"/>
          <w:szCs w:val="20"/>
          <w:lang w:eastAsia="cs-CZ"/>
        </w:rPr>
        <w:t>MSp</w:t>
      </w:r>
      <w:r w:rsidRPr="00EA4BDC">
        <w:rPr>
          <w:rFonts w:cs="Arial"/>
          <w:b/>
          <w:bCs/>
          <w:sz w:val="20"/>
          <w:szCs w:val="20"/>
          <w:lang w:eastAsia="cs-CZ"/>
        </w:rPr>
        <w:t>:</w:t>
      </w:r>
    </w:p>
    <w:p w14:paraId="0EB1BCA7" w14:textId="726C8CC9" w:rsidR="00EA4BDC" w:rsidRPr="00EA4BDC" w:rsidRDefault="00EA4BDC" w:rsidP="00EA4BDC">
      <w:pPr>
        <w:rPr>
          <w:rFonts w:cs="Arial"/>
          <w:sz w:val="20"/>
          <w:szCs w:val="20"/>
        </w:rPr>
      </w:pPr>
      <w:r w:rsidRPr="00EA4BDC">
        <w:rPr>
          <w:rFonts w:cs="Arial"/>
          <w:sz w:val="20"/>
          <w:szCs w:val="20"/>
        </w:rPr>
        <w:t>MSp zodpovědně konzultuje agendu, která má dopad na osoby se zdravotním postižením, se všemi relevantními subjekty, včetně organizací osob se zdravotním postižením. MSp využívá jak možnosti přímé komunikace s konkrétními organizacemi, které se vybraným tématům dlouhodobě věnují, tak možnosti setkávání v rámci odborných konferencí nebo vzdělávacích akcí. Zaměstnanci MSp jsou členy mnoha pracovních skupin, kde jsou zastoupeny také organizace osob se zdravotním postižením.</w:t>
      </w:r>
    </w:p>
    <w:p w14:paraId="76BE32EF" w14:textId="50555F39" w:rsidR="00ED6C44" w:rsidRPr="00EA4BDC" w:rsidRDefault="00ED6C44" w:rsidP="00EA4BDC">
      <w:pPr>
        <w:rPr>
          <w:rFonts w:eastAsia="Times New Roman" w:cs="Arial"/>
          <w:sz w:val="20"/>
          <w:szCs w:val="20"/>
        </w:rPr>
      </w:pPr>
      <w:r w:rsidRPr="00EA4BDC">
        <w:rPr>
          <w:rFonts w:cs="Arial"/>
          <w:b/>
          <w:bCs/>
          <w:sz w:val="20"/>
          <w:szCs w:val="20"/>
          <w:lang w:eastAsia="cs-CZ"/>
        </w:rPr>
        <w:t>STANOVISKO K PLNĚNÍ:</w:t>
      </w:r>
      <w:r w:rsidR="008245BE" w:rsidRPr="00EA4BDC">
        <w:rPr>
          <w:rFonts w:cs="Arial"/>
          <w:b/>
          <w:bCs/>
          <w:sz w:val="20"/>
          <w:szCs w:val="20"/>
          <w:lang w:eastAsia="cs-CZ"/>
        </w:rPr>
        <w:t xml:space="preserve"> </w:t>
      </w:r>
      <w:r w:rsidR="00824066" w:rsidRPr="00EA4BDC">
        <w:rPr>
          <w:rFonts w:cs="Arial"/>
          <w:b/>
          <w:bCs/>
          <w:sz w:val="20"/>
          <w:szCs w:val="20"/>
          <w:lang w:eastAsia="cs-CZ"/>
        </w:rPr>
        <w:t xml:space="preserve">Plněno. </w:t>
      </w:r>
    </w:p>
    <w:p w14:paraId="24456039" w14:textId="130C025E" w:rsidR="008A0CC5" w:rsidRPr="00EA4BDC" w:rsidRDefault="008A0CC5" w:rsidP="00EA4BDC">
      <w:pPr>
        <w:keepNext/>
        <w:tabs>
          <w:tab w:val="left" w:pos="720"/>
        </w:tabs>
        <w:rPr>
          <w:rFonts w:cs="Arial"/>
          <w:b/>
          <w:bCs/>
          <w:sz w:val="20"/>
          <w:szCs w:val="20"/>
          <w:lang w:eastAsia="cs-CZ"/>
        </w:rPr>
      </w:pPr>
    </w:p>
    <w:p w14:paraId="3E2B30B6" w14:textId="32BB720F" w:rsidR="008A0CC5" w:rsidRPr="007D3C1F" w:rsidRDefault="008A0CC5" w:rsidP="00DD40EC">
      <w:pPr>
        <w:tabs>
          <w:tab w:val="left" w:pos="720"/>
        </w:tabs>
        <w:rPr>
          <w:rFonts w:cs="Arial"/>
          <w:b/>
          <w:bCs/>
          <w:sz w:val="20"/>
          <w:szCs w:val="20"/>
          <w:lang w:eastAsia="cs-CZ"/>
        </w:rPr>
      </w:pPr>
      <w:r w:rsidRPr="007D3C1F">
        <w:rPr>
          <w:rFonts w:cs="Arial"/>
          <w:b/>
          <w:bCs/>
          <w:sz w:val="20"/>
          <w:szCs w:val="20"/>
          <w:lang w:eastAsia="cs-CZ"/>
        </w:rPr>
        <w:t>PLNĚNÍ MŠMT:</w:t>
      </w:r>
    </w:p>
    <w:p w14:paraId="4553D3F4" w14:textId="01092956" w:rsidR="007D3C1F" w:rsidRPr="007D3C1F" w:rsidRDefault="007D3C1F" w:rsidP="007D3C1F">
      <w:pPr>
        <w:rPr>
          <w:rFonts w:cs="Arial"/>
          <w:sz w:val="20"/>
          <w:szCs w:val="20"/>
        </w:rPr>
      </w:pPr>
      <w:r w:rsidRPr="007D3C1F">
        <w:rPr>
          <w:rFonts w:cs="Arial"/>
          <w:sz w:val="20"/>
          <w:szCs w:val="20"/>
        </w:rPr>
        <w:t>Opatření MŠMT s dopadem na vzdělávání osob se zdravotním postižením jsou konzultována se zástupci asociací a neziskových organizací osob se zdravotním postižením.</w:t>
      </w:r>
    </w:p>
    <w:p w14:paraId="6F7DFE42" w14:textId="22B5C2B4" w:rsidR="008A0CC5" w:rsidRPr="007D3C1F" w:rsidRDefault="008A0CC5" w:rsidP="00DD40EC">
      <w:pPr>
        <w:keepNext/>
        <w:tabs>
          <w:tab w:val="left" w:pos="720"/>
        </w:tabs>
        <w:rPr>
          <w:rFonts w:cs="Arial"/>
          <w:b/>
          <w:bCs/>
          <w:sz w:val="20"/>
          <w:szCs w:val="20"/>
          <w:lang w:eastAsia="cs-CZ"/>
        </w:rPr>
      </w:pPr>
      <w:r w:rsidRPr="007D3C1F">
        <w:rPr>
          <w:rFonts w:cs="Arial"/>
          <w:b/>
          <w:bCs/>
          <w:sz w:val="20"/>
          <w:szCs w:val="20"/>
          <w:lang w:eastAsia="cs-CZ"/>
        </w:rPr>
        <w:t>STANOVISKO K PLNĚNÍ:</w:t>
      </w:r>
      <w:r w:rsidR="005E0ECD" w:rsidRPr="007D3C1F">
        <w:rPr>
          <w:rFonts w:cs="Arial"/>
          <w:b/>
          <w:bCs/>
          <w:sz w:val="20"/>
          <w:szCs w:val="20"/>
          <w:lang w:eastAsia="cs-CZ"/>
        </w:rPr>
        <w:t xml:space="preserve"> </w:t>
      </w:r>
      <w:r w:rsidR="005E0ECD" w:rsidRPr="007D3C1F">
        <w:rPr>
          <w:b/>
          <w:sz w:val="20"/>
          <w:szCs w:val="20"/>
        </w:rPr>
        <w:t>Plněno.</w:t>
      </w:r>
    </w:p>
    <w:p w14:paraId="4EC39C93" w14:textId="77777777" w:rsidR="008A0CC5" w:rsidRPr="00DD40EC" w:rsidRDefault="008A0CC5" w:rsidP="00DD40EC">
      <w:pPr>
        <w:keepNext/>
        <w:tabs>
          <w:tab w:val="left" w:pos="720"/>
        </w:tabs>
        <w:rPr>
          <w:rFonts w:cs="Arial"/>
          <w:b/>
          <w:bCs/>
          <w:sz w:val="20"/>
          <w:szCs w:val="20"/>
          <w:lang w:eastAsia="cs-CZ"/>
        </w:rPr>
      </w:pPr>
    </w:p>
    <w:p w14:paraId="517C599C" w14:textId="4C348EC2" w:rsidR="000A1EA8" w:rsidRPr="000C5888" w:rsidRDefault="000A1EA8" w:rsidP="000C5888">
      <w:pPr>
        <w:tabs>
          <w:tab w:val="left" w:pos="720"/>
        </w:tabs>
        <w:rPr>
          <w:rFonts w:cs="Arial"/>
          <w:b/>
          <w:bCs/>
          <w:sz w:val="20"/>
          <w:szCs w:val="20"/>
          <w:lang w:eastAsia="cs-CZ"/>
        </w:rPr>
      </w:pPr>
      <w:r w:rsidRPr="000C5888">
        <w:rPr>
          <w:rFonts w:cs="Arial"/>
          <w:b/>
          <w:bCs/>
          <w:sz w:val="20"/>
          <w:szCs w:val="20"/>
          <w:lang w:eastAsia="cs-CZ"/>
        </w:rPr>
        <w:t>PLNĚNÍ MV:</w:t>
      </w:r>
    </w:p>
    <w:p w14:paraId="3E7DD1A8" w14:textId="547C683A" w:rsidR="000C5888" w:rsidRPr="000C5888" w:rsidRDefault="000C5888" w:rsidP="000C5888">
      <w:pPr>
        <w:rPr>
          <w:rFonts w:cs="Arial"/>
          <w:sz w:val="20"/>
          <w:szCs w:val="20"/>
        </w:rPr>
      </w:pPr>
      <w:r w:rsidRPr="000C5888">
        <w:rPr>
          <w:rFonts w:cs="Arial"/>
          <w:sz w:val="20"/>
          <w:szCs w:val="20"/>
        </w:rPr>
        <w:t xml:space="preserve">Ve spolupráci s organizací Tichý svět, o. p. s., se podařilo zřídit v roce 2023 pro občany se sluchovým a kombinovaným postižením bezbariérovou tlumočnickou linku tzv. Tichou linku. </w:t>
      </w:r>
    </w:p>
    <w:p w14:paraId="7E159968" w14:textId="02A55AF1" w:rsidR="000C5888" w:rsidRPr="000C5888" w:rsidRDefault="000C5888" w:rsidP="000C5888">
      <w:pPr>
        <w:rPr>
          <w:rFonts w:cs="Arial"/>
          <w:sz w:val="20"/>
          <w:szCs w:val="20"/>
        </w:rPr>
      </w:pPr>
      <w:r w:rsidRPr="000C5888">
        <w:rPr>
          <w:rFonts w:cs="Arial"/>
          <w:sz w:val="20"/>
          <w:szCs w:val="20"/>
        </w:rPr>
        <w:t>Na pracovišti Ministerstva vnitra na Pankráci, kde se pořizují občanské průkazy a cestovní doklady ve zkrácených lhůtách, je bezbariérový přístup, kabinka pro vyříze</w:t>
      </w:r>
      <w:r w:rsidR="0051237F">
        <w:rPr>
          <w:rFonts w:cs="Arial"/>
          <w:sz w:val="20"/>
          <w:szCs w:val="20"/>
        </w:rPr>
        <w:t>ní dokladů a nově zde fungují i </w:t>
      </w:r>
      <w:r w:rsidRPr="000C5888">
        <w:rPr>
          <w:rFonts w:cs="Arial"/>
          <w:sz w:val="20"/>
          <w:szCs w:val="20"/>
        </w:rPr>
        <w:t xml:space="preserve">tlumočnické a přepisovatelské služby. Ty jsou určeny pro občany se sluchovým a kombinovaným postižením, kteří ovládají český znakový jazyk nebo komunikují prostřednictvím psaného českého jazyka. Pokud občan komunikuje ve znakovém jazyce, vybere si zde online tlumočení a spojí se prostřednictvím videohovoru s tlumočníkem. Ten pak zprostředkovává komunikaci klienta se zaměstnancem ministerstva. Na podobném principu funguje služba přepisu, kdy tlumočník upravuje či </w:t>
      </w:r>
      <w:r w:rsidRPr="000C5888">
        <w:rPr>
          <w:rFonts w:cs="Arial"/>
          <w:sz w:val="20"/>
          <w:szCs w:val="20"/>
        </w:rPr>
        <w:lastRenderedPageBreak/>
        <w:t>překládá text. Lidé se sluchovým handicapem si zde mohou zařídit cestovní doklad i občanský průkaz ve zkrácené lhůtě. To znamená do 24 hodin v pracovní dny, případně do pěti pracovních dnů.</w:t>
      </w:r>
    </w:p>
    <w:p w14:paraId="3D459400" w14:textId="1DAB2C7C" w:rsidR="000C5888" w:rsidRPr="000C5888" w:rsidRDefault="000C5888" w:rsidP="000C5888">
      <w:pPr>
        <w:tabs>
          <w:tab w:val="left" w:pos="720"/>
        </w:tabs>
        <w:rPr>
          <w:rFonts w:cs="Arial"/>
          <w:b/>
          <w:bCs/>
          <w:sz w:val="20"/>
          <w:szCs w:val="20"/>
          <w:lang w:eastAsia="cs-CZ"/>
        </w:rPr>
      </w:pPr>
      <w:r w:rsidRPr="000C5888">
        <w:rPr>
          <w:rFonts w:cs="Arial"/>
          <w:sz w:val="20"/>
          <w:szCs w:val="20"/>
        </w:rPr>
        <w:t>V roce 2023 bylo v rámci Ministerstva vnitra, konkrétně odborem veřejné správy, dozoru a kontroly na základě požadavku Vládního výboru pro zdravotně postižené občany zpracováno „Metodické doporučení pro obce – nástroje právní regulace umísťování sdílených kol a koloběžek na veřejná prostranství v rámci komerční služby „bikesharing“. Uvedený materiál byl v průběhu přípravy konzultován s dotčenými ministerstvy a subjekty, včetně organizací, které se zabývají problematikou osob se zdravotním postižením. Uvedený materiál byl vydán 1. srpna 2023 a představuje významnou pomůcku ve vztahu k popisu nástrojů a způsobů, jakými zajistit (mimo jiné) bezpečnost pohybu osob s omezenou schopností pohybu či orientace v případě nevhodného umísťování sdílených kol a koloběžek zejména na veřejných prostranstvích (včetně chodníků). Vydání uvedeného metodického materiálu bylo medializováno a v praxi je podle něj ze strany jednotlivých měst postupováno.</w:t>
      </w:r>
    </w:p>
    <w:p w14:paraId="094A6E99" w14:textId="38676E3F" w:rsidR="000A1EA8" w:rsidRPr="000C5888" w:rsidRDefault="000A1EA8" w:rsidP="000C5888">
      <w:pPr>
        <w:rPr>
          <w:rFonts w:cs="Arial"/>
          <w:b/>
          <w:bCs/>
          <w:sz w:val="20"/>
          <w:szCs w:val="20"/>
          <w:lang w:eastAsia="cs-CZ"/>
        </w:rPr>
      </w:pPr>
      <w:r w:rsidRPr="000C5888">
        <w:rPr>
          <w:rFonts w:cs="Arial"/>
          <w:b/>
          <w:bCs/>
          <w:sz w:val="20"/>
          <w:szCs w:val="20"/>
          <w:lang w:eastAsia="cs-CZ"/>
        </w:rPr>
        <w:t>STANOVISKO K PLNĚNÍ:</w:t>
      </w:r>
      <w:r w:rsidR="001D4531" w:rsidRPr="000C5888">
        <w:rPr>
          <w:rFonts w:cs="Arial"/>
          <w:b/>
          <w:bCs/>
          <w:sz w:val="20"/>
          <w:szCs w:val="20"/>
          <w:lang w:eastAsia="cs-CZ"/>
        </w:rPr>
        <w:t xml:space="preserve"> </w:t>
      </w:r>
      <w:r w:rsidR="00FC0406" w:rsidRPr="000C5888">
        <w:rPr>
          <w:rFonts w:cs="Arial"/>
          <w:b/>
          <w:bCs/>
          <w:sz w:val="20"/>
          <w:szCs w:val="20"/>
          <w:lang w:eastAsia="cs-CZ"/>
        </w:rPr>
        <w:t xml:space="preserve">Plněno. </w:t>
      </w:r>
    </w:p>
    <w:p w14:paraId="7A167FBB" w14:textId="6A245B73" w:rsidR="00ED6C44" w:rsidRPr="00350BE9" w:rsidRDefault="00ED6C44" w:rsidP="004740A7">
      <w:pPr>
        <w:rPr>
          <w:rFonts w:cs="Arial"/>
          <w:sz w:val="20"/>
          <w:szCs w:val="20"/>
        </w:rPr>
      </w:pPr>
    </w:p>
    <w:p w14:paraId="72F0C9EE" w14:textId="5E0D7D37" w:rsidR="001C1231" w:rsidRPr="005D3F46" w:rsidRDefault="001C1231" w:rsidP="005D3F46">
      <w:pPr>
        <w:tabs>
          <w:tab w:val="left" w:pos="720"/>
        </w:tabs>
        <w:rPr>
          <w:rFonts w:cs="Arial"/>
          <w:b/>
          <w:bCs/>
          <w:sz w:val="20"/>
          <w:szCs w:val="20"/>
          <w:lang w:eastAsia="cs-CZ"/>
        </w:rPr>
      </w:pPr>
      <w:r w:rsidRPr="005D3F46">
        <w:rPr>
          <w:rFonts w:cs="Arial"/>
          <w:b/>
          <w:bCs/>
          <w:sz w:val="20"/>
          <w:szCs w:val="20"/>
          <w:lang w:eastAsia="cs-CZ"/>
        </w:rPr>
        <w:t>PLNĚNÍ MZ:</w:t>
      </w:r>
    </w:p>
    <w:p w14:paraId="68EEDDE6" w14:textId="708E6F8E" w:rsidR="005D3F46" w:rsidRPr="005D3F46" w:rsidRDefault="005D3F46" w:rsidP="005D3F46">
      <w:pPr>
        <w:rPr>
          <w:rFonts w:cs="Arial"/>
          <w:color w:val="000000" w:themeColor="text1"/>
          <w:sz w:val="20"/>
          <w:szCs w:val="20"/>
        </w:rPr>
      </w:pPr>
      <w:r w:rsidRPr="005D3F46">
        <w:rPr>
          <w:rFonts w:cs="Arial"/>
          <w:color w:val="000000" w:themeColor="text1"/>
          <w:sz w:val="20"/>
          <w:szCs w:val="20"/>
        </w:rPr>
        <w:t>Pracovníci Odboru mezinárodních věcí a EU a další relevantní pracovníci Ministerstva zdravotnictví byli v průběhu roku 2022 opakovaně vyzýváni ze strany EU, WHO a OECD k vyjádření stanovisek nebo připomínkován</w:t>
      </w:r>
      <w:r w:rsidR="0051237F">
        <w:rPr>
          <w:rFonts w:cs="Arial"/>
          <w:color w:val="000000" w:themeColor="text1"/>
          <w:sz w:val="20"/>
          <w:szCs w:val="20"/>
        </w:rPr>
        <w:t>í</w:t>
      </w:r>
      <w:r w:rsidRPr="005D3F46">
        <w:rPr>
          <w:rFonts w:cs="Arial"/>
          <w:color w:val="000000" w:themeColor="text1"/>
          <w:sz w:val="20"/>
          <w:szCs w:val="20"/>
        </w:rPr>
        <w:t xml:space="preserve"> materiálů, zpracování dotazníků, zpracování podkladů pro jednání zástupců České republiky aj. týkajících se problematiky osob se zdravotním postižením. Pro jednotlivá zpracovávání a přípravu podkladů byli vždy oslovováni relevantní věcně příslušní odborníci resortu, kteří vycházeli z postojů zástupců osob se zdravotním postižením pre</w:t>
      </w:r>
      <w:r w:rsidR="003B315A">
        <w:rPr>
          <w:rFonts w:cs="Arial"/>
          <w:color w:val="000000" w:themeColor="text1"/>
          <w:sz w:val="20"/>
          <w:szCs w:val="20"/>
        </w:rPr>
        <w:t xml:space="preserve">zentovanými na Odborné </w:t>
      </w:r>
      <w:r w:rsidRPr="005D3F46">
        <w:rPr>
          <w:rFonts w:cs="Arial"/>
          <w:color w:val="000000" w:themeColor="text1"/>
          <w:sz w:val="20"/>
          <w:szCs w:val="20"/>
        </w:rPr>
        <w:t xml:space="preserve">skupině pro přístupnost veřejné správy a veřejných služeb, </w:t>
      </w:r>
      <w:r w:rsidR="003B315A">
        <w:rPr>
          <w:rFonts w:cs="Arial"/>
          <w:color w:val="000000" w:themeColor="text1"/>
          <w:sz w:val="20"/>
          <w:szCs w:val="20"/>
        </w:rPr>
        <w:t>Vládního v</w:t>
      </w:r>
      <w:r w:rsidRPr="005D3F46">
        <w:rPr>
          <w:rFonts w:cs="Arial"/>
          <w:color w:val="000000" w:themeColor="text1"/>
          <w:sz w:val="20"/>
          <w:szCs w:val="20"/>
        </w:rPr>
        <w:t xml:space="preserve">ýboru </w:t>
      </w:r>
      <w:r w:rsidR="003B315A">
        <w:rPr>
          <w:rFonts w:cs="Arial"/>
          <w:color w:val="000000" w:themeColor="text1"/>
          <w:sz w:val="20"/>
          <w:szCs w:val="20"/>
        </w:rPr>
        <w:t xml:space="preserve">pro </w:t>
      </w:r>
      <w:r w:rsidRPr="005D3F46">
        <w:rPr>
          <w:rFonts w:cs="Arial"/>
          <w:color w:val="000000" w:themeColor="text1"/>
          <w:sz w:val="20"/>
          <w:szCs w:val="20"/>
        </w:rPr>
        <w:t>osob</w:t>
      </w:r>
      <w:r w:rsidR="003B315A">
        <w:rPr>
          <w:rFonts w:cs="Arial"/>
          <w:color w:val="000000" w:themeColor="text1"/>
          <w:sz w:val="20"/>
          <w:szCs w:val="20"/>
        </w:rPr>
        <w:t>y</w:t>
      </w:r>
      <w:r w:rsidRPr="005D3F46">
        <w:rPr>
          <w:rFonts w:cs="Arial"/>
          <w:color w:val="000000" w:themeColor="text1"/>
          <w:sz w:val="20"/>
          <w:szCs w:val="20"/>
        </w:rPr>
        <w:t xml:space="preserve"> se zdravotním postižením a případně z konzultací jednotlivých problematik. Koordinátorka pro osoby se zdravotním postižením je informována a vyzývána k zaujetí stanoviska ke</w:t>
      </w:r>
      <w:r w:rsidR="00F27E3F">
        <w:rPr>
          <w:rFonts w:cs="Arial"/>
          <w:color w:val="000000" w:themeColor="text1"/>
          <w:sz w:val="20"/>
          <w:szCs w:val="20"/>
        </w:rPr>
        <w:t xml:space="preserve"> všem mezinárodním materiálům a </w:t>
      </w:r>
      <w:r w:rsidRPr="005D3F46">
        <w:rPr>
          <w:rFonts w:cs="Arial"/>
          <w:color w:val="000000" w:themeColor="text1"/>
          <w:sz w:val="20"/>
          <w:szCs w:val="20"/>
        </w:rPr>
        <w:t>dotazníkům věnujícím se tématu osob se zdravotním postižením.</w:t>
      </w:r>
    </w:p>
    <w:p w14:paraId="2EC3BE96" w14:textId="48F8F6DC" w:rsidR="005D3F46" w:rsidRPr="005D3F46" w:rsidRDefault="005D3F46" w:rsidP="005D3F46">
      <w:pPr>
        <w:rPr>
          <w:rFonts w:cs="Arial"/>
          <w:color w:val="000000" w:themeColor="text1"/>
          <w:sz w:val="20"/>
          <w:szCs w:val="20"/>
        </w:rPr>
      </w:pPr>
      <w:r w:rsidRPr="005D3F46">
        <w:rPr>
          <w:rFonts w:cs="Arial"/>
          <w:color w:val="000000" w:themeColor="text1"/>
          <w:sz w:val="20"/>
          <w:szCs w:val="20"/>
        </w:rPr>
        <w:t>Na MZ působí Pracovní skupina pro bezpečí pacientů a kvalitu zdravotní péče a Pacientská rada Ministerstva zdravotnictví, jako stálý poradní orgán ministra zdravotnictví za účelem zvýšení ochrany práv pacientů, v rámci této Rady působí i část řešící problematiku zdravotně sociálního pomezí. Oddělení práv pacientů, které je součástí organizační struktury MZ zajišťuje zastoupení pacientů na systémové úrovni, prosazuje jejich podílení na rozhodování ve zdravot</w:t>
      </w:r>
      <w:r w:rsidR="00F27E3F">
        <w:rPr>
          <w:rFonts w:cs="Arial"/>
          <w:color w:val="000000" w:themeColor="text1"/>
          <w:sz w:val="20"/>
          <w:szCs w:val="20"/>
        </w:rPr>
        <w:t>nictví. Ministr zdravotnictví a </w:t>
      </w:r>
      <w:r w:rsidRPr="005D3F46">
        <w:rPr>
          <w:rFonts w:cs="Arial"/>
          <w:color w:val="000000" w:themeColor="text1"/>
          <w:sz w:val="20"/>
          <w:szCs w:val="20"/>
        </w:rPr>
        <w:t xml:space="preserve">dále ředitel odboru zdravotní péče jsou stálými členy Rady vláda pro osoby se zdravotním postižením. Zde se tedy nachází velmi dobrý prostor k iniciacím jednání za účelem řešení oblastí podpory pro osoby se zdravotním postižením a komunikaci aktuálních problematik. </w:t>
      </w:r>
    </w:p>
    <w:p w14:paraId="55932027" w14:textId="560272BD" w:rsidR="005D3F46" w:rsidRPr="005D3F46" w:rsidRDefault="005D3F46" w:rsidP="005D3F46">
      <w:pPr>
        <w:rPr>
          <w:rFonts w:cs="Arial"/>
          <w:color w:val="000000" w:themeColor="text1"/>
          <w:sz w:val="20"/>
          <w:szCs w:val="20"/>
        </w:rPr>
      </w:pPr>
      <w:r w:rsidRPr="005D3F46">
        <w:rPr>
          <w:rFonts w:cs="Arial"/>
          <w:color w:val="000000" w:themeColor="text1"/>
          <w:sz w:val="20"/>
          <w:szCs w:val="20"/>
        </w:rPr>
        <w:t>V roce 2023 se zúčastnila koordinátorka pro osoby se zdravot</w:t>
      </w:r>
      <w:r w:rsidR="00F27E3F">
        <w:rPr>
          <w:rFonts w:cs="Arial"/>
          <w:color w:val="000000" w:themeColor="text1"/>
          <w:sz w:val="20"/>
          <w:szCs w:val="20"/>
        </w:rPr>
        <w:t>ním postižením konference WHO v </w:t>
      </w:r>
      <w:r w:rsidRPr="005D3F46">
        <w:rPr>
          <w:rFonts w:cs="Arial"/>
          <w:color w:val="000000" w:themeColor="text1"/>
          <w:sz w:val="20"/>
          <w:szCs w:val="20"/>
        </w:rPr>
        <w:t>Lisabonu k tématu zdravého stárnutí, kde byly diskutován</w:t>
      </w:r>
      <w:r w:rsidR="00F27E3F">
        <w:rPr>
          <w:rFonts w:cs="Arial"/>
          <w:color w:val="000000" w:themeColor="text1"/>
          <w:sz w:val="20"/>
          <w:szCs w:val="20"/>
        </w:rPr>
        <w:t>y mnohé problematiky zdravého i </w:t>
      </w:r>
      <w:r w:rsidRPr="005D3F46">
        <w:rPr>
          <w:rFonts w:cs="Arial"/>
          <w:color w:val="000000" w:themeColor="text1"/>
          <w:sz w:val="20"/>
          <w:szCs w:val="20"/>
        </w:rPr>
        <w:t>patologického stárnutí včetně zajišťování komplexních potřeb osob se zdravotním postižením. Koordinátorkou byla navázána spolupráce v rozsahu sdílení zkušeností se zástupci Dánsk</w:t>
      </w:r>
      <w:r w:rsidR="0051237F">
        <w:rPr>
          <w:rFonts w:cs="Arial"/>
          <w:color w:val="000000" w:themeColor="text1"/>
          <w:sz w:val="20"/>
          <w:szCs w:val="20"/>
        </w:rPr>
        <w:t>a, Š</w:t>
      </w:r>
      <w:r w:rsidRPr="005D3F46">
        <w:rPr>
          <w:rFonts w:cs="Arial"/>
          <w:color w:val="000000" w:themeColor="text1"/>
          <w:sz w:val="20"/>
          <w:szCs w:val="20"/>
        </w:rPr>
        <w:t>výcarska a Madeiry. Se zástupci Švýcarska byla diskutována i problematika včasné a komplexní rehabilitační péče u osob po úrazech.</w:t>
      </w:r>
    </w:p>
    <w:p w14:paraId="2BE82818" w14:textId="3E26B57B" w:rsidR="001C1231" w:rsidRPr="005D3F46" w:rsidRDefault="001C1231" w:rsidP="005D3F46">
      <w:pPr>
        <w:keepNext/>
        <w:tabs>
          <w:tab w:val="left" w:pos="720"/>
        </w:tabs>
        <w:rPr>
          <w:rFonts w:cs="Arial"/>
          <w:b/>
          <w:bCs/>
          <w:sz w:val="20"/>
          <w:szCs w:val="20"/>
          <w:lang w:eastAsia="cs-CZ"/>
        </w:rPr>
      </w:pPr>
      <w:r w:rsidRPr="005D3F46">
        <w:rPr>
          <w:rFonts w:cs="Arial"/>
          <w:b/>
          <w:bCs/>
          <w:sz w:val="20"/>
          <w:szCs w:val="20"/>
          <w:lang w:eastAsia="cs-CZ"/>
        </w:rPr>
        <w:t>STANOVISKO K PLNĚNÍ:</w:t>
      </w:r>
      <w:r w:rsidR="00993904" w:rsidRPr="005D3F46">
        <w:rPr>
          <w:rFonts w:cs="Arial"/>
          <w:b/>
          <w:bCs/>
          <w:sz w:val="20"/>
          <w:szCs w:val="20"/>
          <w:lang w:eastAsia="cs-CZ"/>
        </w:rPr>
        <w:t xml:space="preserve"> Plněno.</w:t>
      </w:r>
    </w:p>
    <w:p w14:paraId="0FD52AEA" w14:textId="1862634C" w:rsidR="001C1231" w:rsidRPr="00350BE9" w:rsidRDefault="001C1231" w:rsidP="00171EC0">
      <w:pPr>
        <w:rPr>
          <w:rFonts w:cs="Arial"/>
          <w:sz w:val="20"/>
          <w:szCs w:val="20"/>
        </w:rPr>
      </w:pPr>
    </w:p>
    <w:p w14:paraId="28CE1322" w14:textId="190C3254" w:rsidR="00F2666B" w:rsidRPr="0072379B" w:rsidRDefault="00F2666B" w:rsidP="0072379B">
      <w:pPr>
        <w:tabs>
          <w:tab w:val="left" w:pos="720"/>
        </w:tabs>
        <w:rPr>
          <w:rFonts w:cs="Arial"/>
          <w:b/>
          <w:bCs/>
          <w:sz w:val="20"/>
          <w:szCs w:val="20"/>
          <w:lang w:eastAsia="cs-CZ"/>
        </w:rPr>
      </w:pPr>
      <w:r w:rsidRPr="0072379B">
        <w:rPr>
          <w:rFonts w:cs="Arial"/>
          <w:b/>
          <w:bCs/>
          <w:sz w:val="20"/>
          <w:szCs w:val="20"/>
          <w:lang w:eastAsia="cs-CZ"/>
        </w:rPr>
        <w:t>PLNĚNÍ MZe:</w:t>
      </w:r>
    </w:p>
    <w:p w14:paraId="6D969607" w14:textId="130510A5" w:rsidR="0072379B" w:rsidRPr="0072379B" w:rsidRDefault="0072379B" w:rsidP="0072379B">
      <w:pPr>
        <w:rPr>
          <w:sz w:val="20"/>
          <w:szCs w:val="20"/>
        </w:rPr>
      </w:pPr>
      <w:r w:rsidRPr="0072379B">
        <w:rPr>
          <w:sz w:val="20"/>
          <w:szCs w:val="20"/>
        </w:rPr>
        <w:t>V roce 2023 si Asociace sociálního zemědělství vytyčila cíl, ve kterém chce navázat spolupráci s Asociací poskytovatelů sociálních služeb a Společností sociálních pracovníků ČR v oblasti sociálního zemědělství.</w:t>
      </w:r>
    </w:p>
    <w:p w14:paraId="70821636" w14:textId="760C5767" w:rsidR="00F2666B" w:rsidRPr="0072379B" w:rsidRDefault="00F2666B" w:rsidP="0072379B">
      <w:pPr>
        <w:keepNext/>
        <w:tabs>
          <w:tab w:val="left" w:pos="720"/>
        </w:tabs>
        <w:rPr>
          <w:rFonts w:cs="Arial"/>
          <w:b/>
          <w:bCs/>
          <w:sz w:val="20"/>
          <w:szCs w:val="20"/>
          <w:lang w:eastAsia="cs-CZ"/>
        </w:rPr>
      </w:pPr>
      <w:r w:rsidRPr="0072379B">
        <w:rPr>
          <w:rFonts w:cs="Arial"/>
          <w:b/>
          <w:bCs/>
          <w:sz w:val="20"/>
          <w:szCs w:val="20"/>
          <w:lang w:eastAsia="cs-CZ"/>
        </w:rPr>
        <w:t>STANOVISKO K PLNĚNÍ</w:t>
      </w:r>
      <w:r w:rsidRPr="00343006">
        <w:rPr>
          <w:rFonts w:cs="Arial"/>
          <w:b/>
          <w:bCs/>
          <w:sz w:val="20"/>
          <w:szCs w:val="20"/>
          <w:lang w:eastAsia="cs-CZ"/>
        </w:rPr>
        <w:t>:</w:t>
      </w:r>
      <w:r w:rsidR="00BB59D1" w:rsidRPr="00343006">
        <w:rPr>
          <w:rFonts w:cs="Arial"/>
          <w:b/>
          <w:bCs/>
          <w:sz w:val="20"/>
          <w:szCs w:val="20"/>
          <w:lang w:eastAsia="cs-CZ"/>
        </w:rPr>
        <w:t xml:space="preserve"> Plněno.</w:t>
      </w:r>
    </w:p>
    <w:p w14:paraId="11881894" w14:textId="06FABED8" w:rsidR="00F2666B" w:rsidRPr="00171EC0" w:rsidRDefault="00F2666B" w:rsidP="00171EC0">
      <w:pPr>
        <w:rPr>
          <w:rFonts w:cs="Arial"/>
          <w:sz w:val="20"/>
          <w:szCs w:val="20"/>
        </w:rPr>
      </w:pPr>
    </w:p>
    <w:p w14:paraId="416BEFE2" w14:textId="51757CBE" w:rsidR="007F47FC" w:rsidRDefault="007F47FC" w:rsidP="00981DED">
      <w:pPr>
        <w:tabs>
          <w:tab w:val="left" w:pos="720"/>
        </w:tabs>
        <w:rPr>
          <w:rFonts w:cs="Arial"/>
          <w:b/>
          <w:bCs/>
          <w:sz w:val="20"/>
          <w:szCs w:val="20"/>
          <w:lang w:eastAsia="cs-CZ"/>
        </w:rPr>
      </w:pPr>
      <w:r w:rsidRPr="00595E66">
        <w:rPr>
          <w:rFonts w:cs="Arial"/>
          <w:b/>
          <w:bCs/>
          <w:sz w:val="20"/>
          <w:szCs w:val="20"/>
          <w:lang w:eastAsia="cs-CZ"/>
        </w:rPr>
        <w:t>PLNĚNÍ MZV:</w:t>
      </w:r>
    </w:p>
    <w:p w14:paraId="037F36AF" w14:textId="247391E8" w:rsidR="00981DED" w:rsidRPr="00981DED" w:rsidRDefault="00981DED" w:rsidP="00981DED">
      <w:pPr>
        <w:rPr>
          <w:rFonts w:cs="Arial"/>
          <w:bCs/>
          <w:sz w:val="20"/>
          <w:szCs w:val="20"/>
        </w:rPr>
      </w:pPr>
      <w:r w:rsidRPr="00981DED">
        <w:rPr>
          <w:rFonts w:cs="Arial"/>
          <w:bCs/>
          <w:sz w:val="20"/>
          <w:szCs w:val="20"/>
        </w:rPr>
        <w:t>Odbor lidských práv a transformační politiky MZV (LPTP) odpovídá za naplňování zah</w:t>
      </w:r>
      <w:r w:rsidR="00951FBA">
        <w:rPr>
          <w:rFonts w:cs="Arial"/>
          <w:bCs/>
          <w:sz w:val="20"/>
          <w:szCs w:val="20"/>
        </w:rPr>
        <w:t>raniční politiky v </w:t>
      </w:r>
      <w:r w:rsidRPr="00981DED">
        <w:rPr>
          <w:rFonts w:cs="Arial"/>
          <w:bCs/>
          <w:sz w:val="20"/>
          <w:szCs w:val="20"/>
        </w:rPr>
        <w:t>oblasti ochrany lidských práv, jejíž základní principy jsou uvedeny v koncepci zahraniční politiky ČR a v Koncepci lidských práv a transformační spolupráce. Úkolem p</w:t>
      </w:r>
      <w:r w:rsidR="00951FBA">
        <w:rPr>
          <w:rFonts w:cs="Arial"/>
          <w:bCs/>
          <w:sz w:val="20"/>
          <w:szCs w:val="20"/>
        </w:rPr>
        <w:t>olitiky podpory lidských práv a </w:t>
      </w:r>
      <w:r w:rsidRPr="00981DED">
        <w:rPr>
          <w:rFonts w:cs="Arial"/>
          <w:bCs/>
          <w:sz w:val="20"/>
          <w:szCs w:val="20"/>
        </w:rPr>
        <w:t xml:space="preserve">transformační spolupráce je mimo jiné pomoci překonávat historické, sociální, kulturní, náboženské </w:t>
      </w:r>
      <w:r w:rsidRPr="00981DED">
        <w:rPr>
          <w:rFonts w:cs="Arial"/>
          <w:bCs/>
          <w:sz w:val="20"/>
          <w:szCs w:val="20"/>
        </w:rPr>
        <w:lastRenderedPageBreak/>
        <w:t xml:space="preserve">a ideologické bariéry rovnosti, a přispívat tak k důstojnému životu všech bez rozdílu. To se týká rovněž ochrany a prosazování práv osob se zdravotním postižením v souladu s naplňováním zásady rovnosti a nediskriminace. Za tímto účelem ČR především aktivně vystupuje v mezinárodních organizacích, zejm. ve 3. výboru VS OSN v New Yorku a Radě OSN pro lidská práva v Ženevě a v rámci jejího Univerzálního periodického přezkumu. ČR dále podporuje ochranu lidských práv spojených s rovností a nediskriminací prostřednictvím Programu transformační spolupráce, který je realizován ve spolupráci s českými nevládními organizacemi. Otázky spojené s národní implementací mezinárodních smluvních závazků, vč. Úmluvy o právech osob se zdravotním postižením (CRPD), odbor LPTP projednává s gesčně odpovědnými institucemi, jako jsou Úřad vlády či Ministerstvo práce a sociálních věcí; jejich prostřednictvím pak získává příp. žádosti a informace od zástupců organizací osob se zdravotním postižením. </w:t>
      </w:r>
    </w:p>
    <w:p w14:paraId="42619743" w14:textId="1D0DC346" w:rsidR="00981DED" w:rsidRPr="00981DED" w:rsidRDefault="00981DED" w:rsidP="00981DED">
      <w:pPr>
        <w:rPr>
          <w:rFonts w:cs="Arial"/>
          <w:bCs/>
          <w:sz w:val="20"/>
          <w:szCs w:val="20"/>
        </w:rPr>
      </w:pPr>
      <w:r w:rsidRPr="00981DED">
        <w:rPr>
          <w:rFonts w:cs="Arial"/>
          <w:bCs/>
          <w:sz w:val="20"/>
          <w:szCs w:val="20"/>
        </w:rPr>
        <w:t xml:space="preserve">Odbor rozvojové a transformační spolupráce MZV (ORS) v r. 2023 </w:t>
      </w:r>
      <w:proofErr w:type="gramStart"/>
      <w:r w:rsidRPr="00981DED">
        <w:rPr>
          <w:rFonts w:cs="Arial"/>
          <w:bCs/>
          <w:sz w:val="20"/>
          <w:szCs w:val="20"/>
        </w:rPr>
        <w:t>neformuloval</w:t>
      </w:r>
      <w:proofErr w:type="gramEnd"/>
      <w:r w:rsidRPr="00981DED">
        <w:rPr>
          <w:rFonts w:cs="Arial"/>
          <w:bCs/>
          <w:sz w:val="20"/>
          <w:szCs w:val="20"/>
        </w:rPr>
        <w:t xml:space="preserve"> žádné opatření ani </w:t>
      </w:r>
      <w:proofErr w:type="gramStart"/>
      <w:r w:rsidRPr="00981DED">
        <w:rPr>
          <w:rFonts w:cs="Arial"/>
          <w:bCs/>
          <w:sz w:val="20"/>
          <w:szCs w:val="20"/>
        </w:rPr>
        <w:t>nepřipravoval</w:t>
      </w:r>
      <w:proofErr w:type="gramEnd"/>
      <w:r w:rsidRPr="00981DED">
        <w:rPr>
          <w:rFonts w:cs="Arial"/>
          <w:bCs/>
          <w:sz w:val="20"/>
          <w:szCs w:val="20"/>
        </w:rPr>
        <w:t xml:space="preserve"> podklady k žádnému mezinárodnímu jednání, které by se cíleně týkalo osob se zdravotním postižením. V rámci realizace zahraniční rozvojové spolupráce a humanitární pomoci se ORS v rozvojových zemích prioritně zaměřuje na zvláště zranitelné a marginalizované skupiny, mezi něž patří i osoby se zdravotním postižením. V této oblasti spolupracujeme s příslušnými úřady cílových zemí i s odbornými mezinárodními organizacemi (WHO, UNICEF, ICRC); v ČR se na identifikaci těchto aktivit podílí odpovídající resorty (zdravotnictví, práce a sociálních věcí, školství, mládeže a tělovýchovy) i zájmové organizace (Charita ČR, Neslyšící s nadějí, Světlo pro svět).</w:t>
      </w:r>
    </w:p>
    <w:p w14:paraId="7D8DC1C7" w14:textId="7A50E2DA" w:rsidR="00981DED" w:rsidRPr="00981DED" w:rsidRDefault="00981DED" w:rsidP="00981DED">
      <w:pPr>
        <w:rPr>
          <w:rFonts w:cs="Arial"/>
          <w:bCs/>
          <w:sz w:val="20"/>
          <w:szCs w:val="20"/>
        </w:rPr>
      </w:pPr>
      <w:r w:rsidRPr="00981DED">
        <w:rPr>
          <w:rFonts w:cs="Arial"/>
          <w:bCs/>
          <w:sz w:val="20"/>
          <w:szCs w:val="20"/>
        </w:rPr>
        <w:t>Odbor Organizace spojených národů a globálních otázek MZV (OSN) je v pozici spolugestora problematiky týkající se práv osob se zdravotním postižen</w:t>
      </w:r>
      <w:r w:rsidR="00951FBA">
        <w:rPr>
          <w:rFonts w:cs="Arial"/>
          <w:bCs/>
          <w:sz w:val="20"/>
          <w:szCs w:val="20"/>
        </w:rPr>
        <w:t>ím projednávané v systému OSN a </w:t>
      </w:r>
      <w:r w:rsidRPr="00981DED">
        <w:rPr>
          <w:rFonts w:cs="Arial"/>
          <w:bCs/>
          <w:sz w:val="20"/>
          <w:szCs w:val="20"/>
        </w:rPr>
        <w:t>v agendách Výboru OSN pro práva osob s postižením (CRPD) a nemá tak nastaven přímý komunikační kanál na organizace osob se zdravotním postižením. Žádná opatření veřejné správy tak v uplynulém období ze strany odboru OSN se zástupci těchto organizací konzultována nebyla.</w:t>
      </w:r>
    </w:p>
    <w:p w14:paraId="47AA9B0D" w14:textId="15BCA03D" w:rsidR="007F47FC" w:rsidRPr="00595E66" w:rsidRDefault="007F47FC" w:rsidP="00981DED">
      <w:pPr>
        <w:keepNext/>
        <w:tabs>
          <w:tab w:val="left" w:pos="720"/>
        </w:tabs>
        <w:rPr>
          <w:rFonts w:cs="Arial"/>
          <w:b/>
          <w:bCs/>
          <w:sz w:val="20"/>
          <w:szCs w:val="20"/>
          <w:lang w:eastAsia="cs-CZ"/>
        </w:rPr>
      </w:pPr>
      <w:r w:rsidRPr="00595E66">
        <w:rPr>
          <w:rFonts w:cs="Arial"/>
          <w:b/>
          <w:bCs/>
          <w:sz w:val="20"/>
          <w:szCs w:val="20"/>
          <w:lang w:eastAsia="cs-CZ"/>
        </w:rPr>
        <w:t>STANOVISKO K PLNĚNÍ:</w:t>
      </w:r>
      <w:r w:rsidR="00D00946" w:rsidRPr="00595E66">
        <w:rPr>
          <w:rFonts w:cs="Arial"/>
          <w:b/>
          <w:bCs/>
          <w:sz w:val="20"/>
          <w:szCs w:val="20"/>
          <w:lang w:eastAsia="cs-CZ"/>
        </w:rPr>
        <w:t xml:space="preserve"> Plněno.</w:t>
      </w:r>
    </w:p>
    <w:p w14:paraId="5C780E0D" w14:textId="3EFDBF25" w:rsidR="007F47FC" w:rsidRPr="00E43C6D" w:rsidRDefault="007F47FC" w:rsidP="006D069E">
      <w:pPr>
        <w:rPr>
          <w:rFonts w:cs="Arial"/>
          <w:sz w:val="20"/>
          <w:szCs w:val="20"/>
        </w:rPr>
      </w:pPr>
    </w:p>
    <w:p w14:paraId="16BD6E81" w14:textId="4F3C6917" w:rsidR="00B4160E" w:rsidRPr="00FF0627" w:rsidRDefault="00B4160E" w:rsidP="00FF0627">
      <w:pPr>
        <w:tabs>
          <w:tab w:val="left" w:pos="720"/>
        </w:tabs>
        <w:rPr>
          <w:rFonts w:cs="Arial"/>
          <w:b/>
          <w:bCs/>
          <w:sz w:val="20"/>
          <w:szCs w:val="20"/>
          <w:lang w:eastAsia="cs-CZ"/>
        </w:rPr>
      </w:pPr>
      <w:r w:rsidRPr="00FF0627">
        <w:rPr>
          <w:rFonts w:cs="Arial"/>
          <w:b/>
          <w:bCs/>
          <w:sz w:val="20"/>
          <w:szCs w:val="20"/>
          <w:lang w:eastAsia="cs-CZ"/>
        </w:rPr>
        <w:t>PLNĚNÍ MŽP:</w:t>
      </w:r>
    </w:p>
    <w:p w14:paraId="762BAE73" w14:textId="30CB078E" w:rsidR="00FF0627" w:rsidRPr="00FF0627" w:rsidRDefault="00FF0627" w:rsidP="00FF0627">
      <w:pPr>
        <w:rPr>
          <w:rFonts w:cs="Arial"/>
          <w:sz w:val="20"/>
          <w:szCs w:val="20"/>
        </w:rPr>
      </w:pPr>
      <w:r w:rsidRPr="00FF0627">
        <w:rPr>
          <w:rFonts w:cs="Arial"/>
          <w:sz w:val="20"/>
          <w:szCs w:val="20"/>
        </w:rPr>
        <w:t>Opatření veřejné správy, která mají dopad na osoby se zdravotním postižením, byla konzultována se zástupci organizací osob se zdravotním postižením.</w:t>
      </w:r>
    </w:p>
    <w:p w14:paraId="0045459B" w14:textId="2C1283C9" w:rsidR="00B4160E" w:rsidRPr="00FF0627" w:rsidRDefault="00B4160E" w:rsidP="00FF0627">
      <w:pPr>
        <w:rPr>
          <w:b/>
          <w:bCs/>
          <w:sz w:val="20"/>
          <w:szCs w:val="20"/>
        </w:rPr>
      </w:pPr>
      <w:r w:rsidRPr="00FF0627">
        <w:rPr>
          <w:rFonts w:cs="Arial"/>
          <w:b/>
          <w:bCs/>
          <w:sz w:val="20"/>
          <w:szCs w:val="20"/>
          <w:lang w:eastAsia="cs-CZ"/>
        </w:rPr>
        <w:t>STANOVISKO K PLNĚNÍ:</w:t>
      </w:r>
      <w:r w:rsidR="006F1137" w:rsidRPr="00FF0627">
        <w:rPr>
          <w:rFonts w:cs="Arial"/>
          <w:b/>
          <w:bCs/>
          <w:sz w:val="20"/>
          <w:szCs w:val="20"/>
          <w:lang w:eastAsia="cs-CZ"/>
        </w:rPr>
        <w:t xml:space="preserve"> </w:t>
      </w:r>
      <w:r w:rsidR="00D72B2D" w:rsidRPr="00FF0627">
        <w:rPr>
          <w:rFonts w:cs="Arial"/>
          <w:b/>
          <w:bCs/>
          <w:sz w:val="20"/>
          <w:szCs w:val="20"/>
          <w:lang w:eastAsia="cs-CZ"/>
        </w:rPr>
        <w:t>Plněno.</w:t>
      </w:r>
    </w:p>
    <w:p w14:paraId="279ABBD8" w14:textId="6AD03E99" w:rsidR="00B4160E" w:rsidRPr="00FF0627" w:rsidRDefault="00B4160E" w:rsidP="00FF0627">
      <w:pPr>
        <w:rPr>
          <w:rFonts w:cs="Arial"/>
          <w:sz w:val="20"/>
          <w:szCs w:val="20"/>
        </w:rPr>
      </w:pPr>
    </w:p>
    <w:p w14:paraId="77FC5483" w14:textId="2474B972" w:rsidR="00FC18C8" w:rsidRPr="003129E5" w:rsidRDefault="00FC18C8" w:rsidP="003129E5">
      <w:pPr>
        <w:tabs>
          <w:tab w:val="left" w:pos="720"/>
        </w:tabs>
        <w:rPr>
          <w:rFonts w:cs="Arial"/>
          <w:b/>
          <w:bCs/>
          <w:sz w:val="20"/>
          <w:szCs w:val="20"/>
          <w:lang w:eastAsia="cs-CZ"/>
        </w:rPr>
      </w:pPr>
      <w:r w:rsidRPr="003129E5">
        <w:rPr>
          <w:rFonts w:cs="Arial"/>
          <w:b/>
          <w:bCs/>
          <w:sz w:val="20"/>
          <w:szCs w:val="20"/>
          <w:lang w:eastAsia="cs-CZ"/>
        </w:rPr>
        <w:t>PLNĚNÍ VVOZP:</w:t>
      </w:r>
    </w:p>
    <w:p w14:paraId="74A01320" w14:textId="62197466" w:rsidR="003129E5" w:rsidRPr="003129E5" w:rsidRDefault="003129E5" w:rsidP="003129E5">
      <w:pPr>
        <w:rPr>
          <w:rFonts w:cs="Arial"/>
          <w:sz w:val="20"/>
          <w:szCs w:val="20"/>
        </w:rPr>
      </w:pPr>
      <w:r w:rsidRPr="003129E5">
        <w:rPr>
          <w:rFonts w:cs="Arial"/>
          <w:sz w:val="20"/>
          <w:szCs w:val="20"/>
        </w:rPr>
        <w:t>VVOZP spolupracuje se zástupci organizací osob se zdravotním postižením. Nejdůležitější z nich mají zast</w:t>
      </w:r>
      <w:r w:rsidR="001E7906">
        <w:rPr>
          <w:rFonts w:cs="Arial"/>
          <w:sz w:val="20"/>
          <w:szCs w:val="20"/>
        </w:rPr>
        <w:t>oupení přímo ve VVOZP</w:t>
      </w:r>
      <w:r w:rsidR="001E7906" w:rsidRPr="00874480">
        <w:rPr>
          <w:rFonts w:cs="Arial"/>
          <w:sz w:val="20"/>
          <w:szCs w:val="20"/>
        </w:rPr>
        <w:t>. P</w:t>
      </w:r>
      <w:r w:rsidRPr="00874480">
        <w:rPr>
          <w:rFonts w:cs="Arial"/>
          <w:sz w:val="20"/>
          <w:szCs w:val="20"/>
        </w:rPr>
        <w:t>artnerem VVOZP je</w:t>
      </w:r>
      <w:r w:rsidRPr="003129E5">
        <w:rPr>
          <w:rFonts w:cs="Arial"/>
          <w:sz w:val="20"/>
          <w:szCs w:val="20"/>
        </w:rPr>
        <w:t xml:space="preserve"> Národní rada osob se zdravotním postižením ČR (dále jen „NRZP ČR“), která je střechovou organizací osob se zdravotním postižením v České republice. Tím VVOZP zajišťuje spolupráci státní sféry s nestátní, tj. s organizacemi osob se zdravotním postižením, které se prostřednictvím NRZP ČR mohou na činnosti VVOZP přímo podílet. </w:t>
      </w:r>
    </w:p>
    <w:p w14:paraId="0283B4DE" w14:textId="72253EAF" w:rsidR="003129E5" w:rsidRPr="003129E5" w:rsidRDefault="003129E5" w:rsidP="003129E5">
      <w:pPr>
        <w:pStyle w:val="AA"/>
        <w:spacing w:before="0"/>
        <w:jc w:val="both"/>
        <w:rPr>
          <w:rFonts w:ascii="Arial" w:hAnsi="Arial" w:cs="Arial"/>
          <w:i w:val="0"/>
          <w:sz w:val="20"/>
        </w:rPr>
      </w:pPr>
      <w:r w:rsidRPr="003129E5">
        <w:rPr>
          <w:rFonts w:ascii="Arial" w:hAnsi="Arial" w:cs="Arial"/>
          <w:i w:val="0"/>
          <w:sz w:val="20"/>
        </w:rPr>
        <w:t xml:space="preserve">Sekretariát VVOZP je ve styku i s dalšími organizacemi osob se zdravotním postižením a rovněž státními, samosprávními i nestátními zařízeními poskytujícími sociální služby a vzdělání osobám se zdravotním postižením (zařízení sociálních služeb, speciální školy, speciálně pedagogická centra atd.). </w:t>
      </w:r>
    </w:p>
    <w:p w14:paraId="11BE6724" w14:textId="77777777" w:rsidR="003129E5" w:rsidRPr="003129E5" w:rsidRDefault="003129E5" w:rsidP="003129E5">
      <w:pPr>
        <w:pStyle w:val="Zpat"/>
        <w:tabs>
          <w:tab w:val="left" w:pos="0"/>
          <w:tab w:val="left" w:pos="360"/>
        </w:tabs>
        <w:spacing w:after="120"/>
        <w:rPr>
          <w:rFonts w:cs="Arial"/>
          <w:bCs/>
          <w:sz w:val="20"/>
          <w:szCs w:val="20"/>
        </w:rPr>
      </w:pPr>
      <w:r w:rsidRPr="003129E5">
        <w:rPr>
          <w:rFonts w:cs="Arial"/>
          <w:sz w:val="20"/>
          <w:szCs w:val="20"/>
        </w:rPr>
        <w:t xml:space="preserve">Kromě přípravy stanovisek k materiálům pro vládu ČR se sekretariát VVOZP také účastnil prostřednictvím </w:t>
      </w:r>
      <w:r w:rsidRPr="003129E5">
        <w:rPr>
          <w:rFonts w:cs="Arial"/>
          <w:bCs/>
          <w:sz w:val="20"/>
          <w:szCs w:val="20"/>
        </w:rPr>
        <w:t xml:space="preserve">zmocněnkyně vlády pro lidská práva </w:t>
      </w:r>
      <w:r w:rsidRPr="003129E5">
        <w:rPr>
          <w:rFonts w:cs="Arial"/>
          <w:sz w:val="20"/>
          <w:szCs w:val="20"/>
        </w:rPr>
        <w:t xml:space="preserve">legislativního procesu připomínkováním právních předpisů z hlediska jejich možného dopadu na osoby se zdravotním postižením. Nově připravované nebo novelizované právní předpisy sekretariát rozesílá v elektronické podobě NRZP ČR, která materiály dále distribuuje svým členským organizacím, a dalším vybraným organizacím. Organizace osob se zdravotním postižením mohou své připomínky k právním předpisům zasílat jednotlivým předkladatelům samy nebo je mohou zaslat sekretariátu VVOZP k dalšímu využití. Sekretariát VVOZP připomínky předkládané organizacemi </w:t>
      </w:r>
      <w:r w:rsidRPr="003129E5">
        <w:rPr>
          <w:rFonts w:cs="Arial"/>
          <w:bCs/>
          <w:sz w:val="20"/>
          <w:szCs w:val="20"/>
        </w:rPr>
        <w:t xml:space="preserve">soustřeďoval, vyhodnocoval a předával je zmocněnkyni vlády pro lidská práva k uplatnění. </w:t>
      </w:r>
    </w:p>
    <w:p w14:paraId="7C9D66ED" w14:textId="43B47E88" w:rsidR="003129E5" w:rsidRPr="003129E5" w:rsidRDefault="003129E5" w:rsidP="003129E5">
      <w:pPr>
        <w:pStyle w:val="Zpat"/>
        <w:spacing w:after="120"/>
        <w:rPr>
          <w:rFonts w:cs="Arial"/>
          <w:sz w:val="20"/>
          <w:szCs w:val="20"/>
        </w:rPr>
      </w:pPr>
      <w:r w:rsidRPr="003129E5">
        <w:rPr>
          <w:rFonts w:cs="Arial"/>
          <w:sz w:val="20"/>
          <w:szCs w:val="20"/>
        </w:rPr>
        <w:t xml:space="preserve">Všechny organizace osob se zdravotním postižením mají možnost seznámit se s připravovanými </w:t>
      </w:r>
      <w:r w:rsidRPr="008359D1">
        <w:rPr>
          <w:rFonts w:cs="Arial"/>
          <w:sz w:val="20"/>
          <w:szCs w:val="20"/>
        </w:rPr>
        <w:t xml:space="preserve">předpisy v elektronické knihovně ÚV </w:t>
      </w:r>
      <w:r w:rsidRPr="008359D1">
        <w:rPr>
          <w:rFonts w:cs="Arial"/>
          <w:b/>
          <w:sz w:val="20"/>
          <w:szCs w:val="20"/>
        </w:rPr>
        <w:t>„</w:t>
      </w:r>
      <w:r w:rsidRPr="008359D1">
        <w:rPr>
          <w:rStyle w:val="Siln"/>
          <w:rFonts w:cs="Arial"/>
          <w:b w:val="0"/>
          <w:sz w:val="20"/>
          <w:szCs w:val="20"/>
        </w:rPr>
        <w:t>Eklep pro veřejnost“</w:t>
      </w:r>
      <w:r w:rsidRPr="008359D1">
        <w:rPr>
          <w:rStyle w:val="Siln"/>
          <w:rFonts w:cs="Arial"/>
          <w:sz w:val="20"/>
          <w:szCs w:val="20"/>
        </w:rPr>
        <w:t xml:space="preserve"> </w:t>
      </w:r>
      <w:r w:rsidRPr="008359D1">
        <w:rPr>
          <w:rFonts w:cs="Arial"/>
          <w:sz w:val="20"/>
          <w:szCs w:val="20"/>
        </w:rPr>
        <w:t xml:space="preserve">(VeKLEP) </w:t>
      </w:r>
      <w:hyperlink r:id="rId118" w:history="1">
        <w:r w:rsidRPr="003129E5">
          <w:rPr>
            <w:rStyle w:val="Hypertextovodkaz"/>
            <w:rFonts w:cs="Arial"/>
            <w:sz w:val="20"/>
            <w:szCs w:val="20"/>
          </w:rPr>
          <w:t>https://www.odok.cz/portal/veklep/materialy</w:t>
        </w:r>
      </w:hyperlink>
      <w:r w:rsidRPr="003129E5">
        <w:rPr>
          <w:rFonts w:cs="Arial"/>
          <w:sz w:val="20"/>
          <w:szCs w:val="20"/>
        </w:rPr>
        <w:t xml:space="preserve">. Tento veřejný portál zpřístupňuje dokumenty legislativní </w:t>
      </w:r>
      <w:r w:rsidRPr="003129E5">
        <w:rPr>
          <w:rFonts w:cs="Arial"/>
          <w:sz w:val="20"/>
          <w:szCs w:val="20"/>
        </w:rPr>
        <w:lastRenderedPageBreak/>
        <w:t>povahy, které jsou určeny pro jednání vlády. Je možné zde sledovat celý průběh přípravy dokumentů, jako jsou např. návrhy zákonů, návrhy jejich změn a další dokumenty legislativní povahy.</w:t>
      </w:r>
    </w:p>
    <w:p w14:paraId="2CFB20CF" w14:textId="279BB3BB" w:rsidR="003129E5" w:rsidRPr="003129E5" w:rsidRDefault="003129E5" w:rsidP="003129E5">
      <w:pPr>
        <w:tabs>
          <w:tab w:val="left" w:pos="1620"/>
        </w:tabs>
        <w:rPr>
          <w:rFonts w:cs="Arial"/>
          <w:sz w:val="20"/>
          <w:szCs w:val="20"/>
        </w:rPr>
      </w:pPr>
      <w:r w:rsidRPr="003129E5">
        <w:rPr>
          <w:rFonts w:cs="Arial"/>
          <w:sz w:val="20"/>
          <w:szCs w:val="20"/>
        </w:rPr>
        <w:t>Sekretariát VVOZP poskytuje odborné konzultace z oblasti právní ochrany osob se zdravotním postižením a informuje organizace o změnách v legislativě, které se týkají jejich problematiky.</w:t>
      </w:r>
    </w:p>
    <w:p w14:paraId="111988B0" w14:textId="6F19A657" w:rsidR="00FC18C8" w:rsidRPr="003129E5" w:rsidRDefault="00FC18C8" w:rsidP="003129E5">
      <w:pPr>
        <w:rPr>
          <w:rFonts w:cs="Arial"/>
          <w:sz w:val="20"/>
          <w:szCs w:val="20"/>
        </w:rPr>
      </w:pPr>
      <w:r w:rsidRPr="003129E5">
        <w:rPr>
          <w:rFonts w:cs="Arial"/>
          <w:b/>
          <w:bCs/>
          <w:sz w:val="20"/>
          <w:szCs w:val="20"/>
          <w:lang w:eastAsia="cs-CZ"/>
        </w:rPr>
        <w:t>STANOVISKO K PLNĚNÍ:</w:t>
      </w:r>
      <w:r w:rsidR="00E77EA8" w:rsidRPr="003129E5">
        <w:rPr>
          <w:rFonts w:cs="Arial"/>
          <w:b/>
          <w:bCs/>
          <w:sz w:val="20"/>
          <w:szCs w:val="20"/>
          <w:lang w:eastAsia="cs-CZ"/>
        </w:rPr>
        <w:t xml:space="preserve"> </w:t>
      </w:r>
      <w:r w:rsidR="0035536E" w:rsidRPr="003129E5">
        <w:rPr>
          <w:rFonts w:cs="Arial"/>
          <w:b/>
          <w:bCs/>
          <w:sz w:val="20"/>
          <w:szCs w:val="20"/>
          <w:lang w:eastAsia="cs-CZ"/>
        </w:rPr>
        <w:t>Plněno.</w:t>
      </w:r>
    </w:p>
    <w:p w14:paraId="51FE54C3" w14:textId="77777777" w:rsidR="00FC18C8" w:rsidRPr="003129E5" w:rsidRDefault="00FC18C8" w:rsidP="003129E5">
      <w:pPr>
        <w:rPr>
          <w:rFonts w:cs="Arial"/>
          <w:sz w:val="20"/>
          <w:szCs w:val="20"/>
        </w:rPr>
      </w:pPr>
    </w:p>
    <w:p w14:paraId="1A69B31B" w14:textId="242287A7" w:rsidR="00F17E74" w:rsidRPr="0057756D" w:rsidRDefault="00F17E74" w:rsidP="00481854">
      <w:pPr>
        <w:rPr>
          <w:rFonts w:cs="Arial"/>
          <w:szCs w:val="20"/>
        </w:rPr>
      </w:pPr>
      <w:r w:rsidRPr="0035060D">
        <w:rPr>
          <w:rFonts w:cs="Arial"/>
          <w:bCs/>
          <w:szCs w:val="20"/>
        </w:rPr>
        <w:t xml:space="preserve">Opatření </w:t>
      </w:r>
      <w:r>
        <w:rPr>
          <w:rFonts w:cs="Arial"/>
          <w:bCs/>
          <w:szCs w:val="20"/>
        </w:rPr>
        <w:t>14</w:t>
      </w:r>
      <w:r>
        <w:rPr>
          <w:rFonts w:cs="Arial"/>
          <w:szCs w:val="20"/>
        </w:rPr>
        <w:t xml:space="preserve">.1.2 </w:t>
      </w:r>
      <w:r w:rsidR="0007623E">
        <w:rPr>
          <w:rFonts w:cs="Arial"/>
          <w:szCs w:val="20"/>
        </w:rPr>
        <w:t>Vyhlašovat</w:t>
      </w:r>
      <w:r w:rsidRPr="0057756D">
        <w:rPr>
          <w:rFonts w:cs="Arial"/>
          <w:szCs w:val="20"/>
        </w:rPr>
        <w:t xml:space="preserve"> dotační program Podpora veřejně prospěšných aktivit spolků zdravotně postižených </w:t>
      </w:r>
      <w:r>
        <w:rPr>
          <w:rFonts w:cs="Arial"/>
          <w:szCs w:val="20"/>
        </w:rPr>
        <w:t xml:space="preserve">s celostátní působností </w:t>
      </w:r>
      <w:r w:rsidRPr="0057756D">
        <w:rPr>
          <w:rFonts w:cs="Arial"/>
          <w:szCs w:val="20"/>
        </w:rPr>
        <w:t xml:space="preserve">a zachovat minimálně dosavadní výši finanční podpory </w:t>
      </w:r>
      <w:r w:rsidR="00E102D9">
        <w:rPr>
          <w:rFonts w:cs="Arial"/>
          <w:szCs w:val="20"/>
        </w:rPr>
        <w:t>tohoto</w:t>
      </w:r>
      <w:r w:rsidRPr="0057756D">
        <w:rPr>
          <w:rFonts w:cs="Arial"/>
          <w:szCs w:val="20"/>
        </w:rPr>
        <w:t xml:space="preserve"> program</w:t>
      </w:r>
      <w:r w:rsidR="008D03A4">
        <w:rPr>
          <w:rFonts w:cs="Arial"/>
          <w:szCs w:val="20"/>
        </w:rPr>
        <w:t>u</w:t>
      </w:r>
      <w:r w:rsidRPr="0057756D">
        <w:rPr>
          <w:rFonts w:cs="Arial"/>
          <w:szCs w:val="20"/>
        </w:rPr>
        <w:t>.</w:t>
      </w:r>
      <w:r w:rsidRPr="0057756D">
        <w:rPr>
          <w:rFonts w:cs="Arial"/>
          <w:szCs w:val="20"/>
        </w:rPr>
        <w:tab/>
      </w:r>
    </w:p>
    <w:p w14:paraId="6408E0F5" w14:textId="77777777" w:rsidR="00F17E74" w:rsidRPr="0057756D" w:rsidRDefault="00F17E74" w:rsidP="00481854">
      <w:pPr>
        <w:rPr>
          <w:rFonts w:cs="Arial"/>
          <w:szCs w:val="20"/>
        </w:rPr>
      </w:pPr>
      <w:r w:rsidRPr="0057756D">
        <w:rPr>
          <w:rFonts w:cs="Arial"/>
          <w:szCs w:val="20"/>
        </w:rPr>
        <w:t>Termín: průběžně</w:t>
      </w:r>
    </w:p>
    <w:p w14:paraId="43AB0227" w14:textId="77777777" w:rsidR="00F17E74" w:rsidRPr="0057756D" w:rsidRDefault="00F17E74" w:rsidP="00481854">
      <w:pPr>
        <w:rPr>
          <w:rFonts w:cs="Arial"/>
          <w:szCs w:val="20"/>
        </w:rPr>
      </w:pPr>
      <w:r w:rsidRPr="0057756D">
        <w:rPr>
          <w:rFonts w:cs="Arial"/>
          <w:szCs w:val="20"/>
        </w:rPr>
        <w:t xml:space="preserve">Gestor: ÚV </w:t>
      </w:r>
    </w:p>
    <w:p w14:paraId="127E6245" w14:textId="72F9298D" w:rsidR="00F17E74" w:rsidRDefault="00F17E74" w:rsidP="00481854">
      <w:pPr>
        <w:rPr>
          <w:rFonts w:cs="Arial"/>
          <w:szCs w:val="20"/>
        </w:rPr>
      </w:pPr>
      <w:r w:rsidRPr="00831152">
        <w:rPr>
          <w:rFonts w:cs="Arial"/>
          <w:szCs w:val="20"/>
        </w:rPr>
        <w:t>Indikátor:</w:t>
      </w:r>
      <w:r w:rsidRPr="00193A00">
        <w:rPr>
          <w:rFonts w:cs="Arial"/>
          <w:szCs w:val="20"/>
        </w:rPr>
        <w:t xml:space="preserve"> </w:t>
      </w:r>
      <w:r>
        <w:rPr>
          <w:rFonts w:cs="Arial"/>
          <w:szCs w:val="20"/>
        </w:rPr>
        <w:t>Dotační program je vyhlašován v minimálně</w:t>
      </w:r>
      <w:r w:rsidRPr="00DB70A3">
        <w:rPr>
          <w:rFonts w:cs="Arial"/>
          <w:szCs w:val="20"/>
        </w:rPr>
        <w:t xml:space="preserve"> dosavadní výši </w:t>
      </w:r>
      <w:r>
        <w:rPr>
          <w:rFonts w:cs="Arial"/>
          <w:szCs w:val="20"/>
        </w:rPr>
        <w:t xml:space="preserve">finanční </w:t>
      </w:r>
      <w:r w:rsidRPr="00DB70A3">
        <w:rPr>
          <w:rFonts w:cs="Arial"/>
          <w:szCs w:val="20"/>
        </w:rPr>
        <w:t>podpory.</w:t>
      </w:r>
    </w:p>
    <w:p w14:paraId="5BBBFFD4" w14:textId="77777777" w:rsidR="00740F0F" w:rsidRDefault="00740F0F" w:rsidP="00481854">
      <w:pPr>
        <w:rPr>
          <w:rFonts w:cs="Arial"/>
          <w:szCs w:val="20"/>
        </w:rPr>
      </w:pPr>
    </w:p>
    <w:p w14:paraId="4B6E64C4" w14:textId="320D870D" w:rsidR="00353864" w:rsidRPr="00BD6010" w:rsidRDefault="00353864" w:rsidP="00481854">
      <w:pPr>
        <w:tabs>
          <w:tab w:val="left" w:pos="720"/>
        </w:tabs>
        <w:rPr>
          <w:rFonts w:cs="Arial"/>
          <w:b/>
          <w:bCs/>
          <w:sz w:val="20"/>
          <w:szCs w:val="20"/>
          <w:lang w:eastAsia="cs-CZ"/>
        </w:rPr>
      </w:pPr>
      <w:r w:rsidRPr="00BD6010">
        <w:rPr>
          <w:rFonts w:cs="Arial"/>
          <w:b/>
          <w:bCs/>
          <w:sz w:val="20"/>
          <w:szCs w:val="20"/>
          <w:lang w:eastAsia="cs-CZ"/>
        </w:rPr>
        <w:t>PLNĚNÍ ÚV:</w:t>
      </w:r>
    </w:p>
    <w:p w14:paraId="273C8724" w14:textId="77777777" w:rsidR="00BD6010" w:rsidRPr="00BD6010" w:rsidRDefault="00BD6010" w:rsidP="00BD6010">
      <w:pPr>
        <w:pStyle w:val="Zpat"/>
        <w:tabs>
          <w:tab w:val="left" w:pos="0"/>
          <w:tab w:val="left" w:pos="720"/>
        </w:tabs>
        <w:spacing w:after="120"/>
        <w:rPr>
          <w:rFonts w:cs="Arial"/>
          <w:iCs/>
          <w:sz w:val="20"/>
          <w:szCs w:val="20"/>
        </w:rPr>
      </w:pPr>
      <w:r w:rsidRPr="00BD6010">
        <w:rPr>
          <w:rFonts w:cs="Arial"/>
          <w:iCs/>
          <w:sz w:val="20"/>
          <w:szCs w:val="20"/>
        </w:rPr>
        <w:t xml:space="preserve">Rozhodnutím vlády ČR (usnesení ze dne </w:t>
      </w:r>
      <w:proofErr w:type="gramStart"/>
      <w:r w:rsidRPr="00BD6010">
        <w:rPr>
          <w:rFonts w:cs="Arial"/>
          <w:iCs/>
          <w:sz w:val="20"/>
          <w:szCs w:val="20"/>
        </w:rPr>
        <w:t>19.09.2007</w:t>
      </w:r>
      <w:proofErr w:type="gramEnd"/>
      <w:r w:rsidRPr="00BD6010">
        <w:rPr>
          <w:rFonts w:cs="Arial"/>
          <w:iCs/>
          <w:sz w:val="20"/>
          <w:szCs w:val="20"/>
        </w:rPr>
        <w:t xml:space="preserve"> č. 1062) je od roku 2008 dotační program Podpora veřejně prospěšných aktivit spolků osob se zdravotním postižením (dále jen „Podpora spolků OZP“)</w:t>
      </w:r>
      <w:r w:rsidRPr="00BD6010">
        <w:rPr>
          <w:rFonts w:cs="Arial"/>
          <w:b/>
          <w:iCs/>
          <w:sz w:val="20"/>
          <w:szCs w:val="20"/>
        </w:rPr>
        <w:t xml:space="preserve"> </w:t>
      </w:r>
      <w:r w:rsidRPr="00BD6010">
        <w:rPr>
          <w:rFonts w:cs="Arial"/>
          <w:iCs/>
          <w:sz w:val="20"/>
          <w:szCs w:val="20"/>
        </w:rPr>
        <w:t>financován z</w:t>
      </w:r>
      <w:r w:rsidRPr="00BD6010">
        <w:rPr>
          <w:rFonts w:cs="Arial"/>
          <w:b/>
          <w:iCs/>
          <w:sz w:val="20"/>
          <w:szCs w:val="20"/>
        </w:rPr>
        <w:t> </w:t>
      </w:r>
      <w:r w:rsidRPr="00BD6010">
        <w:rPr>
          <w:rFonts w:cs="Arial"/>
          <w:iCs/>
          <w:sz w:val="20"/>
          <w:szCs w:val="20"/>
        </w:rPr>
        <w:t>kapitoly 304 Úřadu vlády ČR. Dotační program je zaměřen na podporu spolků osob se zdravotním postižením s celostátní působností. Na tento dotační program byla ve státním rozpočtu pro rok 2023 vyčleněna částka 22.500.000 Kč.</w:t>
      </w:r>
      <w:r w:rsidRPr="00BD6010">
        <w:rPr>
          <w:rFonts w:cs="Arial"/>
          <w:sz w:val="20"/>
          <w:szCs w:val="20"/>
        </w:rPr>
        <w:t xml:space="preserve"> </w:t>
      </w:r>
    </w:p>
    <w:p w14:paraId="581944D2" w14:textId="022B3FBD" w:rsidR="00BD6010" w:rsidRPr="00BD6010" w:rsidRDefault="00BD6010" w:rsidP="00BD6010">
      <w:pPr>
        <w:autoSpaceDE w:val="0"/>
        <w:autoSpaceDN w:val="0"/>
        <w:adjustRightInd w:val="0"/>
        <w:rPr>
          <w:rFonts w:cs="Arial"/>
          <w:color w:val="000000"/>
          <w:sz w:val="20"/>
          <w:szCs w:val="20"/>
          <w:highlight w:val="yellow"/>
        </w:rPr>
      </w:pPr>
      <w:r w:rsidRPr="00BD6010">
        <w:rPr>
          <w:rFonts w:cs="Arial"/>
          <w:color w:val="000000"/>
          <w:sz w:val="20"/>
          <w:szCs w:val="20"/>
        </w:rPr>
        <w:t xml:space="preserve">Prostřednictvím </w:t>
      </w:r>
      <w:r w:rsidRPr="00BD6010">
        <w:rPr>
          <w:rFonts w:cs="Arial"/>
          <w:sz w:val="20"/>
          <w:szCs w:val="20"/>
        </w:rPr>
        <w:t xml:space="preserve">sekretariátu VVOZP vyhlásil </w:t>
      </w:r>
      <w:r w:rsidRPr="00BD6010">
        <w:rPr>
          <w:rFonts w:cs="Arial"/>
          <w:color w:val="000000"/>
          <w:sz w:val="20"/>
          <w:szCs w:val="20"/>
        </w:rPr>
        <w:t>Úřad vlády ČR pro rok 2023 výzvu k předkládání žádostí o finanční podporu z dotačního programu Podpora spolků ZP s termínem uzávěrky do </w:t>
      </w:r>
      <w:proofErr w:type="gramStart"/>
      <w:r w:rsidRPr="00BD6010">
        <w:rPr>
          <w:rFonts w:cs="Arial"/>
          <w:color w:val="000000"/>
          <w:sz w:val="20"/>
          <w:szCs w:val="20"/>
          <w:lang w:eastAsia="cs-CZ"/>
        </w:rPr>
        <w:t>11.10.2022</w:t>
      </w:r>
      <w:proofErr w:type="gramEnd"/>
      <w:r w:rsidRPr="00BD6010">
        <w:rPr>
          <w:rFonts w:cs="Arial"/>
          <w:color w:val="000000"/>
          <w:sz w:val="20"/>
          <w:szCs w:val="20"/>
        </w:rPr>
        <w:t xml:space="preserve">. Sekretariát VVOZP přijal celkem </w:t>
      </w:r>
      <w:r w:rsidRPr="00BD6010">
        <w:rPr>
          <w:rFonts w:cs="Arial"/>
          <w:color w:val="000000"/>
          <w:sz w:val="20"/>
          <w:szCs w:val="20"/>
          <w:lang w:eastAsia="cs-CZ"/>
        </w:rPr>
        <w:t>48</w:t>
      </w:r>
      <w:r w:rsidRPr="00BD6010">
        <w:rPr>
          <w:rFonts w:cs="Arial"/>
          <w:color w:val="000000"/>
          <w:sz w:val="20"/>
          <w:szCs w:val="20"/>
        </w:rPr>
        <w:t xml:space="preserve"> žádostí spolků osob se zdrav</w:t>
      </w:r>
      <w:r w:rsidR="00426242">
        <w:rPr>
          <w:rFonts w:cs="Arial"/>
          <w:color w:val="000000"/>
          <w:sz w:val="20"/>
          <w:szCs w:val="20"/>
        </w:rPr>
        <w:t>otním postižením s požadavkem v </w:t>
      </w:r>
      <w:r w:rsidRPr="00BD6010">
        <w:rPr>
          <w:rFonts w:cs="Arial"/>
          <w:color w:val="000000"/>
          <w:sz w:val="20"/>
          <w:szCs w:val="20"/>
        </w:rPr>
        <w:t xml:space="preserve">celkové výši </w:t>
      </w:r>
      <w:r w:rsidRPr="00BD6010">
        <w:rPr>
          <w:rFonts w:cs="Arial"/>
          <w:color w:val="000000"/>
          <w:sz w:val="20"/>
          <w:szCs w:val="20"/>
          <w:lang w:eastAsia="cs-CZ"/>
        </w:rPr>
        <w:t>36.670.640</w:t>
      </w:r>
      <w:r w:rsidRPr="00BD6010">
        <w:rPr>
          <w:rFonts w:cs="Arial"/>
          <w:b/>
          <w:color w:val="000000"/>
          <w:sz w:val="20"/>
          <w:szCs w:val="20"/>
          <w:lang w:eastAsia="cs-CZ"/>
        </w:rPr>
        <w:t xml:space="preserve"> </w:t>
      </w:r>
      <w:r w:rsidRPr="00BD6010">
        <w:rPr>
          <w:rFonts w:cs="Arial"/>
          <w:color w:val="000000"/>
          <w:sz w:val="20"/>
          <w:szCs w:val="20"/>
          <w:lang w:eastAsia="cs-CZ"/>
        </w:rPr>
        <w:t xml:space="preserve">Kč. </w:t>
      </w:r>
      <w:r w:rsidRPr="00BD6010">
        <w:rPr>
          <w:rFonts w:cs="Arial"/>
          <w:color w:val="000000"/>
          <w:sz w:val="20"/>
          <w:szCs w:val="20"/>
        </w:rPr>
        <w:t xml:space="preserve">Předložené projekty posuzovala devítičlenná Komise pro hodnocení projektů v rámci dotačního programu Podpora spolků OZP (dále jen „Komise“). Po vyhodnocení projektů Komisí bylo Úřadem vlády ČR finančně podpořeno 30 projektů, rozděleny byly finanční prostředky ve výši </w:t>
      </w:r>
      <w:r w:rsidRPr="00BD6010">
        <w:rPr>
          <w:rFonts w:cs="Arial"/>
          <w:color w:val="000000"/>
          <w:sz w:val="20"/>
          <w:szCs w:val="20"/>
          <w:lang w:eastAsia="cs-CZ"/>
        </w:rPr>
        <w:t xml:space="preserve">22.493.203 </w:t>
      </w:r>
      <w:r w:rsidRPr="00BD6010">
        <w:rPr>
          <w:rFonts w:cs="Arial"/>
          <w:color w:val="000000"/>
          <w:sz w:val="20"/>
          <w:szCs w:val="20"/>
        </w:rPr>
        <w:t>Kč.</w:t>
      </w:r>
      <w:r w:rsidRPr="00BD6010">
        <w:rPr>
          <w:rFonts w:cs="Arial"/>
          <w:sz w:val="20"/>
          <w:szCs w:val="20"/>
        </w:rPr>
        <w:t xml:space="preserve"> </w:t>
      </w:r>
    </w:p>
    <w:p w14:paraId="2394E2CC" w14:textId="15C34E4C" w:rsidR="00BD6010" w:rsidRPr="00BD6010" w:rsidRDefault="00BD6010" w:rsidP="008F0354">
      <w:pPr>
        <w:pStyle w:val="Zpat"/>
        <w:tabs>
          <w:tab w:val="left" w:pos="720"/>
        </w:tabs>
        <w:spacing w:after="120"/>
        <w:rPr>
          <w:rFonts w:cs="Arial"/>
          <w:iCs/>
          <w:sz w:val="20"/>
          <w:szCs w:val="20"/>
        </w:rPr>
      </w:pPr>
      <w:r w:rsidRPr="00BD6010">
        <w:rPr>
          <w:rFonts w:cs="Arial"/>
          <w:iCs/>
          <w:sz w:val="20"/>
          <w:szCs w:val="20"/>
        </w:rPr>
        <w:t xml:space="preserve">V rámci dotačního programu byly podpořeny projekty obsahující následující aktivity: A) Mezinárodní spolupráce v oblasti vyrovnávání příležitostí pro osoby se zdravotním postižením, B) </w:t>
      </w:r>
      <w:r w:rsidRPr="00BD6010">
        <w:rPr>
          <w:rFonts w:cs="Arial"/>
          <w:sz w:val="20"/>
          <w:szCs w:val="20"/>
        </w:rPr>
        <w:t>Účast na realizaci veřejných politik, které se týkají osob se zdravotním postižením, a sledování jejich naplňování</w:t>
      </w:r>
      <w:r w:rsidRPr="00BD6010">
        <w:rPr>
          <w:rFonts w:cs="Arial"/>
          <w:iCs/>
          <w:sz w:val="20"/>
          <w:szCs w:val="20"/>
        </w:rPr>
        <w:t>, C) Vzdělávací a informační činnost v oblasti vyrovnávání příležitostí pro osoby se zdravotním postižením, D) Organizačně administrativní servis v rámci svépomocných aktivit spolků osob se zdravotním postižením.</w:t>
      </w:r>
    </w:p>
    <w:p w14:paraId="22883065" w14:textId="3566191C" w:rsidR="00353864" w:rsidRPr="00BD6010" w:rsidRDefault="00353864" w:rsidP="00740F0F">
      <w:pPr>
        <w:rPr>
          <w:rFonts w:cs="Arial"/>
          <w:sz w:val="20"/>
          <w:szCs w:val="20"/>
        </w:rPr>
      </w:pPr>
      <w:r w:rsidRPr="00BD6010">
        <w:rPr>
          <w:rFonts w:cs="Arial"/>
          <w:b/>
          <w:bCs/>
          <w:sz w:val="20"/>
          <w:szCs w:val="20"/>
          <w:lang w:eastAsia="cs-CZ"/>
        </w:rPr>
        <w:t>STANOVISKO K PLNĚNÍ:</w:t>
      </w:r>
      <w:r w:rsidR="00463EA5" w:rsidRPr="00BD6010">
        <w:rPr>
          <w:rFonts w:cs="Arial"/>
          <w:b/>
          <w:bCs/>
          <w:sz w:val="20"/>
          <w:szCs w:val="20"/>
          <w:lang w:eastAsia="cs-CZ"/>
        </w:rPr>
        <w:t xml:space="preserve"> </w:t>
      </w:r>
      <w:r w:rsidR="00E9126A" w:rsidRPr="00BD6010">
        <w:rPr>
          <w:rFonts w:cs="Arial"/>
          <w:b/>
          <w:bCs/>
          <w:sz w:val="20"/>
          <w:szCs w:val="20"/>
          <w:lang w:eastAsia="cs-CZ"/>
        </w:rPr>
        <w:t>Plněno.</w:t>
      </w:r>
    </w:p>
    <w:p w14:paraId="092A1FCC" w14:textId="77777777" w:rsidR="00353864" w:rsidRPr="0057756D" w:rsidRDefault="00353864" w:rsidP="00740F0F">
      <w:pPr>
        <w:rPr>
          <w:rFonts w:cs="Arial"/>
          <w:szCs w:val="20"/>
        </w:rPr>
      </w:pPr>
    </w:p>
    <w:p w14:paraId="158CAB37" w14:textId="77777777" w:rsidR="00F17E74" w:rsidRPr="00B661AE" w:rsidRDefault="00F17E74" w:rsidP="00740F0F">
      <w:pPr>
        <w:rPr>
          <w:rFonts w:cs="Arial"/>
          <w:b/>
          <w:szCs w:val="20"/>
        </w:rPr>
      </w:pPr>
      <w:r>
        <w:rPr>
          <w:rFonts w:cs="Arial"/>
          <w:b/>
          <w:szCs w:val="20"/>
        </w:rPr>
        <w:t xml:space="preserve">14.2 </w:t>
      </w:r>
      <w:r w:rsidRPr="0057756D">
        <w:rPr>
          <w:rFonts w:cs="Arial"/>
          <w:b/>
          <w:szCs w:val="20"/>
        </w:rPr>
        <w:t xml:space="preserve">Cíl: </w:t>
      </w:r>
      <w:r>
        <w:rPr>
          <w:rFonts w:cs="Arial"/>
          <w:b/>
          <w:szCs w:val="20"/>
        </w:rPr>
        <w:t xml:space="preserve">Zapojení organizací osob se zdravotním postižením </w:t>
      </w:r>
      <w:r w:rsidRPr="0057756D">
        <w:rPr>
          <w:rFonts w:cs="Arial"/>
          <w:b/>
          <w:szCs w:val="20"/>
        </w:rPr>
        <w:t xml:space="preserve">do mezinárodních aktivit. </w:t>
      </w:r>
    </w:p>
    <w:p w14:paraId="67EC2D47" w14:textId="77777777" w:rsidR="00F17E74" w:rsidRPr="0057756D" w:rsidRDefault="00F17E74" w:rsidP="00740F0F">
      <w:pPr>
        <w:rPr>
          <w:rFonts w:cs="Arial"/>
          <w:szCs w:val="20"/>
        </w:rPr>
      </w:pPr>
      <w:r w:rsidRPr="0035060D">
        <w:rPr>
          <w:rFonts w:cs="Arial"/>
          <w:bCs/>
          <w:szCs w:val="20"/>
        </w:rPr>
        <w:t xml:space="preserve">Opatření </w:t>
      </w:r>
      <w:r>
        <w:rPr>
          <w:rFonts w:cs="Arial"/>
          <w:bCs/>
          <w:szCs w:val="20"/>
        </w:rPr>
        <w:t>14</w:t>
      </w:r>
      <w:r>
        <w:rPr>
          <w:rFonts w:cs="Arial"/>
          <w:szCs w:val="20"/>
        </w:rPr>
        <w:t xml:space="preserve">.2.1 </w:t>
      </w:r>
      <w:r w:rsidRPr="0057756D">
        <w:rPr>
          <w:rFonts w:cs="Arial"/>
          <w:szCs w:val="20"/>
        </w:rPr>
        <w:t>V rámci dotačního programu Podpora veřejně prospěšných aktivit spolků zdravotně postižených podporovat mezinárodní spolupráci organizací osob se zdravotním postižením.</w:t>
      </w:r>
    </w:p>
    <w:p w14:paraId="6A91EC5C" w14:textId="77777777" w:rsidR="00F17E74" w:rsidRPr="0057756D" w:rsidRDefault="00F17E74" w:rsidP="00740F0F">
      <w:pPr>
        <w:rPr>
          <w:rFonts w:cs="Arial"/>
          <w:szCs w:val="20"/>
        </w:rPr>
      </w:pPr>
      <w:r w:rsidRPr="0057756D">
        <w:rPr>
          <w:rFonts w:cs="Arial"/>
          <w:szCs w:val="20"/>
        </w:rPr>
        <w:t>Termín: průběžně</w:t>
      </w:r>
    </w:p>
    <w:p w14:paraId="7B257104" w14:textId="77777777" w:rsidR="00F17E74" w:rsidRPr="0057756D" w:rsidRDefault="00F17E74" w:rsidP="00740F0F">
      <w:pPr>
        <w:rPr>
          <w:rFonts w:cs="Arial"/>
          <w:szCs w:val="20"/>
        </w:rPr>
      </w:pPr>
      <w:r w:rsidRPr="0057756D">
        <w:rPr>
          <w:rFonts w:cs="Arial"/>
          <w:szCs w:val="20"/>
        </w:rPr>
        <w:t xml:space="preserve">Gestor: ÚV </w:t>
      </w:r>
    </w:p>
    <w:p w14:paraId="666DA05C" w14:textId="32F38131" w:rsidR="00F17E74" w:rsidRDefault="00F17E74" w:rsidP="00740F0F">
      <w:pPr>
        <w:rPr>
          <w:rFonts w:cs="Arial"/>
          <w:szCs w:val="20"/>
        </w:rPr>
      </w:pPr>
      <w:r w:rsidRPr="00831152">
        <w:rPr>
          <w:rFonts w:cs="Arial"/>
          <w:szCs w:val="20"/>
        </w:rPr>
        <w:t>Indikátor:</w:t>
      </w:r>
      <w:r w:rsidRPr="00193A00">
        <w:rPr>
          <w:rFonts w:cs="Arial"/>
          <w:szCs w:val="20"/>
        </w:rPr>
        <w:t xml:space="preserve"> </w:t>
      </w:r>
      <w:r>
        <w:rPr>
          <w:rFonts w:cs="Arial"/>
          <w:szCs w:val="20"/>
        </w:rPr>
        <w:t>Dotační program obsahuje podporu uvedených aktivit.</w:t>
      </w:r>
    </w:p>
    <w:p w14:paraId="42AFF996" w14:textId="77777777" w:rsidR="00740F0F" w:rsidRPr="00743D9A" w:rsidRDefault="00740F0F" w:rsidP="00740F0F">
      <w:pPr>
        <w:rPr>
          <w:rFonts w:cs="Arial"/>
          <w:sz w:val="20"/>
          <w:szCs w:val="20"/>
        </w:rPr>
      </w:pPr>
    </w:p>
    <w:p w14:paraId="039F7001" w14:textId="7308EF1B" w:rsidR="00EA343D" w:rsidRPr="000E44D4" w:rsidRDefault="00EA343D" w:rsidP="00740F0F">
      <w:pPr>
        <w:tabs>
          <w:tab w:val="left" w:pos="720"/>
        </w:tabs>
        <w:rPr>
          <w:rFonts w:cs="Arial"/>
          <w:b/>
          <w:bCs/>
          <w:sz w:val="20"/>
          <w:szCs w:val="20"/>
          <w:lang w:eastAsia="cs-CZ"/>
        </w:rPr>
      </w:pPr>
      <w:r w:rsidRPr="000E44D4">
        <w:rPr>
          <w:rFonts w:cs="Arial"/>
          <w:b/>
          <w:bCs/>
          <w:sz w:val="20"/>
          <w:szCs w:val="20"/>
          <w:lang w:eastAsia="cs-CZ"/>
        </w:rPr>
        <w:t>PLNĚNÍ ÚV:</w:t>
      </w:r>
    </w:p>
    <w:p w14:paraId="1CDAF8AF" w14:textId="77777777" w:rsidR="000E44D4" w:rsidRPr="000E44D4" w:rsidRDefault="000E44D4" w:rsidP="000E44D4">
      <w:pPr>
        <w:pStyle w:val="Zpat"/>
        <w:tabs>
          <w:tab w:val="left" w:pos="0"/>
          <w:tab w:val="left" w:pos="720"/>
        </w:tabs>
        <w:spacing w:after="120"/>
        <w:rPr>
          <w:rFonts w:cs="Arial"/>
          <w:sz w:val="20"/>
          <w:szCs w:val="20"/>
        </w:rPr>
      </w:pPr>
      <w:r w:rsidRPr="000E44D4">
        <w:rPr>
          <w:rFonts w:cs="Arial"/>
          <w:sz w:val="20"/>
          <w:szCs w:val="20"/>
        </w:rPr>
        <w:t xml:space="preserve">Jednou ze čtyř podporovaných aktivit v rámci dotačního programu </w:t>
      </w:r>
      <w:r w:rsidRPr="000E44D4">
        <w:rPr>
          <w:rFonts w:cs="Arial"/>
          <w:iCs/>
          <w:sz w:val="20"/>
          <w:szCs w:val="20"/>
        </w:rPr>
        <w:t xml:space="preserve">Podpora veřejně prospěšných aktivit spolků osob se zdravotním postižením </w:t>
      </w:r>
      <w:r w:rsidRPr="000E44D4">
        <w:rPr>
          <w:rFonts w:cs="Arial"/>
          <w:sz w:val="20"/>
          <w:szCs w:val="20"/>
        </w:rPr>
        <w:t>pro rok 2023, který byl vyhlášen Úřadem vlády ČR, byla mezinárodní spolupráce v oblasti vyrovnávání příležitostí pro osoby se zdravotním postižením.</w:t>
      </w:r>
    </w:p>
    <w:p w14:paraId="17831071" w14:textId="77777777" w:rsidR="000E44D4" w:rsidRPr="000E44D4" w:rsidRDefault="000E44D4" w:rsidP="000E44D4">
      <w:pPr>
        <w:pStyle w:val="Zpat"/>
        <w:tabs>
          <w:tab w:val="left" w:pos="0"/>
          <w:tab w:val="left" w:pos="720"/>
        </w:tabs>
        <w:spacing w:after="120"/>
        <w:rPr>
          <w:rFonts w:cs="Arial"/>
          <w:sz w:val="20"/>
          <w:szCs w:val="20"/>
        </w:rPr>
      </w:pPr>
      <w:r w:rsidRPr="000E44D4">
        <w:rPr>
          <w:rFonts w:cs="Arial"/>
          <w:sz w:val="20"/>
          <w:szCs w:val="20"/>
        </w:rPr>
        <w:lastRenderedPageBreak/>
        <w:t>Dotace byly poskytnuty na náklady, které příjemci vznikají na základě jeho členství v mezinárodních organizacích působících v oblasti podpory osob se zdravotním postižením. Z dotace bylo možno hradit příjemcům roční členské poplatky v mezinárodních organizacích, náklady spojené se zajišťováním překladů důležitých dokumentů, zpřístupňováním informací ze zahraničí apod. Dále byly dotovány náklady na zahraniční cesty, pokud souvisely se základním zaměřením činnosti příjemců či s jejich členstvím v mezinárodních organizacích. Z dotace bylo možno hradit náklady na dopravu, ubytování a další nezbytné náklady (stravu a veřejnou hromadnou dopravu) během zahraničního pobytu.</w:t>
      </w:r>
    </w:p>
    <w:p w14:paraId="46669A21" w14:textId="26041758" w:rsidR="000E44D4" w:rsidRPr="000E44D4" w:rsidRDefault="000E44D4" w:rsidP="000932A6">
      <w:pPr>
        <w:pStyle w:val="Zpat"/>
        <w:spacing w:after="120"/>
        <w:rPr>
          <w:rFonts w:cs="Arial"/>
          <w:sz w:val="20"/>
          <w:szCs w:val="20"/>
        </w:rPr>
      </w:pPr>
      <w:r w:rsidRPr="000E44D4">
        <w:rPr>
          <w:rFonts w:cs="Arial"/>
          <w:sz w:val="20"/>
          <w:szCs w:val="20"/>
        </w:rPr>
        <w:t xml:space="preserve">V roce 2023 bylo podpořeno 17 spolků, které se v rámci projektu účastnily zahraničních konferencí, seminářů atd., 19 spolků hradilo z projektu poplatky za členství v mezinárodních organizacích (celkem ve 30 mezinárodních organizacích). </w:t>
      </w:r>
    </w:p>
    <w:p w14:paraId="7674F250" w14:textId="109B69B5" w:rsidR="001B7C88" w:rsidRPr="000932A6" w:rsidRDefault="00EA343D" w:rsidP="000932A6">
      <w:pPr>
        <w:rPr>
          <w:rFonts w:cs="Arial"/>
          <w:sz w:val="20"/>
          <w:szCs w:val="20"/>
        </w:rPr>
      </w:pPr>
      <w:r w:rsidRPr="000E44D4">
        <w:rPr>
          <w:rFonts w:cs="Arial"/>
          <w:b/>
          <w:bCs/>
          <w:sz w:val="20"/>
          <w:szCs w:val="20"/>
          <w:lang w:eastAsia="cs-CZ"/>
        </w:rPr>
        <w:t>STANOVISKO K PLNĚNÍ:</w:t>
      </w:r>
      <w:r w:rsidR="00405947" w:rsidRPr="000E44D4">
        <w:rPr>
          <w:rFonts w:cs="Arial"/>
          <w:b/>
          <w:bCs/>
          <w:sz w:val="20"/>
          <w:szCs w:val="20"/>
          <w:lang w:eastAsia="cs-CZ"/>
        </w:rPr>
        <w:t xml:space="preserve"> Plněno.</w:t>
      </w:r>
    </w:p>
    <w:p w14:paraId="1AD55FA3" w14:textId="77777777" w:rsidR="001B7C88" w:rsidRPr="00C649F7" w:rsidRDefault="001B7C88" w:rsidP="000932A6">
      <w:pPr>
        <w:rPr>
          <w:rFonts w:cs="Arial"/>
          <w:sz w:val="20"/>
          <w:szCs w:val="20"/>
        </w:rPr>
      </w:pPr>
    </w:p>
    <w:p w14:paraId="241CAA02" w14:textId="670102C6" w:rsidR="00C80398" w:rsidRPr="00580529" w:rsidRDefault="00F17E74" w:rsidP="00F17E74">
      <w:pPr>
        <w:rPr>
          <w:rFonts w:cs="Arial"/>
          <w:b/>
          <w:bCs/>
          <w:szCs w:val="20"/>
        </w:rPr>
      </w:pPr>
      <w:r w:rsidRPr="00AA5EF7">
        <w:rPr>
          <w:rFonts w:cs="Arial"/>
          <w:b/>
          <w:bCs/>
          <w:szCs w:val="20"/>
        </w:rPr>
        <w:t>14.4 Cíl: Osoby se zdravotním postižením mají zajištěny podmínky k výkonu volebního práva.</w:t>
      </w:r>
    </w:p>
    <w:p w14:paraId="5EDC8DF0" w14:textId="77777777" w:rsidR="00F17E74" w:rsidRDefault="00F17E74" w:rsidP="0032571F">
      <w:pPr>
        <w:rPr>
          <w:rFonts w:cs="Arial"/>
          <w:bCs/>
          <w:szCs w:val="20"/>
        </w:rPr>
      </w:pPr>
      <w:r w:rsidRPr="0035060D">
        <w:rPr>
          <w:rFonts w:cs="Arial"/>
          <w:bCs/>
          <w:szCs w:val="20"/>
        </w:rPr>
        <w:t xml:space="preserve">Opatření </w:t>
      </w:r>
      <w:r>
        <w:rPr>
          <w:rFonts w:cs="Arial"/>
          <w:bCs/>
          <w:szCs w:val="20"/>
        </w:rPr>
        <w:t>14</w:t>
      </w:r>
      <w:r>
        <w:rPr>
          <w:rFonts w:cs="Arial"/>
          <w:szCs w:val="20"/>
        </w:rPr>
        <w:t xml:space="preserve">.4.3 </w:t>
      </w:r>
      <w:r w:rsidRPr="000678A5">
        <w:rPr>
          <w:rFonts w:cs="Arial"/>
          <w:bCs/>
          <w:szCs w:val="20"/>
        </w:rPr>
        <w:t>Poskytnout okrskovým volebním komisím metodickou podporu pro jednání s osobami se zdravotním postižením, včetně postupů při hlasování do přenosné volební schránky.</w:t>
      </w:r>
    </w:p>
    <w:p w14:paraId="2EE2EBCF" w14:textId="29771AAB" w:rsidR="008C0EBF" w:rsidRPr="008C0EBF" w:rsidRDefault="008C0EBF" w:rsidP="0032571F">
      <w:pPr>
        <w:rPr>
          <w:rFonts w:cs="Arial"/>
          <w:szCs w:val="20"/>
        </w:rPr>
      </w:pPr>
      <w:r>
        <w:rPr>
          <w:rFonts w:cs="Arial"/>
          <w:szCs w:val="20"/>
        </w:rPr>
        <w:t xml:space="preserve">Termín: </w:t>
      </w:r>
      <w:proofErr w:type="gramStart"/>
      <w:r>
        <w:rPr>
          <w:rFonts w:cs="Arial"/>
          <w:szCs w:val="20"/>
        </w:rPr>
        <w:t>31.12.2021</w:t>
      </w:r>
      <w:proofErr w:type="gramEnd"/>
      <w:r>
        <w:rPr>
          <w:rFonts w:cs="Arial"/>
          <w:szCs w:val="20"/>
        </w:rPr>
        <w:t>, dále</w:t>
      </w:r>
      <w:r w:rsidRPr="000678A5">
        <w:rPr>
          <w:rFonts w:cs="Arial"/>
          <w:szCs w:val="20"/>
        </w:rPr>
        <w:t xml:space="preserve"> průběžně</w:t>
      </w:r>
    </w:p>
    <w:p w14:paraId="4E3E2380" w14:textId="77777777" w:rsidR="00F17E74" w:rsidRPr="000678A5" w:rsidRDefault="00F17E74" w:rsidP="0032571F">
      <w:pPr>
        <w:rPr>
          <w:rFonts w:cs="Arial"/>
          <w:szCs w:val="20"/>
        </w:rPr>
      </w:pPr>
      <w:r w:rsidRPr="0032571F">
        <w:rPr>
          <w:rFonts w:cs="Arial"/>
          <w:szCs w:val="20"/>
        </w:rPr>
        <w:t>Gestor: MV</w:t>
      </w:r>
    </w:p>
    <w:p w14:paraId="40E4D43F" w14:textId="29608862" w:rsidR="00F17E74" w:rsidRPr="000678A5" w:rsidRDefault="008D03A4" w:rsidP="0032571F">
      <w:pPr>
        <w:rPr>
          <w:rFonts w:cs="Arial"/>
          <w:szCs w:val="20"/>
        </w:rPr>
      </w:pPr>
      <w:r>
        <w:rPr>
          <w:rFonts w:cs="Arial"/>
          <w:szCs w:val="20"/>
        </w:rPr>
        <w:t>Spolugestor</w:t>
      </w:r>
      <w:r w:rsidR="00F17E74" w:rsidRPr="000678A5">
        <w:rPr>
          <w:rFonts w:cs="Arial"/>
          <w:szCs w:val="20"/>
        </w:rPr>
        <w:t xml:space="preserve">: MPSV, </w:t>
      </w:r>
      <w:r w:rsidR="00F17E74" w:rsidRPr="00A05D9D">
        <w:rPr>
          <w:rFonts w:cs="Arial"/>
          <w:szCs w:val="20"/>
        </w:rPr>
        <w:t>MZ</w:t>
      </w:r>
    </w:p>
    <w:p w14:paraId="4E586AAD" w14:textId="7A46295F" w:rsidR="00F17E74" w:rsidRDefault="00F17E74" w:rsidP="0032571F">
      <w:pPr>
        <w:rPr>
          <w:rFonts w:cs="Arial"/>
          <w:szCs w:val="20"/>
        </w:rPr>
      </w:pPr>
      <w:r w:rsidRPr="000678A5">
        <w:rPr>
          <w:rFonts w:cs="Arial"/>
          <w:szCs w:val="20"/>
        </w:rPr>
        <w:t>Indikátor: Jsou zpracovány metodické materiály pro okrskové volební komise</w:t>
      </w:r>
      <w:r>
        <w:rPr>
          <w:rFonts w:cs="Arial"/>
          <w:szCs w:val="20"/>
        </w:rPr>
        <w:t xml:space="preserve"> s uvedenými </w:t>
      </w:r>
      <w:r w:rsidRPr="00E16939">
        <w:rPr>
          <w:rFonts w:cs="Arial"/>
          <w:bCs/>
          <w:szCs w:val="20"/>
        </w:rPr>
        <w:t>informacemi</w:t>
      </w:r>
      <w:r>
        <w:rPr>
          <w:rFonts w:cs="Arial"/>
          <w:szCs w:val="20"/>
        </w:rPr>
        <w:t>.</w:t>
      </w:r>
    </w:p>
    <w:p w14:paraId="70AE1772" w14:textId="77777777" w:rsidR="0032571F" w:rsidRPr="008C0EA3" w:rsidRDefault="0032571F" w:rsidP="0032571F">
      <w:pPr>
        <w:rPr>
          <w:rFonts w:cs="Arial"/>
          <w:sz w:val="20"/>
          <w:szCs w:val="20"/>
        </w:rPr>
      </w:pPr>
    </w:p>
    <w:p w14:paraId="3C9F1490" w14:textId="4377EC7E" w:rsidR="0032571F" w:rsidRPr="004548D0" w:rsidRDefault="0032571F" w:rsidP="004548D0">
      <w:pPr>
        <w:tabs>
          <w:tab w:val="left" w:pos="720"/>
        </w:tabs>
        <w:rPr>
          <w:rFonts w:cs="Arial"/>
          <w:b/>
          <w:bCs/>
          <w:sz w:val="20"/>
          <w:szCs w:val="20"/>
          <w:lang w:eastAsia="cs-CZ"/>
        </w:rPr>
      </w:pPr>
      <w:r w:rsidRPr="004548D0">
        <w:rPr>
          <w:rFonts w:cs="Arial"/>
          <w:b/>
          <w:bCs/>
          <w:sz w:val="20"/>
          <w:szCs w:val="20"/>
          <w:lang w:eastAsia="cs-CZ"/>
        </w:rPr>
        <w:t>PLNĚNÍ MV:</w:t>
      </w:r>
    </w:p>
    <w:p w14:paraId="693A6C77" w14:textId="77777777" w:rsidR="004548D0" w:rsidRPr="007B3030" w:rsidRDefault="004548D0" w:rsidP="004548D0">
      <w:pPr>
        <w:rPr>
          <w:rFonts w:cs="Arial"/>
          <w:sz w:val="20"/>
          <w:szCs w:val="20"/>
        </w:rPr>
      </w:pPr>
      <w:r w:rsidRPr="007B3030">
        <w:rPr>
          <w:rFonts w:cs="Arial"/>
          <w:sz w:val="20"/>
          <w:szCs w:val="20"/>
        </w:rPr>
        <w:t>Konkrétní výstupy v roce 2023:</w:t>
      </w:r>
    </w:p>
    <w:p w14:paraId="59A42DDF" w14:textId="3C10B690" w:rsidR="004548D0" w:rsidRPr="004548D0" w:rsidRDefault="004548D0" w:rsidP="004548D0">
      <w:pPr>
        <w:rPr>
          <w:rFonts w:cs="Arial"/>
          <w:sz w:val="20"/>
          <w:szCs w:val="20"/>
        </w:rPr>
      </w:pPr>
      <w:r w:rsidRPr="004548D0">
        <w:rPr>
          <w:rFonts w:cs="Arial"/>
          <w:sz w:val="20"/>
          <w:szCs w:val="20"/>
        </w:rPr>
        <w:t xml:space="preserve">Okrskové volební komise jsou v této oblasti instruovány v rámci </w:t>
      </w:r>
      <w:r w:rsidRPr="004548D0">
        <w:rPr>
          <w:rFonts w:cs="Arial"/>
          <w:b/>
          <w:sz w:val="20"/>
          <w:szCs w:val="20"/>
        </w:rPr>
        <w:t>školení k zásadám hlasování</w:t>
      </w:r>
      <w:r w:rsidRPr="004548D0">
        <w:rPr>
          <w:rFonts w:cs="Arial"/>
          <w:sz w:val="20"/>
          <w:szCs w:val="20"/>
        </w:rPr>
        <w:t xml:space="preserve">, které zajišťují pověřené obecní úřady, a formou </w:t>
      </w:r>
      <w:r w:rsidRPr="004548D0">
        <w:rPr>
          <w:rFonts w:cs="Arial"/>
          <w:b/>
          <w:sz w:val="20"/>
          <w:szCs w:val="20"/>
        </w:rPr>
        <w:t>instruktážního videopořadu</w:t>
      </w:r>
      <w:r w:rsidRPr="004548D0">
        <w:rPr>
          <w:rFonts w:cs="Arial"/>
          <w:sz w:val="20"/>
          <w:szCs w:val="20"/>
        </w:rPr>
        <w:t xml:space="preserve"> k činnosti okrskové volební komise, který vytváří Ministerstvo vnitra ve spolupráci s Českým statistickým úřadem. Takto bylo postupováno i před volbou prezidenta republiky v lednu 2023 s tím, že termíny školení členů okrskových volebních komisí připadly na závěr roku 2022.  </w:t>
      </w:r>
    </w:p>
    <w:p w14:paraId="04B89FE0" w14:textId="68387512" w:rsidR="004548D0" w:rsidRPr="004548D0" w:rsidRDefault="004548D0" w:rsidP="004548D0">
      <w:pPr>
        <w:rPr>
          <w:rFonts w:cs="Arial"/>
          <w:sz w:val="20"/>
          <w:szCs w:val="20"/>
        </w:rPr>
      </w:pPr>
      <w:r w:rsidRPr="004548D0">
        <w:rPr>
          <w:rFonts w:cs="Arial"/>
          <w:sz w:val="20"/>
          <w:szCs w:val="20"/>
        </w:rPr>
        <w:t xml:space="preserve">Obdobně bylo postupováno v nových, dodatečných nebo opakovaných volbách do zastupitelstev obcí, které se konaly v roce 2023 v celkem 76 obcích. </w:t>
      </w:r>
    </w:p>
    <w:p w14:paraId="7E043580" w14:textId="58F02DAC" w:rsidR="004548D0" w:rsidRPr="007B3030" w:rsidRDefault="004548D0" w:rsidP="004548D0">
      <w:pPr>
        <w:rPr>
          <w:rFonts w:cs="Arial"/>
          <w:bCs/>
          <w:sz w:val="20"/>
          <w:szCs w:val="20"/>
        </w:rPr>
      </w:pPr>
      <w:r w:rsidRPr="007B3030">
        <w:rPr>
          <w:rFonts w:cs="Arial"/>
          <w:bCs/>
          <w:sz w:val="20"/>
          <w:szCs w:val="20"/>
        </w:rPr>
        <w:t>Forma spolupráce se spolugestory:</w:t>
      </w:r>
    </w:p>
    <w:p w14:paraId="5124EF6F" w14:textId="035AC0FB" w:rsidR="004548D0" w:rsidRPr="007B3030" w:rsidRDefault="004548D0" w:rsidP="004548D0">
      <w:pPr>
        <w:rPr>
          <w:rFonts w:cs="Arial"/>
          <w:sz w:val="20"/>
          <w:szCs w:val="20"/>
        </w:rPr>
      </w:pPr>
      <w:r w:rsidRPr="004548D0">
        <w:rPr>
          <w:rFonts w:cs="Arial"/>
          <w:sz w:val="20"/>
          <w:szCs w:val="20"/>
        </w:rPr>
        <w:t xml:space="preserve">Ministerstvo </w:t>
      </w:r>
      <w:r w:rsidRPr="00426242">
        <w:rPr>
          <w:rFonts w:cs="Arial"/>
          <w:sz w:val="20"/>
          <w:szCs w:val="20"/>
        </w:rPr>
        <w:t>vnitra ve spolupráci s Ministerstvem práce a sociálních věcí pokračovalo v postupech</w:t>
      </w:r>
      <w:r w:rsidRPr="004548D0">
        <w:rPr>
          <w:rFonts w:cs="Arial"/>
          <w:sz w:val="20"/>
          <w:szCs w:val="20"/>
        </w:rPr>
        <w:t xml:space="preserve"> zavedených již v roce 2021 </w:t>
      </w:r>
      <w:r w:rsidRPr="00426242">
        <w:rPr>
          <w:rFonts w:cs="Arial"/>
          <w:sz w:val="20"/>
          <w:szCs w:val="20"/>
        </w:rPr>
        <w:t>Metodikou k podpoře volebního práva osob se zdravotním postižením využívajících pobytové sociální služby.</w:t>
      </w:r>
      <w:r w:rsidRPr="004548D0">
        <w:rPr>
          <w:rFonts w:cs="Arial"/>
          <w:i/>
          <w:sz w:val="20"/>
          <w:szCs w:val="20"/>
        </w:rPr>
        <w:t xml:space="preserve"> </w:t>
      </w:r>
      <w:r w:rsidRPr="004548D0">
        <w:rPr>
          <w:rFonts w:cs="Arial"/>
          <w:sz w:val="20"/>
          <w:szCs w:val="20"/>
        </w:rPr>
        <w:t xml:space="preserve">Cílem této metodiky je nabídnout poskytovatelům, kteří poskytují sociální služby pobytovou formou určitý návod, jak postupovat při podpoře a vytvoření podmínek pro realizaci volebního práva jejich klientů, především pak osob se zdravotním postižením. </w:t>
      </w:r>
    </w:p>
    <w:p w14:paraId="11024AF8" w14:textId="77777777" w:rsidR="004548D0" w:rsidRPr="004548D0" w:rsidRDefault="004548D0" w:rsidP="004548D0">
      <w:pPr>
        <w:rPr>
          <w:rFonts w:cs="Arial"/>
          <w:sz w:val="20"/>
          <w:szCs w:val="20"/>
        </w:rPr>
      </w:pPr>
      <w:r w:rsidRPr="004548D0">
        <w:rPr>
          <w:rFonts w:cs="Arial"/>
          <w:sz w:val="20"/>
          <w:szCs w:val="20"/>
        </w:rPr>
        <w:t xml:space="preserve">Je poskytována metodická podpora okrskovým volebním komisím, např. instruktážní videopořad pro členy okrskových volebních </w:t>
      </w:r>
      <w:proofErr w:type="gramStart"/>
      <w:r w:rsidRPr="004548D0">
        <w:rPr>
          <w:rFonts w:cs="Arial"/>
          <w:sz w:val="20"/>
          <w:szCs w:val="20"/>
        </w:rPr>
        <w:t>komisích</w:t>
      </w:r>
      <w:proofErr w:type="gramEnd"/>
      <w:r w:rsidRPr="004548D0">
        <w:rPr>
          <w:rFonts w:cs="Arial"/>
          <w:sz w:val="20"/>
          <w:szCs w:val="20"/>
        </w:rPr>
        <w:t xml:space="preserve"> ve volbě prezidenta republiky v roce 2023. Videopořady na </w:t>
      </w:r>
      <w:proofErr w:type="gramStart"/>
      <w:r w:rsidRPr="004548D0">
        <w:rPr>
          <w:rFonts w:cs="Arial"/>
          <w:sz w:val="20"/>
          <w:szCs w:val="20"/>
        </w:rPr>
        <w:t>www</w:t>
      </w:r>
      <w:proofErr w:type="gramEnd"/>
      <w:r w:rsidRPr="004548D0">
        <w:rPr>
          <w:rFonts w:cs="Arial"/>
          <w:sz w:val="20"/>
          <w:szCs w:val="20"/>
        </w:rPr>
        <w:t>.</w:t>
      </w:r>
      <w:proofErr w:type="gramStart"/>
      <w:r w:rsidRPr="004548D0">
        <w:rPr>
          <w:rFonts w:cs="Arial"/>
          <w:sz w:val="20"/>
          <w:szCs w:val="20"/>
        </w:rPr>
        <w:t>volby</w:t>
      </w:r>
      <w:proofErr w:type="gramEnd"/>
      <w:r w:rsidRPr="004548D0">
        <w:rPr>
          <w:rFonts w:cs="Arial"/>
          <w:sz w:val="20"/>
          <w:szCs w:val="20"/>
        </w:rPr>
        <w:t xml:space="preserve">.cz jsou zveřejněny vždy jen v období konkrétních voleb, k dispozici jsou i na platformě </w:t>
      </w:r>
      <w:r w:rsidRPr="004548D0">
        <w:rPr>
          <w:rFonts w:cs="Arial"/>
          <w:i/>
          <w:iCs/>
          <w:sz w:val="20"/>
          <w:szCs w:val="20"/>
        </w:rPr>
        <w:t>YouTube</w:t>
      </w:r>
      <w:r w:rsidRPr="004548D0">
        <w:rPr>
          <w:rFonts w:cs="Arial"/>
          <w:sz w:val="20"/>
          <w:szCs w:val="20"/>
        </w:rPr>
        <w:t>:</w:t>
      </w:r>
    </w:p>
    <w:p w14:paraId="3E939B58" w14:textId="2002D72D" w:rsidR="003A34E1" w:rsidRPr="004548D0" w:rsidRDefault="007C49CB" w:rsidP="004548D0">
      <w:pPr>
        <w:tabs>
          <w:tab w:val="left" w:pos="720"/>
        </w:tabs>
        <w:rPr>
          <w:rFonts w:cs="Arial"/>
          <w:b/>
          <w:bCs/>
          <w:sz w:val="20"/>
          <w:szCs w:val="20"/>
          <w:lang w:eastAsia="cs-CZ"/>
        </w:rPr>
      </w:pPr>
      <w:hyperlink r:id="rId119" w:history="1">
        <w:r w:rsidR="004548D0" w:rsidRPr="004548D0">
          <w:rPr>
            <w:rStyle w:val="Hypertextovodkaz"/>
            <w:rFonts w:cs="Arial"/>
            <w:sz w:val="20"/>
            <w:szCs w:val="20"/>
          </w:rPr>
          <w:t>Videopořad pro volbu prezidenta republiky 2023 (youtube.com)</w:t>
        </w:r>
      </w:hyperlink>
      <w:r w:rsidR="004548D0" w:rsidRPr="004548D0">
        <w:rPr>
          <w:rFonts w:cs="Arial"/>
          <w:sz w:val="20"/>
          <w:szCs w:val="20"/>
        </w:rPr>
        <w:t xml:space="preserve"> – hlasování do přenosné volební schránky je v kapitole 2, čas videopořadu: 5:50 min).</w:t>
      </w:r>
    </w:p>
    <w:p w14:paraId="4D2B32EA" w14:textId="3794344E" w:rsidR="0032571F" w:rsidRPr="004548D0" w:rsidRDefault="00903489" w:rsidP="004548D0">
      <w:pPr>
        <w:keepNext/>
        <w:tabs>
          <w:tab w:val="left" w:pos="720"/>
        </w:tabs>
        <w:rPr>
          <w:rFonts w:cs="Arial"/>
          <w:b/>
          <w:bCs/>
          <w:sz w:val="20"/>
          <w:szCs w:val="20"/>
          <w:lang w:eastAsia="cs-CZ"/>
        </w:rPr>
      </w:pPr>
      <w:r w:rsidRPr="004548D0">
        <w:rPr>
          <w:rFonts w:cs="Arial"/>
          <w:b/>
          <w:bCs/>
          <w:sz w:val="20"/>
          <w:szCs w:val="20"/>
          <w:lang w:eastAsia="cs-CZ"/>
        </w:rPr>
        <w:t>STANOVISKO K PLNĚNÍ: P</w:t>
      </w:r>
      <w:r w:rsidR="0032571F" w:rsidRPr="004548D0">
        <w:rPr>
          <w:rFonts w:cs="Arial"/>
          <w:b/>
          <w:bCs/>
          <w:sz w:val="20"/>
          <w:szCs w:val="20"/>
          <w:lang w:eastAsia="cs-CZ"/>
        </w:rPr>
        <w:t>lněno.</w:t>
      </w:r>
    </w:p>
    <w:p w14:paraId="0A0CCBCF" w14:textId="77777777" w:rsidR="0032571F" w:rsidRPr="008C0EA3" w:rsidRDefault="0032571F" w:rsidP="00960BF3">
      <w:pPr>
        <w:rPr>
          <w:rFonts w:cs="Arial"/>
          <w:sz w:val="20"/>
          <w:szCs w:val="20"/>
        </w:rPr>
      </w:pPr>
    </w:p>
    <w:p w14:paraId="440F1FB6" w14:textId="11C1CEC4" w:rsidR="00063D7B" w:rsidRPr="00C67D2F" w:rsidRDefault="00063D7B" w:rsidP="00960BF3">
      <w:pPr>
        <w:keepNext/>
        <w:tabs>
          <w:tab w:val="left" w:pos="720"/>
        </w:tabs>
        <w:rPr>
          <w:rFonts w:cs="Arial"/>
          <w:b/>
          <w:bCs/>
          <w:sz w:val="20"/>
          <w:szCs w:val="20"/>
          <w:lang w:eastAsia="cs-CZ"/>
        </w:rPr>
      </w:pPr>
      <w:r w:rsidRPr="00C67D2F">
        <w:rPr>
          <w:rFonts w:cs="Arial"/>
          <w:b/>
          <w:bCs/>
          <w:sz w:val="20"/>
          <w:szCs w:val="20"/>
          <w:lang w:eastAsia="cs-CZ"/>
        </w:rPr>
        <w:lastRenderedPageBreak/>
        <w:t>PLNĚNÍ MPSV:</w:t>
      </w:r>
    </w:p>
    <w:p w14:paraId="098C40A5" w14:textId="77777777" w:rsidR="00C67D2F" w:rsidRPr="00C67D2F" w:rsidRDefault="00C67D2F" w:rsidP="00C67D2F">
      <w:pPr>
        <w:rPr>
          <w:rFonts w:cs="Arial"/>
          <w:bCs/>
          <w:sz w:val="20"/>
          <w:szCs w:val="20"/>
        </w:rPr>
      </w:pPr>
      <w:r w:rsidRPr="00C67D2F">
        <w:rPr>
          <w:rFonts w:cs="Arial"/>
          <w:bCs/>
          <w:sz w:val="20"/>
          <w:szCs w:val="20"/>
        </w:rPr>
        <w:t>Na plnění tohoto opatření spolupracuje MPSV dlouhodobě s MV. V rámci této spolupráce vydalo v roce 2021 MV materiál „Metodika k podpoře volebního práva osob se zdravotním postižením využívajících pobytové sociální služby“, určenou především pro zařízení poskytující sociální služby pobytovou formou. Šlo o zajištění volebního práva uživatelů do voleb do Poslanecké sněmovny Parlamentu ČR, které se konaly ve dnech 8. a 9. října 2021.</w:t>
      </w:r>
    </w:p>
    <w:p w14:paraId="5325FDCF" w14:textId="6391B733" w:rsidR="00C67D2F" w:rsidRPr="00C67D2F" w:rsidRDefault="00C67D2F" w:rsidP="00C67D2F">
      <w:pPr>
        <w:rPr>
          <w:rFonts w:cs="Arial"/>
          <w:bCs/>
          <w:sz w:val="20"/>
          <w:szCs w:val="20"/>
        </w:rPr>
      </w:pPr>
      <w:r w:rsidRPr="00C67D2F">
        <w:rPr>
          <w:rFonts w:cs="Arial"/>
          <w:bCs/>
          <w:sz w:val="20"/>
          <w:szCs w:val="20"/>
        </w:rPr>
        <w:t xml:space="preserve">Uvedená metodika má však obecnou platnost, tj. lze ji využít u zajištění podmínek a podpory klientů pobytových zařízení sociálních služeb při výkonu jejich volebního práva u všech druhů voleb. Cílem metodiky je nabídnout poskytovatelům, kteří poskytují sociální služby pobytovou formou určitý návod, jak postupovat při podpoře a vytvoření podmínek pro realizaci volebního práva jejich uživatelů, především pak osob se ZP. </w:t>
      </w:r>
    </w:p>
    <w:p w14:paraId="2591C02A" w14:textId="4BF22406" w:rsidR="00063D7B" w:rsidRPr="00C67D2F" w:rsidRDefault="00063D7B" w:rsidP="00960BF3">
      <w:pPr>
        <w:keepNext/>
        <w:tabs>
          <w:tab w:val="left" w:pos="720"/>
        </w:tabs>
        <w:rPr>
          <w:rFonts w:cs="Arial"/>
          <w:b/>
          <w:bCs/>
          <w:sz w:val="20"/>
          <w:szCs w:val="20"/>
          <w:lang w:eastAsia="cs-CZ"/>
        </w:rPr>
      </w:pPr>
      <w:r w:rsidRPr="00C67D2F">
        <w:rPr>
          <w:rFonts w:cs="Arial"/>
          <w:b/>
          <w:bCs/>
          <w:sz w:val="20"/>
          <w:szCs w:val="20"/>
          <w:lang w:eastAsia="cs-CZ"/>
        </w:rPr>
        <w:t>STANOVISKO K PLNĚNÍ:</w:t>
      </w:r>
      <w:r w:rsidR="00D4126B" w:rsidRPr="00C67D2F">
        <w:rPr>
          <w:rFonts w:cs="Arial"/>
          <w:b/>
          <w:bCs/>
          <w:sz w:val="20"/>
          <w:szCs w:val="20"/>
          <w:lang w:eastAsia="cs-CZ"/>
        </w:rPr>
        <w:t xml:space="preserve"> P</w:t>
      </w:r>
      <w:r w:rsidR="00C302DD" w:rsidRPr="00C67D2F">
        <w:rPr>
          <w:rFonts w:cs="Arial"/>
          <w:b/>
          <w:bCs/>
          <w:sz w:val="20"/>
          <w:szCs w:val="20"/>
          <w:lang w:eastAsia="cs-CZ"/>
        </w:rPr>
        <w:t>lněno.</w:t>
      </w:r>
    </w:p>
    <w:p w14:paraId="3A00CCF5" w14:textId="30BF25F9" w:rsidR="008977B3" w:rsidRPr="00960BF3" w:rsidRDefault="008977B3" w:rsidP="00960BF3">
      <w:pPr>
        <w:rPr>
          <w:rFonts w:cs="Arial"/>
          <w:sz w:val="20"/>
          <w:szCs w:val="20"/>
        </w:rPr>
      </w:pPr>
    </w:p>
    <w:p w14:paraId="52F239D6" w14:textId="3DF9A4D4" w:rsidR="000923B4" w:rsidRPr="00150802" w:rsidRDefault="000923B4" w:rsidP="00150802">
      <w:pPr>
        <w:tabs>
          <w:tab w:val="left" w:pos="720"/>
        </w:tabs>
        <w:rPr>
          <w:rFonts w:cs="Arial"/>
          <w:b/>
          <w:bCs/>
          <w:sz w:val="20"/>
          <w:szCs w:val="20"/>
          <w:lang w:eastAsia="cs-CZ"/>
        </w:rPr>
      </w:pPr>
      <w:r w:rsidRPr="00150802">
        <w:rPr>
          <w:rFonts w:cs="Arial"/>
          <w:b/>
          <w:bCs/>
          <w:sz w:val="20"/>
          <w:szCs w:val="20"/>
          <w:lang w:eastAsia="cs-CZ"/>
        </w:rPr>
        <w:t>PLNĚNÍ MZ:</w:t>
      </w:r>
    </w:p>
    <w:p w14:paraId="748E758C" w14:textId="645A717D" w:rsidR="00150802" w:rsidRPr="00150802" w:rsidRDefault="00150802" w:rsidP="00150802">
      <w:pPr>
        <w:rPr>
          <w:rFonts w:cs="Arial"/>
          <w:color w:val="000000" w:themeColor="text1"/>
          <w:sz w:val="20"/>
          <w:szCs w:val="20"/>
        </w:rPr>
      </w:pPr>
      <w:r w:rsidRPr="00150802">
        <w:rPr>
          <w:rFonts w:cs="Arial"/>
          <w:color w:val="000000" w:themeColor="text1"/>
          <w:sz w:val="20"/>
          <w:szCs w:val="20"/>
        </w:rPr>
        <w:t xml:space="preserve">Ministerstvo zdravotnictví nebylo osloveno gestorem opatření ke spolupráci, nicméně je připraveno poskytnout v případě vyzvání veškerou potřebnou součinnost potřebnou vztahující se k působnosti MZ. </w:t>
      </w:r>
    </w:p>
    <w:p w14:paraId="259C82B1" w14:textId="22BD82ED" w:rsidR="00307237" w:rsidRPr="00150802" w:rsidRDefault="000923B4" w:rsidP="00150802">
      <w:pPr>
        <w:rPr>
          <w:rFonts w:cs="Arial"/>
          <w:b/>
          <w:sz w:val="20"/>
          <w:szCs w:val="20"/>
        </w:rPr>
      </w:pPr>
      <w:r w:rsidRPr="00150802">
        <w:rPr>
          <w:rFonts w:cs="Arial"/>
          <w:b/>
          <w:bCs/>
          <w:sz w:val="20"/>
          <w:szCs w:val="20"/>
          <w:lang w:eastAsia="cs-CZ"/>
        </w:rPr>
        <w:t>STANOVISKO K PLNĚNÍ:</w:t>
      </w:r>
      <w:r w:rsidR="00307237" w:rsidRPr="00150802">
        <w:rPr>
          <w:rFonts w:cs="Arial"/>
          <w:b/>
          <w:bCs/>
          <w:sz w:val="20"/>
          <w:szCs w:val="20"/>
          <w:lang w:eastAsia="cs-CZ"/>
        </w:rPr>
        <w:t xml:space="preserve"> </w:t>
      </w:r>
      <w:r w:rsidR="0039741D" w:rsidRPr="00150802">
        <w:rPr>
          <w:rFonts w:cs="Arial"/>
          <w:b/>
          <w:bCs/>
          <w:sz w:val="20"/>
          <w:szCs w:val="20"/>
          <w:lang w:eastAsia="cs-CZ"/>
        </w:rPr>
        <w:t>P</w:t>
      </w:r>
      <w:r w:rsidR="00C302DD" w:rsidRPr="00150802">
        <w:rPr>
          <w:rFonts w:cs="Arial"/>
          <w:b/>
          <w:bCs/>
          <w:sz w:val="20"/>
          <w:szCs w:val="20"/>
          <w:lang w:eastAsia="cs-CZ"/>
        </w:rPr>
        <w:t>lněno.</w:t>
      </w:r>
    </w:p>
    <w:p w14:paraId="7FE92385" w14:textId="6A9F1AC1" w:rsidR="000923B4" w:rsidRPr="00960BF3" w:rsidRDefault="000923B4" w:rsidP="00960BF3">
      <w:pPr>
        <w:rPr>
          <w:rFonts w:cs="Arial"/>
          <w:sz w:val="20"/>
          <w:szCs w:val="20"/>
        </w:rPr>
      </w:pPr>
    </w:p>
    <w:p w14:paraId="310158DF" w14:textId="621454E1" w:rsidR="00F17E74" w:rsidRPr="000678A5" w:rsidRDefault="00F17E74" w:rsidP="00B62D6E">
      <w:pPr>
        <w:rPr>
          <w:rFonts w:cs="Arial"/>
          <w:szCs w:val="20"/>
        </w:rPr>
      </w:pPr>
      <w:r w:rsidRPr="0035060D">
        <w:rPr>
          <w:rFonts w:cs="Arial"/>
          <w:bCs/>
          <w:szCs w:val="20"/>
        </w:rPr>
        <w:t xml:space="preserve">Opatření </w:t>
      </w:r>
      <w:r>
        <w:rPr>
          <w:rFonts w:cs="Arial"/>
          <w:bCs/>
          <w:szCs w:val="20"/>
        </w:rPr>
        <w:t>14</w:t>
      </w:r>
      <w:r>
        <w:rPr>
          <w:rFonts w:cs="Arial"/>
          <w:szCs w:val="20"/>
        </w:rPr>
        <w:t xml:space="preserve">.4.4 </w:t>
      </w:r>
      <w:r w:rsidRPr="000678A5">
        <w:rPr>
          <w:rFonts w:cs="Arial"/>
          <w:bCs/>
          <w:szCs w:val="20"/>
        </w:rPr>
        <w:t>Zajistit informace o volebních agendách, volbách a způsobech hlasování přístupné osobám se zdravotním postižením, včetně textů ve snadno srozumitelné formě a</w:t>
      </w:r>
      <w:r w:rsidR="00487F54">
        <w:rPr>
          <w:rFonts w:cs="Arial"/>
          <w:bCs/>
          <w:szCs w:val="20"/>
        </w:rPr>
        <w:t> </w:t>
      </w:r>
      <w:r w:rsidRPr="000678A5">
        <w:rPr>
          <w:rFonts w:cs="Arial"/>
          <w:bCs/>
          <w:szCs w:val="20"/>
        </w:rPr>
        <w:t>videí v českém znakovém jazyce.</w:t>
      </w:r>
    </w:p>
    <w:p w14:paraId="0F951C87" w14:textId="0F46F0B3" w:rsidR="008C0EBF" w:rsidRDefault="008C0EBF" w:rsidP="00B62D6E">
      <w:pPr>
        <w:rPr>
          <w:rFonts w:cs="Arial"/>
          <w:szCs w:val="20"/>
        </w:rPr>
      </w:pPr>
      <w:r w:rsidRPr="000678A5">
        <w:rPr>
          <w:rFonts w:cs="Arial"/>
          <w:szCs w:val="20"/>
        </w:rPr>
        <w:t xml:space="preserve">Termín: průběžně </w:t>
      </w:r>
    </w:p>
    <w:p w14:paraId="1BBB3DAD" w14:textId="77777777" w:rsidR="00F17E74" w:rsidRPr="000678A5" w:rsidRDefault="00F17E74" w:rsidP="00B62D6E">
      <w:pPr>
        <w:rPr>
          <w:rFonts w:cs="Arial"/>
          <w:szCs w:val="20"/>
        </w:rPr>
      </w:pPr>
      <w:r w:rsidRPr="000678A5">
        <w:rPr>
          <w:rFonts w:cs="Arial"/>
          <w:szCs w:val="20"/>
        </w:rPr>
        <w:t>Gestor: MV</w:t>
      </w:r>
    </w:p>
    <w:p w14:paraId="3D70D2D6" w14:textId="583D11CB" w:rsidR="00F17E74" w:rsidRDefault="00F17E74" w:rsidP="006550C7">
      <w:pPr>
        <w:rPr>
          <w:rFonts w:cs="Arial"/>
          <w:szCs w:val="20"/>
        </w:rPr>
      </w:pPr>
      <w:r w:rsidRPr="000678A5">
        <w:rPr>
          <w:rFonts w:cs="Arial"/>
          <w:szCs w:val="20"/>
        </w:rPr>
        <w:t>Indikátor: Informace vztahující se k volbám jsou zveřej</w:t>
      </w:r>
      <w:r>
        <w:rPr>
          <w:rFonts w:cs="Arial"/>
          <w:szCs w:val="20"/>
        </w:rPr>
        <w:t>ňová</w:t>
      </w:r>
      <w:r w:rsidRPr="000678A5">
        <w:rPr>
          <w:rFonts w:cs="Arial"/>
          <w:szCs w:val="20"/>
        </w:rPr>
        <w:t>ny v přístupné elektronické formě, ve </w:t>
      </w:r>
      <w:r w:rsidRPr="00E16939">
        <w:rPr>
          <w:rFonts w:cs="Arial"/>
          <w:bCs/>
          <w:szCs w:val="20"/>
        </w:rPr>
        <w:t>snadno</w:t>
      </w:r>
      <w:r w:rsidRPr="000678A5">
        <w:rPr>
          <w:rFonts w:cs="Arial"/>
          <w:szCs w:val="20"/>
        </w:rPr>
        <w:t xml:space="preserve"> srozumitelné formě a základní informace vztahující se k volbám jsou pře</w:t>
      </w:r>
      <w:r>
        <w:rPr>
          <w:rFonts w:cs="Arial"/>
          <w:szCs w:val="20"/>
        </w:rPr>
        <w:t>kládány</w:t>
      </w:r>
      <w:r w:rsidRPr="000678A5">
        <w:rPr>
          <w:rFonts w:cs="Arial"/>
          <w:szCs w:val="20"/>
        </w:rPr>
        <w:t xml:space="preserve"> do českého znakového jazyka. </w:t>
      </w:r>
    </w:p>
    <w:p w14:paraId="39E08E62" w14:textId="77777777" w:rsidR="00B62D6E" w:rsidRPr="00451FF7" w:rsidRDefault="00B62D6E" w:rsidP="006550C7">
      <w:pPr>
        <w:rPr>
          <w:rFonts w:cs="Arial"/>
          <w:sz w:val="20"/>
          <w:szCs w:val="20"/>
        </w:rPr>
      </w:pPr>
    </w:p>
    <w:p w14:paraId="6C15A4C4" w14:textId="717E5E5A" w:rsidR="00C90E84" w:rsidRPr="00453502" w:rsidRDefault="00C90E84" w:rsidP="00453502">
      <w:pPr>
        <w:tabs>
          <w:tab w:val="left" w:pos="720"/>
        </w:tabs>
        <w:rPr>
          <w:rFonts w:cs="Arial"/>
          <w:b/>
          <w:bCs/>
          <w:sz w:val="20"/>
          <w:szCs w:val="20"/>
          <w:lang w:eastAsia="cs-CZ"/>
        </w:rPr>
      </w:pPr>
      <w:r w:rsidRPr="00453502">
        <w:rPr>
          <w:rFonts w:cs="Arial"/>
          <w:b/>
          <w:bCs/>
          <w:sz w:val="20"/>
          <w:szCs w:val="20"/>
          <w:lang w:eastAsia="cs-CZ"/>
        </w:rPr>
        <w:t>PLNĚNÍ MV:</w:t>
      </w:r>
    </w:p>
    <w:p w14:paraId="3AD75E11" w14:textId="7B075FBF" w:rsidR="00453502" w:rsidRPr="00453502" w:rsidRDefault="00453502" w:rsidP="00453502">
      <w:pPr>
        <w:rPr>
          <w:rFonts w:cs="Arial"/>
          <w:sz w:val="20"/>
          <w:szCs w:val="20"/>
        </w:rPr>
      </w:pPr>
      <w:r w:rsidRPr="00453502">
        <w:rPr>
          <w:rFonts w:cs="Arial"/>
          <w:sz w:val="20"/>
          <w:szCs w:val="20"/>
        </w:rPr>
        <w:t xml:space="preserve">Ministerstvo vnitra i pro volbu prezidenta republiky konanou v roce 2023 </w:t>
      </w:r>
      <w:r w:rsidRPr="00880943">
        <w:rPr>
          <w:rFonts w:cs="Arial"/>
          <w:sz w:val="20"/>
          <w:szCs w:val="20"/>
        </w:rPr>
        <w:t>zpracovalo Informaci pro voliče o způsobu hlasování a ve spolupráci se společností Deaf Friendly zajistilo převedení tohoto textu do českého znakového jazyka pro neslyšící občany (formou videí). MV spolupracovalo také se Společností pro podporu lidí s mentálním postižením v ČR při převodu informací do snadno</w:t>
      </w:r>
      <w:r w:rsidRPr="00453502">
        <w:rPr>
          <w:rFonts w:cs="Arial"/>
          <w:b/>
          <w:sz w:val="20"/>
          <w:szCs w:val="20"/>
        </w:rPr>
        <w:t xml:space="preserve"> </w:t>
      </w:r>
      <w:r w:rsidRPr="00880943">
        <w:rPr>
          <w:rFonts w:cs="Arial"/>
          <w:sz w:val="20"/>
          <w:szCs w:val="20"/>
        </w:rPr>
        <w:t>srozumitelné podoby (snadné čtení) pro občany s mentálním postižením. Patřičné</w:t>
      </w:r>
      <w:r w:rsidRPr="00453502">
        <w:rPr>
          <w:rFonts w:cs="Arial"/>
          <w:sz w:val="20"/>
          <w:szCs w:val="20"/>
        </w:rPr>
        <w:t xml:space="preserve"> úpravy provádějí oslovení odborníci v této oblasti. </w:t>
      </w:r>
    </w:p>
    <w:p w14:paraId="734097ED" w14:textId="77777777" w:rsidR="00453502" w:rsidRPr="00453502" w:rsidRDefault="00453502" w:rsidP="008263CB">
      <w:pPr>
        <w:numPr>
          <w:ilvl w:val="0"/>
          <w:numId w:val="25"/>
        </w:numPr>
        <w:rPr>
          <w:rFonts w:cs="Arial"/>
          <w:sz w:val="20"/>
          <w:szCs w:val="20"/>
        </w:rPr>
      </w:pPr>
      <w:r w:rsidRPr="00453502">
        <w:rPr>
          <w:rFonts w:cs="Arial"/>
          <w:sz w:val="20"/>
          <w:szCs w:val="20"/>
        </w:rPr>
        <w:t xml:space="preserve">Převedené informace a videa byly před volbou prezidenta uveřejněny na internetových stránkách Ministerstva vnitra (odkaz na videa pro neslyšící vedl přímo z úvodní strany webu ministerstva) a dále zpřístupňovány po linii organizací pro neslyšící a pro podporu lidí s mentálním postižením.  </w:t>
      </w:r>
    </w:p>
    <w:p w14:paraId="10115291" w14:textId="77777777" w:rsidR="00453502" w:rsidRPr="00453502" w:rsidRDefault="007C49CB" w:rsidP="00453502">
      <w:pPr>
        <w:pStyle w:val="Odstavecseseznamem"/>
        <w:rPr>
          <w:rFonts w:cs="Arial"/>
          <w:sz w:val="20"/>
          <w:szCs w:val="20"/>
        </w:rPr>
      </w:pPr>
      <w:hyperlink r:id="rId120" w:history="1">
        <w:r w:rsidR="00453502" w:rsidRPr="00453502">
          <w:rPr>
            <w:rStyle w:val="Hypertextovodkaz"/>
            <w:rFonts w:cs="Arial"/>
            <w:sz w:val="20"/>
            <w:szCs w:val="20"/>
            <w:u w:val="none"/>
          </w:rPr>
          <w:t>Volba prezidenta republiky 2023 - Volby (mvcr.cz)</w:t>
        </w:r>
      </w:hyperlink>
    </w:p>
    <w:p w14:paraId="039934B5" w14:textId="77777777" w:rsidR="00453502" w:rsidRPr="00453502" w:rsidRDefault="007C49CB" w:rsidP="00453502">
      <w:pPr>
        <w:pStyle w:val="Odstavecseseznamem"/>
        <w:rPr>
          <w:rFonts w:cs="Arial"/>
          <w:sz w:val="20"/>
          <w:szCs w:val="20"/>
        </w:rPr>
      </w:pPr>
      <w:hyperlink r:id="rId121" w:history="1">
        <w:r w:rsidR="00453502" w:rsidRPr="00453502">
          <w:rPr>
            <w:rStyle w:val="Hypertextovodkaz"/>
            <w:rFonts w:cs="Arial"/>
            <w:sz w:val="20"/>
            <w:szCs w:val="20"/>
            <w:u w:val="none"/>
          </w:rPr>
          <w:t>Video pro neslyšící - informační leták pro volbu prezidenta republiky 2023 - Volby (mvcr.cz)</w:t>
        </w:r>
      </w:hyperlink>
    </w:p>
    <w:p w14:paraId="2787C7CA" w14:textId="77777777" w:rsidR="00453502" w:rsidRPr="00453502" w:rsidRDefault="007C49CB" w:rsidP="00453502">
      <w:pPr>
        <w:pStyle w:val="Odstavecseseznamem"/>
        <w:rPr>
          <w:rFonts w:cs="Arial"/>
          <w:sz w:val="20"/>
          <w:szCs w:val="20"/>
        </w:rPr>
      </w:pPr>
      <w:hyperlink r:id="rId122" w:history="1">
        <w:r w:rsidR="00453502" w:rsidRPr="00453502">
          <w:rPr>
            <w:rStyle w:val="Hypertextovodkaz"/>
            <w:rFonts w:cs="Arial"/>
            <w:sz w:val="20"/>
            <w:szCs w:val="20"/>
            <w:u w:val="none"/>
          </w:rPr>
          <w:t>Prohlášení o přístupnosti - Volby (mvcr.cz)</w:t>
        </w:r>
      </w:hyperlink>
    </w:p>
    <w:p w14:paraId="1F086787" w14:textId="77777777" w:rsidR="00453502" w:rsidRPr="00453502" w:rsidRDefault="00453502" w:rsidP="008263CB">
      <w:pPr>
        <w:numPr>
          <w:ilvl w:val="0"/>
          <w:numId w:val="25"/>
        </w:numPr>
        <w:rPr>
          <w:rFonts w:cs="Arial"/>
          <w:sz w:val="20"/>
          <w:szCs w:val="20"/>
        </w:rPr>
      </w:pPr>
      <w:r w:rsidRPr="00453502">
        <w:rPr>
          <w:rFonts w:cs="Arial"/>
          <w:sz w:val="20"/>
          <w:szCs w:val="20"/>
        </w:rPr>
        <w:t xml:space="preserve">Na internetových stránkách Ministerstva vnitra byly pro volbu prezidenta republiky vyvěšeny vzory hlasovacích lístků pro všechny kandidáty uvedené ve formátu PDF, který je přístupný z hlediska hlasového odečítače. </w:t>
      </w:r>
    </w:p>
    <w:p w14:paraId="2112D5D7" w14:textId="234132B9" w:rsidR="00453502" w:rsidRPr="00453502" w:rsidRDefault="00453502" w:rsidP="00453502">
      <w:pPr>
        <w:tabs>
          <w:tab w:val="left" w:pos="720"/>
        </w:tabs>
        <w:rPr>
          <w:rFonts w:cs="Arial"/>
          <w:b/>
          <w:bCs/>
          <w:sz w:val="20"/>
          <w:szCs w:val="20"/>
          <w:lang w:eastAsia="cs-CZ"/>
        </w:rPr>
      </w:pPr>
      <w:r w:rsidRPr="00453502">
        <w:rPr>
          <w:rFonts w:cs="Arial"/>
          <w:sz w:val="20"/>
          <w:szCs w:val="20"/>
        </w:rPr>
        <w:t>Každá sada hlasovacích lístků obsahovala i informační leták pro voliče o způsobu hlasování. Na informačním letáku byly uvedeny QR kódy, které odkazovaly na zveřej</w:t>
      </w:r>
      <w:r w:rsidR="00487F54">
        <w:rPr>
          <w:rFonts w:cs="Arial"/>
          <w:sz w:val="20"/>
          <w:szCs w:val="20"/>
        </w:rPr>
        <w:t>něné vzory hlasovacích lístků a </w:t>
      </w:r>
      <w:r w:rsidRPr="00453502">
        <w:rPr>
          <w:rFonts w:cs="Arial"/>
          <w:sz w:val="20"/>
          <w:szCs w:val="20"/>
        </w:rPr>
        <w:t>videa v českém znakovém jazyce pro neslyšící.</w:t>
      </w:r>
    </w:p>
    <w:p w14:paraId="751480E4" w14:textId="0541629D" w:rsidR="00C90E84" w:rsidRPr="00453502" w:rsidRDefault="00C90E84" w:rsidP="00453502">
      <w:pPr>
        <w:keepNext/>
        <w:tabs>
          <w:tab w:val="left" w:pos="720"/>
        </w:tabs>
        <w:rPr>
          <w:rFonts w:cs="Arial"/>
          <w:b/>
          <w:bCs/>
          <w:sz w:val="20"/>
          <w:szCs w:val="20"/>
          <w:lang w:eastAsia="cs-CZ"/>
        </w:rPr>
      </w:pPr>
      <w:r w:rsidRPr="00453502">
        <w:rPr>
          <w:rFonts w:cs="Arial"/>
          <w:b/>
          <w:bCs/>
          <w:sz w:val="20"/>
          <w:szCs w:val="20"/>
          <w:lang w:eastAsia="cs-CZ"/>
        </w:rPr>
        <w:lastRenderedPageBreak/>
        <w:t>STANOVISKO K PLNĚNÍ:</w:t>
      </w:r>
      <w:r w:rsidR="00C02EA0" w:rsidRPr="00453502">
        <w:rPr>
          <w:rFonts w:cs="Arial"/>
          <w:b/>
          <w:sz w:val="20"/>
          <w:szCs w:val="20"/>
        </w:rPr>
        <w:t xml:space="preserve"> Plněno.</w:t>
      </w:r>
    </w:p>
    <w:p w14:paraId="4B8CB812" w14:textId="77777777" w:rsidR="00C90E84" w:rsidRPr="00451FF7" w:rsidRDefault="00C90E84" w:rsidP="00331542">
      <w:pPr>
        <w:rPr>
          <w:rFonts w:cs="Arial"/>
          <w:sz w:val="20"/>
          <w:szCs w:val="20"/>
        </w:rPr>
      </w:pPr>
    </w:p>
    <w:p w14:paraId="2C552E17" w14:textId="77777777" w:rsidR="00F17E74" w:rsidRPr="00544214" w:rsidRDefault="00544214" w:rsidP="00331542">
      <w:pPr>
        <w:pStyle w:val="Nadpis2"/>
        <w:numPr>
          <w:ilvl w:val="0"/>
          <w:numId w:val="0"/>
        </w:numPr>
        <w:spacing w:before="0" w:after="120"/>
      </w:pPr>
      <w:bookmarkStart w:id="55" w:name="_Toc38548800"/>
      <w:bookmarkStart w:id="56" w:name="_Toc38828897"/>
      <w:bookmarkStart w:id="57" w:name="_Toc101957903"/>
      <w:r>
        <w:t>Oblast č. 1</w:t>
      </w:r>
      <w:r w:rsidR="00891A85">
        <w:t>5</w:t>
      </w:r>
      <w:r w:rsidR="00FE68E2">
        <w:t>:</w:t>
      </w:r>
      <w:r>
        <w:t xml:space="preserve"> </w:t>
      </w:r>
      <w:r w:rsidR="00F17E74" w:rsidRPr="00544214">
        <w:t>Přístup ke kulturnímu dědictví, účast na kulturním životě a sportovních aktivitách</w:t>
      </w:r>
      <w:bookmarkEnd w:id="55"/>
      <w:bookmarkEnd w:id="56"/>
      <w:bookmarkEnd w:id="57"/>
    </w:p>
    <w:p w14:paraId="21B35B3C" w14:textId="77777777" w:rsidR="00F17E74" w:rsidRPr="000B3052" w:rsidRDefault="00F17E74" w:rsidP="000B3052">
      <w:pPr>
        <w:rPr>
          <w:rFonts w:cs="Arial"/>
          <w:sz w:val="20"/>
          <w:szCs w:val="20"/>
        </w:rPr>
      </w:pPr>
      <w:r w:rsidRPr="000B3052">
        <w:rPr>
          <w:rFonts w:cs="Arial"/>
          <w:sz w:val="20"/>
          <w:szCs w:val="20"/>
        </w:rPr>
        <w:t>Kultura je významnou součástí veřejného, společenského a ekonomického života, podporuje eliminaci předsudků a hranic a má i důležitý edukativní a osvětový charakter</w:t>
      </w:r>
      <w:r w:rsidR="008D40A0" w:rsidRPr="000B3052">
        <w:rPr>
          <w:rFonts w:cs="Arial"/>
          <w:sz w:val="20"/>
          <w:szCs w:val="20"/>
        </w:rPr>
        <w:t>.</w:t>
      </w:r>
      <w:r w:rsidRPr="000B3052">
        <w:rPr>
          <w:rFonts w:cs="Arial"/>
          <w:sz w:val="20"/>
          <w:szCs w:val="20"/>
        </w:rPr>
        <w:t xml:space="preserve"> </w:t>
      </w:r>
      <w:r w:rsidR="008D40A0" w:rsidRPr="000B3052">
        <w:rPr>
          <w:rFonts w:cs="Arial"/>
          <w:sz w:val="20"/>
          <w:szCs w:val="20"/>
        </w:rPr>
        <w:t>P</w:t>
      </w:r>
      <w:r w:rsidRPr="000B3052">
        <w:rPr>
          <w:rFonts w:cs="Arial"/>
          <w:sz w:val="20"/>
          <w:szCs w:val="20"/>
        </w:rPr>
        <w:t>lní i</w:t>
      </w:r>
      <w:r w:rsidR="008D40A0" w:rsidRPr="000B3052">
        <w:rPr>
          <w:rFonts w:cs="Arial"/>
          <w:sz w:val="20"/>
          <w:szCs w:val="20"/>
        </w:rPr>
        <w:t> </w:t>
      </w:r>
      <w:r w:rsidRPr="000B3052">
        <w:rPr>
          <w:rFonts w:cs="Arial"/>
          <w:sz w:val="20"/>
          <w:szCs w:val="20"/>
        </w:rPr>
        <w:t>terapeutickou a rehabilitační funkci. Působí tedy jako nezastupitelný prostředek zapojení osob se zdravotním postižením do života společnosti, neopom</w:t>
      </w:r>
      <w:r w:rsidR="00E102D9" w:rsidRPr="000B3052">
        <w:rPr>
          <w:rFonts w:cs="Arial"/>
          <w:sz w:val="20"/>
          <w:szCs w:val="20"/>
        </w:rPr>
        <w:t>e</w:t>
      </w:r>
      <w:r w:rsidRPr="000B3052">
        <w:rPr>
          <w:rFonts w:cs="Arial"/>
          <w:sz w:val="20"/>
          <w:szCs w:val="20"/>
        </w:rPr>
        <w:t>nutelným je i přínos umělců se zdravotním postižením.</w:t>
      </w:r>
    </w:p>
    <w:p w14:paraId="78BFDF71" w14:textId="77777777" w:rsidR="00F17E74" w:rsidRPr="000B3052" w:rsidRDefault="00F17E74" w:rsidP="000B3052">
      <w:pPr>
        <w:rPr>
          <w:rFonts w:cs="Arial"/>
          <w:sz w:val="20"/>
          <w:szCs w:val="20"/>
        </w:rPr>
      </w:pPr>
      <w:r w:rsidRPr="000B3052">
        <w:rPr>
          <w:rFonts w:cs="Arial"/>
          <w:sz w:val="20"/>
          <w:szCs w:val="20"/>
        </w:rPr>
        <w:t>Jedním z cílů Národního plánu v této oblasti proto i nadále zůstává v co nejširší míře podporovat odstraňování fyzických i administrativních bariér bránících intenzivnějšímu přístupu osob se zdravotním postižením ke kulturním statkům a službám a současně umožnit těmto osobám seberealizaci</w:t>
      </w:r>
      <w:r w:rsidR="00C13094" w:rsidRPr="000B3052">
        <w:rPr>
          <w:rFonts w:cs="Arial"/>
          <w:sz w:val="20"/>
          <w:szCs w:val="20"/>
        </w:rPr>
        <w:t>,</w:t>
      </w:r>
      <w:r w:rsidR="00E102D9" w:rsidRPr="000B3052">
        <w:rPr>
          <w:rFonts w:cs="Arial"/>
          <w:sz w:val="20"/>
          <w:szCs w:val="20"/>
        </w:rPr>
        <w:t xml:space="preserve"> např.</w:t>
      </w:r>
      <w:r w:rsidRPr="000B3052">
        <w:rPr>
          <w:rFonts w:cs="Arial"/>
          <w:sz w:val="20"/>
          <w:szCs w:val="20"/>
        </w:rPr>
        <w:t xml:space="preserve"> i pracovním zapojením v kulturní oblasti. </w:t>
      </w:r>
    </w:p>
    <w:p w14:paraId="73EBD94D" w14:textId="3EB39A42" w:rsidR="00F17E74" w:rsidRPr="000B3052" w:rsidRDefault="00F17E74" w:rsidP="000B3052">
      <w:pPr>
        <w:rPr>
          <w:rFonts w:cs="Arial"/>
          <w:sz w:val="20"/>
          <w:szCs w:val="20"/>
        </w:rPr>
      </w:pPr>
      <w:r w:rsidRPr="000B3052">
        <w:rPr>
          <w:rFonts w:cs="Arial"/>
          <w:sz w:val="20"/>
          <w:szCs w:val="20"/>
        </w:rPr>
        <w:t>Trvalou snahou dotační politiky Ministerstva kultury je zpřístupňování budov určených pro kulturní aktivity, rozšiřování přístupných sbírek a fondů, prohlídkových či</w:t>
      </w:r>
      <w:r w:rsidR="00F56A96" w:rsidRPr="000B3052">
        <w:rPr>
          <w:rFonts w:cs="Arial"/>
          <w:sz w:val="20"/>
          <w:szCs w:val="20"/>
        </w:rPr>
        <w:t> </w:t>
      </w:r>
      <w:r w:rsidRPr="000B3052">
        <w:rPr>
          <w:rFonts w:cs="Arial"/>
          <w:sz w:val="20"/>
          <w:szCs w:val="20"/>
        </w:rPr>
        <w:t xml:space="preserve">naučných tras a jiných kulturních aktivit. </w:t>
      </w:r>
    </w:p>
    <w:p w14:paraId="39FC4480" w14:textId="77777777" w:rsidR="00F17E74" w:rsidRPr="000B3052" w:rsidRDefault="00F17E74" w:rsidP="000B3052">
      <w:pPr>
        <w:rPr>
          <w:rFonts w:cs="Arial"/>
          <w:sz w:val="20"/>
          <w:szCs w:val="20"/>
        </w:rPr>
      </w:pPr>
      <w:r w:rsidRPr="000B3052">
        <w:rPr>
          <w:rFonts w:cs="Arial"/>
          <w:sz w:val="20"/>
          <w:szCs w:val="20"/>
        </w:rPr>
        <w:t>Přetrvávajícím problémem je nedostatečná přístupnost televizního a rozhlasového vysílání pro osoby se zrakovým a sluchovým postižením, je proto nezbytné podporovat a zvyšovat podíl pořadů opatřených titulky nebo skrytými titulky nebo tlumočených do českého znakového jazyka pro osoby se sluchovým postižením a audiopopisem pro osoby se</w:t>
      </w:r>
      <w:r w:rsidR="00F56A96" w:rsidRPr="000B3052">
        <w:rPr>
          <w:rFonts w:cs="Arial"/>
          <w:sz w:val="20"/>
          <w:szCs w:val="20"/>
        </w:rPr>
        <w:t> </w:t>
      </w:r>
      <w:r w:rsidRPr="000B3052">
        <w:rPr>
          <w:rFonts w:cs="Arial"/>
          <w:sz w:val="20"/>
          <w:szCs w:val="20"/>
        </w:rPr>
        <w:t>zrakovým postižením.</w:t>
      </w:r>
    </w:p>
    <w:p w14:paraId="1DDCC123" w14:textId="280B0AB0" w:rsidR="00F17E74" w:rsidRDefault="000B3052" w:rsidP="000B3052">
      <w:pPr>
        <w:rPr>
          <w:rFonts w:cs="Arial"/>
          <w:sz w:val="20"/>
          <w:szCs w:val="20"/>
        </w:rPr>
      </w:pPr>
      <w:r w:rsidRPr="000B3052">
        <w:rPr>
          <w:rFonts w:cs="Arial"/>
          <w:sz w:val="20"/>
          <w:szCs w:val="20"/>
        </w:rPr>
        <w:t xml:space="preserve">Důležitá je také </w:t>
      </w:r>
      <w:r w:rsidR="00F17E74" w:rsidRPr="000B3052">
        <w:rPr>
          <w:rFonts w:cs="Arial"/>
          <w:sz w:val="20"/>
          <w:szCs w:val="20"/>
        </w:rPr>
        <w:t>podpora sportu a sportovních aktivit, které přispívají nejen ke</w:t>
      </w:r>
      <w:r w:rsidR="00F56A96" w:rsidRPr="000B3052">
        <w:rPr>
          <w:rFonts w:cs="Arial"/>
          <w:sz w:val="20"/>
          <w:szCs w:val="20"/>
        </w:rPr>
        <w:t> </w:t>
      </w:r>
      <w:r w:rsidR="00F17E74" w:rsidRPr="000B3052">
        <w:rPr>
          <w:rFonts w:cs="Arial"/>
          <w:sz w:val="20"/>
          <w:szCs w:val="20"/>
        </w:rPr>
        <w:t>zlepšení zdravotního stavu a tělesné kondice osob se zdravotním postižením, sportovní akti</w:t>
      </w:r>
      <w:r w:rsidR="00A802CD">
        <w:rPr>
          <w:rFonts w:cs="Arial"/>
          <w:sz w:val="20"/>
          <w:szCs w:val="20"/>
        </w:rPr>
        <w:t>vity a pohybová rekreace jsou i </w:t>
      </w:r>
      <w:r w:rsidR="00F17E74" w:rsidRPr="000B3052">
        <w:rPr>
          <w:rFonts w:cs="Arial"/>
          <w:sz w:val="20"/>
          <w:szCs w:val="20"/>
        </w:rPr>
        <w:t>důležitým faktorem pro zlepšení jejich života a přispívají k</w:t>
      </w:r>
      <w:r w:rsidR="00D57DD0" w:rsidRPr="000B3052">
        <w:rPr>
          <w:rFonts w:cs="Arial"/>
          <w:sz w:val="20"/>
          <w:szCs w:val="20"/>
        </w:rPr>
        <w:t> </w:t>
      </w:r>
      <w:r w:rsidR="00F17E74" w:rsidRPr="000B3052">
        <w:rPr>
          <w:rFonts w:cs="Arial"/>
          <w:sz w:val="20"/>
          <w:szCs w:val="20"/>
        </w:rPr>
        <w:t>rehabilitaci a integraci do společnosti. Mezi důležitá opatření vedoucí k podpoře těchto aktivit patří podpora svazů a organizací zajišťujících sportovní aktivity pro osoby se</w:t>
      </w:r>
      <w:r w:rsidR="00F56A96" w:rsidRPr="000B3052">
        <w:rPr>
          <w:rFonts w:cs="Arial"/>
          <w:sz w:val="20"/>
          <w:szCs w:val="20"/>
        </w:rPr>
        <w:t> </w:t>
      </w:r>
      <w:r w:rsidR="00F17E74" w:rsidRPr="000B3052">
        <w:rPr>
          <w:rFonts w:cs="Arial"/>
          <w:sz w:val="20"/>
          <w:szCs w:val="20"/>
        </w:rPr>
        <w:t>zdravotním postižením</w:t>
      </w:r>
      <w:r w:rsidRPr="000B3052">
        <w:rPr>
          <w:rFonts w:cs="Arial"/>
          <w:sz w:val="20"/>
          <w:szCs w:val="20"/>
        </w:rPr>
        <w:t>.</w:t>
      </w:r>
    </w:p>
    <w:p w14:paraId="44B25EF7" w14:textId="77777777" w:rsidR="000B3052" w:rsidRPr="002E4BCE" w:rsidRDefault="000B3052" w:rsidP="000B3052">
      <w:pPr>
        <w:rPr>
          <w:rFonts w:cs="Arial"/>
          <w:sz w:val="20"/>
          <w:szCs w:val="20"/>
        </w:rPr>
      </w:pPr>
    </w:p>
    <w:p w14:paraId="2CA69E7E" w14:textId="736E4A6B" w:rsidR="009760EB" w:rsidRPr="00035C20" w:rsidRDefault="00F17E74" w:rsidP="00B02B56">
      <w:pPr>
        <w:rPr>
          <w:rFonts w:cs="Arial"/>
          <w:b/>
          <w:bCs/>
          <w:szCs w:val="20"/>
        </w:rPr>
      </w:pPr>
      <w:r>
        <w:rPr>
          <w:rFonts w:cs="Arial"/>
          <w:b/>
          <w:bCs/>
          <w:szCs w:val="20"/>
        </w:rPr>
        <w:t xml:space="preserve">15.1 </w:t>
      </w:r>
      <w:r w:rsidRPr="0057756D">
        <w:rPr>
          <w:rFonts w:cs="Arial"/>
          <w:b/>
          <w:bCs/>
          <w:szCs w:val="20"/>
        </w:rPr>
        <w:t xml:space="preserve">Cíl: </w:t>
      </w:r>
      <w:r>
        <w:rPr>
          <w:rFonts w:cs="Arial"/>
          <w:b/>
          <w:bCs/>
          <w:szCs w:val="20"/>
        </w:rPr>
        <w:t>Zpřístupňování</w:t>
      </w:r>
      <w:r w:rsidRPr="0057756D">
        <w:rPr>
          <w:rFonts w:cs="Arial"/>
          <w:b/>
          <w:bCs/>
          <w:szCs w:val="20"/>
        </w:rPr>
        <w:t xml:space="preserve"> památek, divadel, muzeí, kin, knihoven a dalších kulturních zařízení, včetně jejich služeb.</w:t>
      </w:r>
    </w:p>
    <w:p w14:paraId="36636BAA" w14:textId="0C313E0B" w:rsidR="00F17E74" w:rsidRPr="0057756D" w:rsidRDefault="00F17E74" w:rsidP="00F17E74">
      <w:pPr>
        <w:rPr>
          <w:rFonts w:cs="Arial"/>
          <w:szCs w:val="20"/>
        </w:rPr>
      </w:pPr>
      <w:r w:rsidRPr="0035060D">
        <w:rPr>
          <w:rFonts w:cs="Arial"/>
          <w:bCs/>
          <w:szCs w:val="20"/>
        </w:rPr>
        <w:t xml:space="preserve">Opatření </w:t>
      </w:r>
      <w:r>
        <w:rPr>
          <w:rFonts w:cs="Arial"/>
          <w:bCs/>
          <w:szCs w:val="20"/>
        </w:rPr>
        <w:t>15</w:t>
      </w:r>
      <w:r>
        <w:rPr>
          <w:rFonts w:cs="Arial"/>
          <w:szCs w:val="20"/>
        </w:rPr>
        <w:t xml:space="preserve">.1.3 </w:t>
      </w:r>
      <w:r w:rsidRPr="0057756D">
        <w:rPr>
          <w:rFonts w:cs="Arial"/>
          <w:szCs w:val="20"/>
        </w:rPr>
        <w:t xml:space="preserve">Podporovat zpřístupnění expozic v muzeích a galeriích osobám s omezenou schopností pohybu </w:t>
      </w:r>
      <w:r w:rsidR="00766EEB">
        <w:rPr>
          <w:rFonts w:cs="Arial"/>
          <w:szCs w:val="20"/>
        </w:rPr>
        <w:t>nebo</w:t>
      </w:r>
      <w:r w:rsidRPr="0057756D">
        <w:rPr>
          <w:rFonts w:cs="Arial"/>
          <w:szCs w:val="20"/>
        </w:rPr>
        <w:t xml:space="preserve"> orientace v rámci zajištění standardizovaných veřejných služeb muzeí a</w:t>
      </w:r>
      <w:r>
        <w:rPr>
          <w:rFonts w:cs="Arial"/>
          <w:szCs w:val="20"/>
        </w:rPr>
        <w:t> </w:t>
      </w:r>
      <w:r w:rsidRPr="0057756D">
        <w:rPr>
          <w:rFonts w:cs="Arial"/>
          <w:szCs w:val="20"/>
        </w:rPr>
        <w:t>galerií pro osoby se zdravotním postižením ve smyslu zákona č. 122/2000 Sb.</w:t>
      </w:r>
      <w:r>
        <w:rPr>
          <w:rFonts w:cs="Arial"/>
          <w:szCs w:val="20"/>
        </w:rPr>
        <w:t>,</w:t>
      </w:r>
      <w:r w:rsidR="00A802CD">
        <w:rPr>
          <w:rFonts w:cs="Arial"/>
          <w:szCs w:val="20"/>
        </w:rPr>
        <w:t xml:space="preserve"> o </w:t>
      </w:r>
      <w:r w:rsidRPr="0057756D">
        <w:rPr>
          <w:rFonts w:cs="Arial"/>
          <w:szCs w:val="20"/>
        </w:rPr>
        <w:t>ochraně sbírek muzejní povahy a o změně některých dalších zákonů, ve znění pozdějších předpis</w:t>
      </w:r>
      <w:r>
        <w:rPr>
          <w:rFonts w:cs="Arial"/>
          <w:szCs w:val="20"/>
        </w:rPr>
        <w:t>ů</w:t>
      </w:r>
      <w:r w:rsidR="00746F46">
        <w:rPr>
          <w:rFonts w:cs="Arial"/>
          <w:szCs w:val="20"/>
        </w:rPr>
        <w:t>,</w:t>
      </w:r>
      <w:r w:rsidRPr="0057756D">
        <w:rPr>
          <w:rFonts w:cs="Arial"/>
          <w:szCs w:val="20"/>
        </w:rPr>
        <w:t xml:space="preserve"> a podílet se na zpřístupnění památkových objektů ve správě Národního památkového ústavu a dalších kulturních zařízení. </w:t>
      </w:r>
    </w:p>
    <w:p w14:paraId="1F2617A0" w14:textId="77777777" w:rsidR="00F17E74" w:rsidRPr="0057756D" w:rsidRDefault="00F17E74" w:rsidP="00F17E74">
      <w:pPr>
        <w:rPr>
          <w:rFonts w:cs="Arial"/>
          <w:szCs w:val="20"/>
        </w:rPr>
      </w:pPr>
      <w:r w:rsidRPr="0057756D">
        <w:rPr>
          <w:rFonts w:cs="Arial"/>
          <w:szCs w:val="20"/>
        </w:rPr>
        <w:t xml:space="preserve">Termín: průběžně </w:t>
      </w:r>
    </w:p>
    <w:p w14:paraId="136517D0" w14:textId="77777777" w:rsidR="00F17E74" w:rsidRPr="0057756D" w:rsidRDefault="00F17E74" w:rsidP="00F17E74">
      <w:pPr>
        <w:rPr>
          <w:rFonts w:cs="Arial"/>
          <w:szCs w:val="20"/>
        </w:rPr>
      </w:pPr>
      <w:r w:rsidRPr="0057756D">
        <w:rPr>
          <w:rFonts w:cs="Arial"/>
          <w:szCs w:val="20"/>
        </w:rPr>
        <w:t xml:space="preserve">Gestor: MK </w:t>
      </w:r>
    </w:p>
    <w:p w14:paraId="284F535E" w14:textId="4AD5979C" w:rsidR="00F17E74" w:rsidRDefault="00F17E74" w:rsidP="005D1F99">
      <w:pPr>
        <w:rPr>
          <w:rFonts w:cs="Arial"/>
          <w:szCs w:val="20"/>
        </w:rPr>
      </w:pPr>
      <w:r w:rsidRPr="00831152">
        <w:rPr>
          <w:rFonts w:cs="Arial"/>
          <w:szCs w:val="20"/>
        </w:rPr>
        <w:t>Indikátor:</w:t>
      </w:r>
      <w:r w:rsidRPr="00193A00">
        <w:rPr>
          <w:rFonts w:cs="Arial"/>
          <w:szCs w:val="20"/>
        </w:rPr>
        <w:t xml:space="preserve"> </w:t>
      </w:r>
      <w:r>
        <w:rPr>
          <w:rFonts w:cs="Arial"/>
          <w:szCs w:val="20"/>
        </w:rPr>
        <w:t>Uvedená podpora je realizována.</w:t>
      </w:r>
    </w:p>
    <w:p w14:paraId="7F260A91" w14:textId="77777777" w:rsidR="005D1F99" w:rsidRPr="00384DB7" w:rsidRDefault="005D1F99" w:rsidP="00384DB7">
      <w:pPr>
        <w:rPr>
          <w:rFonts w:cs="Arial"/>
          <w:sz w:val="20"/>
          <w:szCs w:val="20"/>
        </w:rPr>
      </w:pPr>
    </w:p>
    <w:p w14:paraId="009F2006" w14:textId="12CCE1C4" w:rsidR="00F07BAE" w:rsidRDefault="00F07BAE" w:rsidP="00384DB7">
      <w:pPr>
        <w:tabs>
          <w:tab w:val="left" w:pos="720"/>
        </w:tabs>
        <w:rPr>
          <w:rFonts w:cs="Arial"/>
          <w:b/>
          <w:bCs/>
          <w:sz w:val="20"/>
          <w:szCs w:val="20"/>
          <w:lang w:eastAsia="cs-CZ"/>
        </w:rPr>
      </w:pPr>
      <w:r w:rsidRPr="00F150C1">
        <w:rPr>
          <w:rFonts w:cs="Arial"/>
          <w:b/>
          <w:bCs/>
          <w:sz w:val="20"/>
          <w:szCs w:val="20"/>
          <w:lang w:eastAsia="cs-CZ"/>
        </w:rPr>
        <w:t>PLNĚNÍ MK:</w:t>
      </w:r>
    </w:p>
    <w:p w14:paraId="58FDE329" w14:textId="434BAD96" w:rsidR="00BE0261" w:rsidRPr="00ED1656" w:rsidRDefault="00BE0261" w:rsidP="00384DB7">
      <w:pPr>
        <w:tabs>
          <w:tab w:val="left" w:pos="720"/>
        </w:tabs>
        <w:rPr>
          <w:rFonts w:cs="Arial"/>
          <w:bCs/>
          <w:sz w:val="20"/>
          <w:szCs w:val="20"/>
          <w:lang w:eastAsia="cs-CZ"/>
        </w:rPr>
      </w:pPr>
      <w:r w:rsidRPr="00ED1656">
        <w:rPr>
          <w:rFonts w:cs="Arial"/>
          <w:bCs/>
          <w:sz w:val="20"/>
          <w:szCs w:val="20"/>
          <w:lang w:eastAsia="cs-CZ"/>
        </w:rPr>
        <w:t>Příklady zpřístupňování:</w:t>
      </w:r>
    </w:p>
    <w:p w14:paraId="07E3F1A8" w14:textId="77777777" w:rsidR="00826833" w:rsidRPr="00ED1656" w:rsidRDefault="00826833" w:rsidP="00826833">
      <w:pPr>
        <w:rPr>
          <w:rFonts w:eastAsia="Calibri" w:cs="Arial"/>
          <w:sz w:val="20"/>
          <w:szCs w:val="20"/>
        </w:rPr>
      </w:pPr>
      <w:r w:rsidRPr="00ED1656">
        <w:rPr>
          <w:rFonts w:eastAsia="Calibri" w:cs="Arial"/>
          <w:sz w:val="20"/>
          <w:szCs w:val="20"/>
        </w:rPr>
        <w:t xml:space="preserve">Národní památkový ústav tradičně pořádá Den bez bariér, při kterém jsou vybrané objekty cíleně zpřístupněny zdravotně znevýhodněným. V roce 2023 například proběhl tento den na zámku Slatiňany a Raduň. </w:t>
      </w:r>
    </w:p>
    <w:p w14:paraId="4EBA7B25" w14:textId="1331FA2F" w:rsidR="00826833" w:rsidRPr="00ED1656" w:rsidRDefault="00826833" w:rsidP="00826833">
      <w:pPr>
        <w:rPr>
          <w:rFonts w:eastAsia="Calibri" w:cs="Arial"/>
          <w:sz w:val="20"/>
          <w:szCs w:val="20"/>
        </w:rPr>
      </w:pPr>
      <w:r w:rsidRPr="00ED1656">
        <w:rPr>
          <w:rFonts w:eastAsia="Calibri" w:cs="Arial"/>
          <w:sz w:val="20"/>
          <w:szCs w:val="20"/>
        </w:rPr>
        <w:t>Národní muzeum (NM) v rámci svého běžného provozu pořádá pravidelné komentované prohlídky pro děti i dospělé se simultánním tlumočením do českého znakového jazyka. Pro zájemce jsou k dispozici komentované prohlídky dvou objektů Národního muzea – Historické budovy a Národopisného muzea v Letohrádku Kinských (objekty, činnost, postup návštěvy). Jak ty</w:t>
      </w:r>
      <w:r w:rsidR="00A802CD">
        <w:rPr>
          <w:rFonts w:eastAsia="Calibri" w:cs="Arial"/>
          <w:sz w:val="20"/>
          <w:szCs w:val="20"/>
        </w:rPr>
        <w:t>to komentované prohlídky, tak i </w:t>
      </w:r>
      <w:r w:rsidRPr="00ED1656">
        <w:rPr>
          <w:rFonts w:eastAsia="Calibri" w:cs="Arial"/>
          <w:sz w:val="20"/>
          <w:szCs w:val="20"/>
        </w:rPr>
        <w:t xml:space="preserve">virtuální výstavy s tlumočením, jsou ke zhlédnutí na YouTube kanálu NM. Na tomto kanálu je dále zveřejněna série videí se základními informacemi o NM v českém znakovém jazyce a audio záznamy </w:t>
      </w:r>
      <w:r w:rsidRPr="00ED1656">
        <w:rPr>
          <w:rFonts w:eastAsia="Calibri" w:cs="Arial"/>
          <w:sz w:val="20"/>
          <w:szCs w:val="20"/>
        </w:rPr>
        <w:lastRenderedPageBreak/>
        <w:t xml:space="preserve">virtuálních výstav. Pro návštěvníky s poruchami zraku je od roku 2014 přístupná malá haptická expozice Tradiční lidová kultura dotykem v Národopisném muzeu NM. </w:t>
      </w:r>
    </w:p>
    <w:p w14:paraId="63130E5C" w14:textId="77777777" w:rsidR="00826833" w:rsidRPr="00ED1656" w:rsidRDefault="00826833" w:rsidP="00826833">
      <w:pPr>
        <w:rPr>
          <w:rFonts w:eastAsia="Calibri" w:cs="Arial"/>
          <w:sz w:val="20"/>
          <w:szCs w:val="20"/>
        </w:rPr>
      </w:pPr>
      <w:r w:rsidRPr="00ED1656">
        <w:rPr>
          <w:rFonts w:eastAsia="Calibri" w:cs="Arial"/>
          <w:sz w:val="20"/>
          <w:szCs w:val="20"/>
        </w:rPr>
        <w:t>Na webu NM byl v roce 2023 zveřejněn text v souladu s metodikou Easy-to-Read, který vznikl v roce 2022 v konzultaci se Společností pro podporu lidí s mentálním postižením v České republice, včetně zpětné vazby od uživatelů s mentálním postižením, aby splňoval nejvyšší mezinárodní standardy.</w:t>
      </w:r>
    </w:p>
    <w:p w14:paraId="0757B509" w14:textId="77777777" w:rsidR="00BE0261" w:rsidRPr="00ED1656" w:rsidRDefault="00826833" w:rsidP="00BE0261">
      <w:pPr>
        <w:rPr>
          <w:rFonts w:eastAsia="Calibri" w:cs="Arial"/>
          <w:sz w:val="20"/>
          <w:szCs w:val="20"/>
        </w:rPr>
      </w:pPr>
      <w:r w:rsidRPr="00ED1656">
        <w:rPr>
          <w:rFonts w:eastAsia="Calibri" w:cs="Arial"/>
          <w:bCs/>
          <w:sz w:val="20"/>
          <w:szCs w:val="20"/>
        </w:rPr>
        <w:t>Moravské zemské muzeum (MZM) v roce</w:t>
      </w:r>
      <w:r w:rsidRPr="00ED1656">
        <w:rPr>
          <w:rFonts w:eastAsia="Calibri" w:cs="Arial"/>
          <w:sz w:val="20"/>
          <w:szCs w:val="20"/>
        </w:rPr>
        <w:t xml:space="preserve"> 2023 otevřelo výstavu </w:t>
      </w:r>
      <w:r w:rsidRPr="00ED1656">
        <w:rPr>
          <w:rFonts w:eastAsia="Calibri" w:cs="Arial"/>
          <w:i/>
          <w:sz w:val="20"/>
          <w:szCs w:val="20"/>
        </w:rPr>
        <w:t>Když Brnem táhli mamuti</w:t>
      </w:r>
      <w:r w:rsidRPr="00ED1656">
        <w:rPr>
          <w:rFonts w:eastAsia="Calibri" w:cs="Arial"/>
          <w:sz w:val="20"/>
          <w:szCs w:val="20"/>
        </w:rPr>
        <w:t xml:space="preserve">, </w:t>
      </w:r>
      <w:proofErr w:type="gramStart"/>
      <w:r w:rsidRPr="00ED1656">
        <w:rPr>
          <w:rFonts w:eastAsia="Calibri" w:cs="Arial"/>
          <w:sz w:val="20"/>
          <w:szCs w:val="20"/>
        </w:rPr>
        <w:t>která</w:t>
      </w:r>
      <w:proofErr w:type="gramEnd"/>
      <w:r w:rsidRPr="00ED1656">
        <w:rPr>
          <w:rFonts w:eastAsia="Calibri" w:cs="Arial"/>
          <w:sz w:val="20"/>
          <w:szCs w:val="20"/>
        </w:rPr>
        <w:t xml:space="preserve"> je přívětivá pro osoby s postižením sluchu i zraku. Je plně bezbariérová pro osoby s tělesným postižením.</w:t>
      </w:r>
    </w:p>
    <w:p w14:paraId="37C5F40B" w14:textId="719F4CF1" w:rsidR="00826833" w:rsidRPr="00ED1656" w:rsidRDefault="00826833" w:rsidP="00BE0261">
      <w:pPr>
        <w:rPr>
          <w:rFonts w:eastAsia="Calibri" w:cs="Arial"/>
          <w:sz w:val="20"/>
          <w:szCs w:val="20"/>
        </w:rPr>
      </w:pPr>
      <w:r w:rsidRPr="00ED1656">
        <w:rPr>
          <w:rFonts w:eastAsia="Calibri" w:cs="Arial"/>
          <w:sz w:val="20"/>
          <w:szCs w:val="20"/>
        </w:rPr>
        <w:t xml:space="preserve">Stálá expozice v Pavilonu Anthropos byla v roce 2023 kompletně vybavena tlumočením popisek do znakové řeči a zařadila se tak do mezinárodní sítě </w:t>
      </w:r>
      <w:hyperlink r:id="rId123" w:history="1">
        <w:r w:rsidRPr="00ED1656">
          <w:rPr>
            <w:rFonts w:eastAsia="Calibri" w:cs="Arial"/>
            <w:sz w:val="20"/>
            <w:szCs w:val="20"/>
          </w:rPr>
          <w:t>https://deaftravel.guide/</w:t>
        </w:r>
      </w:hyperlink>
      <w:r w:rsidRPr="00ED1656">
        <w:rPr>
          <w:rFonts w:eastAsia="Calibri" w:cs="Arial"/>
          <w:sz w:val="20"/>
          <w:szCs w:val="20"/>
        </w:rPr>
        <w:t>.</w:t>
      </w:r>
    </w:p>
    <w:p w14:paraId="4DC3D77B" w14:textId="4874BB02" w:rsidR="00826833" w:rsidRPr="00ED1656" w:rsidRDefault="00826833" w:rsidP="00826833">
      <w:pPr>
        <w:rPr>
          <w:rFonts w:eastAsia="Calibri" w:cs="Arial"/>
          <w:sz w:val="20"/>
          <w:szCs w:val="20"/>
        </w:rPr>
      </w:pPr>
      <w:r w:rsidRPr="00ED1656">
        <w:rPr>
          <w:rFonts w:eastAsia="Calibri" w:cs="Arial"/>
          <w:bCs/>
          <w:sz w:val="20"/>
          <w:szCs w:val="20"/>
        </w:rPr>
        <w:t>Moravská g</w:t>
      </w:r>
      <w:r w:rsidR="00177B7D">
        <w:rPr>
          <w:rFonts w:eastAsia="Calibri" w:cs="Arial"/>
          <w:bCs/>
          <w:sz w:val="20"/>
          <w:szCs w:val="20"/>
        </w:rPr>
        <w:t>alerie v Brně (MGB) organizovala</w:t>
      </w:r>
      <w:r w:rsidRPr="00ED1656">
        <w:rPr>
          <w:rFonts w:eastAsia="Calibri" w:cs="Arial"/>
          <w:bCs/>
          <w:sz w:val="20"/>
          <w:szCs w:val="20"/>
        </w:rPr>
        <w:t xml:space="preserve"> n</w:t>
      </w:r>
      <w:r w:rsidRPr="00ED1656">
        <w:rPr>
          <w:rFonts w:eastAsia="Calibri" w:cs="Arial"/>
          <w:sz w:val="20"/>
          <w:szCs w:val="20"/>
        </w:rPr>
        <w:t>a míru potřebám zrakově postižených a nevidomých návštěvníků pravidelné programy vázané na unikátní</w:t>
      </w:r>
      <w:r w:rsidR="00880B20">
        <w:rPr>
          <w:rFonts w:eastAsia="Calibri" w:cs="Arial"/>
          <w:sz w:val="20"/>
          <w:szCs w:val="20"/>
        </w:rPr>
        <w:t xml:space="preserve"> haptickou sbírku uměleckých děl pro nevidomé.</w:t>
      </w:r>
    </w:p>
    <w:p w14:paraId="21ADBBFB" w14:textId="77777777" w:rsidR="00BE0261" w:rsidRPr="00ED1656" w:rsidRDefault="00826833" w:rsidP="00BE0261">
      <w:pPr>
        <w:rPr>
          <w:rFonts w:eastAsia="Calibri" w:cs="Arial"/>
          <w:sz w:val="20"/>
          <w:szCs w:val="20"/>
        </w:rPr>
      </w:pPr>
      <w:r w:rsidRPr="00ED1656">
        <w:rPr>
          <w:rFonts w:eastAsia="Calibri" w:cs="Arial"/>
          <w:sz w:val="20"/>
          <w:szCs w:val="20"/>
        </w:rPr>
        <w:t>MGB nabízí návštěvníkům s handicapem možnost poskytnutí osobního doprovodu, který by jim pohyb a orientaci po budově usnadnil. Tato služba je poskytována na základě předchozí domluvy.</w:t>
      </w:r>
    </w:p>
    <w:p w14:paraId="2750E17E" w14:textId="7A8D817E" w:rsidR="00826833" w:rsidRPr="00ED1656" w:rsidRDefault="00826833" w:rsidP="00BE0261">
      <w:pPr>
        <w:rPr>
          <w:rFonts w:eastAsia="Calibri" w:cs="Arial"/>
          <w:sz w:val="20"/>
          <w:szCs w:val="20"/>
        </w:rPr>
      </w:pPr>
      <w:r w:rsidRPr="00ED1656">
        <w:rPr>
          <w:rFonts w:eastAsia="Calibri" w:cs="Arial"/>
          <w:bCs/>
          <w:sz w:val="20"/>
          <w:szCs w:val="20"/>
        </w:rPr>
        <w:t>Muzeum skla a bižuterie v Jablonci nad Nisou (MSBJ) pro lepší orientaci v průběhu roku 2023 realizovalo nový orientační systém hlavní budovy s využitím většího písma, barevných ikon a piktogramů. Průběžně dochází k nahrazování popisek novými, s větším písmem a dostatečným kontrastem.</w:t>
      </w:r>
    </w:p>
    <w:p w14:paraId="4D735BA6" w14:textId="22A799C6" w:rsidR="00F07BAE" w:rsidRPr="00384DB7" w:rsidRDefault="00F07BAE" w:rsidP="00384DB7">
      <w:pPr>
        <w:rPr>
          <w:rFonts w:cs="Arial"/>
          <w:b/>
          <w:bCs/>
          <w:sz w:val="20"/>
          <w:szCs w:val="20"/>
          <w:lang w:eastAsia="cs-CZ"/>
        </w:rPr>
      </w:pPr>
      <w:r w:rsidRPr="00384DB7">
        <w:rPr>
          <w:rFonts w:cs="Arial"/>
          <w:b/>
          <w:bCs/>
          <w:sz w:val="20"/>
          <w:szCs w:val="20"/>
          <w:lang w:eastAsia="cs-CZ"/>
        </w:rPr>
        <w:t>STANOVISKO K PLNĚNÍ:</w:t>
      </w:r>
      <w:r w:rsidR="00CB215D" w:rsidRPr="00384DB7">
        <w:rPr>
          <w:rFonts w:cs="Arial"/>
          <w:b/>
          <w:bCs/>
          <w:sz w:val="20"/>
          <w:szCs w:val="20"/>
          <w:lang w:eastAsia="cs-CZ"/>
        </w:rPr>
        <w:t xml:space="preserve"> Plněno.</w:t>
      </w:r>
    </w:p>
    <w:p w14:paraId="7FA350F5" w14:textId="7EE77F30" w:rsidR="00F07BAE" w:rsidRPr="00384DB7" w:rsidRDefault="00F07BAE" w:rsidP="00384DB7">
      <w:pPr>
        <w:rPr>
          <w:rFonts w:cs="Arial"/>
          <w:sz w:val="20"/>
          <w:szCs w:val="20"/>
        </w:rPr>
      </w:pPr>
    </w:p>
    <w:p w14:paraId="063DF799"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15</w:t>
      </w:r>
      <w:r>
        <w:rPr>
          <w:rFonts w:cs="Arial"/>
          <w:szCs w:val="20"/>
        </w:rPr>
        <w:t xml:space="preserve">.1.4 </w:t>
      </w:r>
      <w:r w:rsidRPr="0057756D">
        <w:rPr>
          <w:rFonts w:cs="Arial"/>
          <w:szCs w:val="20"/>
        </w:rPr>
        <w:t>Podporovat digitalizaci národního kulturního bohatství a jeho zpřístupnění technologiemi umožňujícími dálkový přístup a různé typy prezentace dle zdravotního postižení osob a</w:t>
      </w:r>
      <w:r>
        <w:rPr>
          <w:rFonts w:cs="Arial"/>
          <w:szCs w:val="20"/>
        </w:rPr>
        <w:t> </w:t>
      </w:r>
      <w:r w:rsidRPr="0057756D">
        <w:rPr>
          <w:rFonts w:cs="Arial"/>
          <w:szCs w:val="20"/>
        </w:rPr>
        <w:t>v rámci Národního památkového ústavu zveřejnit na portálu e-sbírky (www.esbirky.cz) alespoň 50 digitalizovaných záznamů mobiliárních předmětů ročně.</w:t>
      </w:r>
    </w:p>
    <w:p w14:paraId="12504FC6" w14:textId="77777777" w:rsidR="00F17E74" w:rsidRPr="0057756D" w:rsidRDefault="00F17E74" w:rsidP="00F17E74">
      <w:pPr>
        <w:rPr>
          <w:rFonts w:cs="Arial"/>
          <w:szCs w:val="20"/>
        </w:rPr>
      </w:pPr>
      <w:r w:rsidRPr="0057756D">
        <w:rPr>
          <w:rFonts w:cs="Arial"/>
          <w:szCs w:val="20"/>
        </w:rPr>
        <w:t xml:space="preserve">Termín: průběžně </w:t>
      </w:r>
    </w:p>
    <w:p w14:paraId="2E111255" w14:textId="77777777" w:rsidR="00F17E74" w:rsidRPr="0057756D" w:rsidRDefault="00F17E74" w:rsidP="00F17E74">
      <w:pPr>
        <w:rPr>
          <w:rFonts w:cs="Arial"/>
          <w:szCs w:val="20"/>
        </w:rPr>
      </w:pPr>
      <w:r w:rsidRPr="0057756D">
        <w:rPr>
          <w:rFonts w:cs="Arial"/>
          <w:szCs w:val="20"/>
        </w:rPr>
        <w:t xml:space="preserve">Gestor: MK </w:t>
      </w:r>
    </w:p>
    <w:p w14:paraId="5FF91195" w14:textId="7FCFCAD4" w:rsidR="00F17E74" w:rsidRDefault="00F17E74" w:rsidP="00E46712">
      <w:pPr>
        <w:rPr>
          <w:rFonts w:cs="Arial"/>
          <w:szCs w:val="20"/>
        </w:rPr>
      </w:pPr>
      <w:r w:rsidRPr="00831152">
        <w:rPr>
          <w:rFonts w:cs="Arial"/>
          <w:szCs w:val="20"/>
        </w:rPr>
        <w:t>Indikátor:</w:t>
      </w:r>
      <w:r w:rsidRPr="00193A00">
        <w:rPr>
          <w:rFonts w:cs="Arial"/>
          <w:szCs w:val="20"/>
        </w:rPr>
        <w:t xml:space="preserve"> V daném roce byl vy</w:t>
      </w:r>
      <w:r>
        <w:rPr>
          <w:rFonts w:cs="Arial"/>
          <w:szCs w:val="20"/>
        </w:rPr>
        <w:t>hlášen</w:t>
      </w:r>
      <w:r w:rsidRPr="00193A00">
        <w:rPr>
          <w:rFonts w:cs="Arial"/>
          <w:szCs w:val="20"/>
        </w:rPr>
        <w:t xml:space="preserve"> dotační </w:t>
      </w:r>
      <w:r>
        <w:rPr>
          <w:rFonts w:cs="Arial"/>
          <w:szCs w:val="20"/>
        </w:rPr>
        <w:t>program</w:t>
      </w:r>
      <w:r w:rsidRPr="00193A00">
        <w:rPr>
          <w:rFonts w:cs="Arial"/>
          <w:szCs w:val="20"/>
        </w:rPr>
        <w:t xml:space="preserve"> na podporu uvedené oblasti a na portálu e-sbírky bylo zveřejněno alespoň 50 digitalizovaných záznamů mobiliárních předmětů.</w:t>
      </w:r>
    </w:p>
    <w:p w14:paraId="61A52C9C" w14:textId="77777777" w:rsidR="00E46712" w:rsidRPr="00250071" w:rsidRDefault="00E46712" w:rsidP="00C7072F">
      <w:pPr>
        <w:rPr>
          <w:rFonts w:cs="Arial"/>
          <w:sz w:val="20"/>
          <w:szCs w:val="20"/>
        </w:rPr>
      </w:pPr>
    </w:p>
    <w:p w14:paraId="1A28E450" w14:textId="42D35084" w:rsidR="001602AE" w:rsidRPr="00250071" w:rsidRDefault="001602AE" w:rsidP="00C7072F">
      <w:pPr>
        <w:tabs>
          <w:tab w:val="left" w:pos="720"/>
        </w:tabs>
        <w:rPr>
          <w:rFonts w:cs="Arial"/>
          <w:b/>
          <w:bCs/>
          <w:sz w:val="20"/>
          <w:szCs w:val="20"/>
          <w:lang w:eastAsia="cs-CZ"/>
        </w:rPr>
      </w:pPr>
      <w:r w:rsidRPr="00250071">
        <w:rPr>
          <w:rFonts w:cs="Arial"/>
          <w:b/>
          <w:bCs/>
          <w:sz w:val="20"/>
          <w:szCs w:val="20"/>
          <w:lang w:eastAsia="cs-CZ"/>
        </w:rPr>
        <w:t>PLNĚNÍ MK:</w:t>
      </w:r>
    </w:p>
    <w:p w14:paraId="5C001CD6" w14:textId="7E2DCE1B" w:rsidR="00250071" w:rsidRPr="00250071" w:rsidRDefault="00250071" w:rsidP="00250071">
      <w:pPr>
        <w:rPr>
          <w:rFonts w:eastAsia="Calibri" w:cs="Arial"/>
          <w:sz w:val="20"/>
          <w:szCs w:val="20"/>
        </w:rPr>
      </w:pPr>
      <w:r w:rsidRPr="00152D55">
        <w:rPr>
          <w:rFonts w:eastAsia="Calibri" w:cs="Arial"/>
          <w:sz w:val="20"/>
          <w:szCs w:val="20"/>
        </w:rPr>
        <w:t>Odbor muzeí a galerií každoročně vyhlašuje dotační program Podpora projektů zaměřených na poskytování standardizovaných veřejných služeb muzeí a galerií ve</w:t>
      </w:r>
      <w:r w:rsidRPr="00250071">
        <w:rPr>
          <w:rFonts w:eastAsia="Calibri" w:cs="Arial"/>
          <w:sz w:val="20"/>
          <w:szCs w:val="20"/>
        </w:rPr>
        <w:t xml:space="preserve"> dvou okruzích: 1. Prezentace sbírek muzeí a galerií v informačním systému s dálkovým přístupem a 2. Prezentace sbírek formou odborných (vědeckých) katalogů sbírek. Program je určen zřizovatelům muzeí a galerií, jejichž sbírky jsou zapsány v Centrální evidenci sbírek muzejní povahy dle zákona č. 122/2000 Sb. Není určen přís</w:t>
      </w:r>
      <w:r w:rsidR="00152D55">
        <w:rPr>
          <w:rFonts w:eastAsia="Calibri" w:cs="Arial"/>
          <w:sz w:val="20"/>
          <w:szCs w:val="20"/>
        </w:rPr>
        <w:t>pěvkovým organizacím zřizovaným</w:t>
      </w:r>
      <w:r w:rsidRPr="00250071">
        <w:rPr>
          <w:rFonts w:eastAsia="Calibri" w:cs="Arial"/>
          <w:sz w:val="20"/>
          <w:szCs w:val="20"/>
        </w:rPr>
        <w:t xml:space="preserve"> Ministerstvem kultury.</w:t>
      </w:r>
    </w:p>
    <w:p w14:paraId="0B5F2F43" w14:textId="77777777" w:rsidR="00250071" w:rsidRPr="00D74244" w:rsidRDefault="00250071" w:rsidP="00250071">
      <w:pPr>
        <w:rPr>
          <w:rFonts w:eastAsia="Calibri" w:cs="Arial"/>
          <w:sz w:val="20"/>
          <w:szCs w:val="20"/>
        </w:rPr>
      </w:pPr>
      <w:r w:rsidRPr="00D74244">
        <w:rPr>
          <w:rFonts w:eastAsia="Calibri" w:cs="Arial"/>
          <w:sz w:val="20"/>
          <w:szCs w:val="20"/>
        </w:rPr>
        <w:t xml:space="preserve">První z okruhů je určen </w:t>
      </w:r>
      <w:proofErr w:type="gramStart"/>
      <w:r w:rsidRPr="00D74244">
        <w:rPr>
          <w:rFonts w:eastAsia="Calibri" w:cs="Arial"/>
          <w:sz w:val="20"/>
          <w:szCs w:val="20"/>
        </w:rPr>
        <w:t>na</w:t>
      </w:r>
      <w:proofErr w:type="gramEnd"/>
      <w:r w:rsidRPr="00D74244">
        <w:rPr>
          <w:rFonts w:eastAsia="Calibri" w:cs="Arial"/>
          <w:sz w:val="20"/>
          <w:szCs w:val="20"/>
        </w:rPr>
        <w:t xml:space="preserve">: </w:t>
      </w:r>
    </w:p>
    <w:p w14:paraId="5DA4D7EF" w14:textId="77777777" w:rsidR="00250071" w:rsidRPr="00250071" w:rsidRDefault="00250071" w:rsidP="00250071">
      <w:pPr>
        <w:rPr>
          <w:rFonts w:eastAsia="Calibri" w:cs="Arial"/>
          <w:sz w:val="20"/>
          <w:szCs w:val="20"/>
        </w:rPr>
      </w:pPr>
      <w:r w:rsidRPr="00250071">
        <w:rPr>
          <w:rFonts w:eastAsia="Calibri" w:cs="Arial"/>
          <w:sz w:val="20"/>
          <w:szCs w:val="20"/>
        </w:rPr>
        <w:t xml:space="preserve">a) zhotovení digitální prezentace souboru nejméně 100 sbírkových předmětů (při zpracování technologií 3D nejméně 20 sbírkových předmětů) včetně textových informací, formou virtuální prezentace sbírkových předmětů určené pro veřejnost a její zveřejnění prostřednictvím portálu eSbírky.cz a europeana.eu nebo prostřednictvím své vlastní internetové prezentace, která bude propojena s portálem eSbírky.cz (europeana.eu), </w:t>
      </w:r>
    </w:p>
    <w:p w14:paraId="17FCC750" w14:textId="77777777" w:rsidR="00250071" w:rsidRPr="00250071" w:rsidRDefault="00250071" w:rsidP="00250071">
      <w:pPr>
        <w:rPr>
          <w:rFonts w:eastAsia="Calibri" w:cs="Arial"/>
          <w:sz w:val="20"/>
          <w:szCs w:val="20"/>
        </w:rPr>
      </w:pPr>
      <w:r w:rsidRPr="00250071">
        <w:rPr>
          <w:rFonts w:eastAsia="Calibri" w:cs="Arial"/>
          <w:sz w:val="20"/>
          <w:szCs w:val="20"/>
        </w:rPr>
        <w:t xml:space="preserve">b) zhotovení 3D virtuální prezentace muzejní expozice, virtuální výstavy ze sbírek muzea nebo vzhled či funkční užití (minimálně 20) vybraných sbírkových předmětů na webu muzea s propojením na webový portál eSbírky.cz, </w:t>
      </w:r>
    </w:p>
    <w:p w14:paraId="57771995" w14:textId="77777777" w:rsidR="00250071" w:rsidRPr="00250071" w:rsidRDefault="00250071" w:rsidP="00250071">
      <w:pPr>
        <w:rPr>
          <w:rFonts w:eastAsia="Calibri" w:cs="Arial"/>
          <w:sz w:val="20"/>
          <w:szCs w:val="20"/>
          <w:u w:val="single"/>
        </w:rPr>
      </w:pPr>
      <w:r w:rsidRPr="00250071">
        <w:rPr>
          <w:rFonts w:eastAsia="Calibri" w:cs="Arial"/>
          <w:sz w:val="20"/>
          <w:szCs w:val="20"/>
        </w:rPr>
        <w:t>c) zpracování popularizačních videí k vybraným (nejméně 5) sbírkovým předmětům a jejich zveřejnění na stránkách muzea/galerie, za účelem zpřístupňování informací o sbírce, a</w:t>
      </w:r>
    </w:p>
    <w:p w14:paraId="0F1D5AF3" w14:textId="77777777" w:rsidR="00250071" w:rsidRPr="00250071" w:rsidRDefault="00250071" w:rsidP="00250071">
      <w:pPr>
        <w:rPr>
          <w:rFonts w:eastAsia="Calibri" w:cs="Arial"/>
          <w:bCs/>
          <w:sz w:val="20"/>
          <w:szCs w:val="20"/>
        </w:rPr>
      </w:pPr>
      <w:r w:rsidRPr="00250071">
        <w:rPr>
          <w:rFonts w:eastAsia="Calibri" w:cs="Arial"/>
          <w:bCs/>
          <w:sz w:val="20"/>
          <w:szCs w:val="20"/>
        </w:rPr>
        <w:lastRenderedPageBreak/>
        <w:t xml:space="preserve">d) vydávání elektronických publikací, průvodců a dalších informací o sbírce nebo akcích muzea ve snadno srozumitelné a čitelné formě umožňující jednodušší přístup ke sbírkám muzeí a galerií pro osoby se zdravotním postižením nebo s jiným znevýhodněním. </w:t>
      </w:r>
    </w:p>
    <w:p w14:paraId="062F9DDB" w14:textId="2B99BE2E" w:rsidR="00250071" w:rsidRPr="00D378D2" w:rsidRDefault="00250071" w:rsidP="00250071">
      <w:pPr>
        <w:rPr>
          <w:rFonts w:eastAsia="Calibri" w:cs="Arial"/>
          <w:bCs/>
          <w:sz w:val="20"/>
          <w:szCs w:val="20"/>
        </w:rPr>
      </w:pPr>
      <w:r w:rsidRPr="00250071">
        <w:rPr>
          <w:rFonts w:eastAsia="Calibri" w:cs="Arial"/>
          <w:bCs/>
          <w:sz w:val="20"/>
          <w:szCs w:val="20"/>
        </w:rPr>
        <w:t>Odbor muzeí a galerií v roce 2023 v rámci prvního z tematických okruhů uvedeného dotačního programu, ve kterém bylo alokováno 2 580 000 Kč, podpořil celkem 6 projektů finančními prostředky o celkové výši 562 000 Kč.</w:t>
      </w:r>
    </w:p>
    <w:p w14:paraId="6BC77BEF" w14:textId="5C16EDB5" w:rsidR="00250071" w:rsidRPr="00250071" w:rsidRDefault="00250071" w:rsidP="00250071">
      <w:pPr>
        <w:rPr>
          <w:rFonts w:eastAsia="Calibri" w:cs="Arial"/>
          <w:bCs/>
          <w:sz w:val="20"/>
          <w:szCs w:val="20"/>
        </w:rPr>
      </w:pPr>
      <w:r w:rsidRPr="00250071">
        <w:rPr>
          <w:rFonts w:eastAsia="Calibri" w:cs="Arial"/>
          <w:bCs/>
          <w:sz w:val="20"/>
          <w:szCs w:val="20"/>
        </w:rPr>
        <w:t xml:space="preserve">Národní muzeum (NM) provozuje portál s digitalizovaným obsahem eSbírky, který ke konci roku 2023 zpřístupňoval téměř 237 000 předmětů z 200 institucí (ve srovnání s rokem 2022 jde nárůst téměř o 7 000 předmětů). Obsah je nahráván postupně v průběhu celého roku. </w:t>
      </w:r>
    </w:p>
    <w:p w14:paraId="4851B57F" w14:textId="1DB99486" w:rsidR="00250071" w:rsidRPr="00250071" w:rsidRDefault="00791AAF" w:rsidP="00250071">
      <w:pPr>
        <w:rPr>
          <w:rFonts w:eastAsia="Calibri" w:cs="Arial"/>
          <w:bCs/>
          <w:sz w:val="20"/>
          <w:szCs w:val="20"/>
        </w:rPr>
      </w:pPr>
      <w:r>
        <w:rPr>
          <w:rFonts w:eastAsia="Calibri" w:cs="Arial"/>
          <w:bCs/>
          <w:sz w:val="20"/>
          <w:szCs w:val="20"/>
        </w:rPr>
        <w:t>Například s</w:t>
      </w:r>
      <w:r w:rsidR="00250071" w:rsidRPr="00250071">
        <w:rPr>
          <w:rFonts w:eastAsia="Calibri" w:cs="Arial"/>
          <w:bCs/>
          <w:sz w:val="20"/>
          <w:szCs w:val="20"/>
        </w:rPr>
        <w:t xml:space="preserve">bírka </w:t>
      </w:r>
      <w:r w:rsidRPr="00250071">
        <w:rPr>
          <w:rFonts w:eastAsia="Calibri" w:cs="Arial"/>
          <w:bCs/>
          <w:sz w:val="20"/>
          <w:szCs w:val="20"/>
        </w:rPr>
        <w:t>Slezské</w:t>
      </w:r>
      <w:r>
        <w:rPr>
          <w:rFonts w:eastAsia="Calibri" w:cs="Arial"/>
          <w:bCs/>
          <w:sz w:val="20"/>
          <w:szCs w:val="20"/>
        </w:rPr>
        <w:t>ho</w:t>
      </w:r>
      <w:r w:rsidRPr="00250071">
        <w:rPr>
          <w:rFonts w:eastAsia="Calibri" w:cs="Arial"/>
          <w:bCs/>
          <w:sz w:val="20"/>
          <w:szCs w:val="20"/>
        </w:rPr>
        <w:t xml:space="preserve"> zemské</w:t>
      </w:r>
      <w:r>
        <w:rPr>
          <w:rFonts w:eastAsia="Calibri" w:cs="Arial"/>
          <w:bCs/>
          <w:sz w:val="20"/>
          <w:szCs w:val="20"/>
        </w:rPr>
        <w:t>ho muzea</w:t>
      </w:r>
      <w:r w:rsidR="008713E6">
        <w:rPr>
          <w:rFonts w:eastAsia="Calibri" w:cs="Arial"/>
          <w:bCs/>
          <w:sz w:val="20"/>
          <w:szCs w:val="20"/>
        </w:rPr>
        <w:t xml:space="preserve"> </w:t>
      </w:r>
      <w:r w:rsidR="00250071" w:rsidRPr="00250071">
        <w:rPr>
          <w:rFonts w:eastAsia="Calibri" w:cs="Arial"/>
          <w:bCs/>
          <w:sz w:val="20"/>
          <w:szCs w:val="20"/>
        </w:rPr>
        <w:t xml:space="preserve">je rozdělena do 21 podsbírek. V r. 2023 bylo na portálu eSbírky umístěno 216 ks digitalizovaných sbírkových předmětů z podsbírek: archeologie, botanika, dendrologie, divadelní, etnografie, fotografická podsbírka, historie, muzeologie, muzikologie, novodobé dějiny, písemnosti a tisky, Slezský ústav, umělecká historie. </w:t>
      </w:r>
    </w:p>
    <w:p w14:paraId="74188EC2" w14:textId="690F5832" w:rsidR="001602AE" w:rsidRPr="00250071" w:rsidRDefault="001602AE" w:rsidP="00C7072F">
      <w:pPr>
        <w:rPr>
          <w:rFonts w:cs="Arial"/>
          <w:b/>
          <w:sz w:val="20"/>
          <w:szCs w:val="20"/>
        </w:rPr>
      </w:pPr>
      <w:r w:rsidRPr="00250071">
        <w:rPr>
          <w:rFonts w:cs="Arial"/>
          <w:b/>
          <w:bCs/>
          <w:sz w:val="20"/>
          <w:szCs w:val="20"/>
          <w:lang w:eastAsia="cs-CZ"/>
        </w:rPr>
        <w:t>STANOVISKO K PLNĚNÍ:</w:t>
      </w:r>
      <w:r w:rsidR="006E019A" w:rsidRPr="00250071">
        <w:rPr>
          <w:rFonts w:cs="Arial"/>
          <w:b/>
          <w:bCs/>
          <w:sz w:val="20"/>
          <w:szCs w:val="20"/>
          <w:lang w:eastAsia="cs-CZ"/>
        </w:rPr>
        <w:t xml:space="preserve"> </w:t>
      </w:r>
      <w:r w:rsidR="006E019A" w:rsidRPr="00250071">
        <w:rPr>
          <w:rFonts w:cs="Arial"/>
          <w:b/>
          <w:sz w:val="20"/>
          <w:szCs w:val="20"/>
        </w:rPr>
        <w:t>Plněno.</w:t>
      </w:r>
    </w:p>
    <w:p w14:paraId="30495CD4" w14:textId="77777777" w:rsidR="001602AE" w:rsidRPr="00C7072F" w:rsidRDefault="001602AE" w:rsidP="00C7072F">
      <w:pPr>
        <w:rPr>
          <w:rFonts w:cs="Arial"/>
          <w:sz w:val="20"/>
          <w:szCs w:val="20"/>
        </w:rPr>
      </w:pPr>
    </w:p>
    <w:p w14:paraId="71245EA3" w14:textId="77777777" w:rsidR="00F17E74" w:rsidRPr="0057756D" w:rsidRDefault="00F17E74" w:rsidP="00B223B3">
      <w:pPr>
        <w:rPr>
          <w:rFonts w:cs="Arial"/>
          <w:szCs w:val="20"/>
        </w:rPr>
      </w:pPr>
      <w:r w:rsidRPr="0035060D">
        <w:rPr>
          <w:rFonts w:cs="Arial"/>
          <w:bCs/>
          <w:szCs w:val="20"/>
        </w:rPr>
        <w:t xml:space="preserve">Opatření </w:t>
      </w:r>
      <w:r>
        <w:rPr>
          <w:rFonts w:cs="Arial"/>
          <w:bCs/>
          <w:szCs w:val="20"/>
        </w:rPr>
        <w:t>1</w:t>
      </w:r>
      <w:r w:rsidR="00766EEB">
        <w:rPr>
          <w:rFonts w:cs="Arial"/>
          <w:bCs/>
          <w:szCs w:val="20"/>
        </w:rPr>
        <w:t>5</w:t>
      </w:r>
      <w:r>
        <w:rPr>
          <w:rFonts w:cs="Arial"/>
          <w:szCs w:val="20"/>
        </w:rPr>
        <w:t xml:space="preserve">.1.5 </w:t>
      </w:r>
      <w:r w:rsidRPr="0057756D">
        <w:rPr>
          <w:rFonts w:cs="Arial"/>
          <w:szCs w:val="20"/>
        </w:rPr>
        <w:t>Podporovat v rámci dotační politiky aktivity spočívající ve vydávání publikací, průvodců a dalších tiskovin ve snadno srozumitelné tištěné či digitální formě umožňující jednodušší přístup ke</w:t>
      </w:r>
      <w:r>
        <w:rPr>
          <w:rFonts w:cs="Arial"/>
          <w:szCs w:val="20"/>
        </w:rPr>
        <w:t> </w:t>
      </w:r>
      <w:r w:rsidRPr="0057756D">
        <w:rPr>
          <w:rFonts w:cs="Arial"/>
          <w:szCs w:val="20"/>
        </w:rPr>
        <w:t xml:space="preserve">sbírkám muzeí, galerií a dalších památek osobám se zdravotním postižením. </w:t>
      </w:r>
    </w:p>
    <w:p w14:paraId="1B4F876E" w14:textId="77777777" w:rsidR="00F17E74" w:rsidRPr="0057756D" w:rsidRDefault="00F17E74" w:rsidP="00B223B3">
      <w:pPr>
        <w:rPr>
          <w:rFonts w:cs="Arial"/>
          <w:szCs w:val="20"/>
        </w:rPr>
      </w:pPr>
      <w:r w:rsidRPr="0057756D">
        <w:rPr>
          <w:rFonts w:cs="Arial"/>
          <w:szCs w:val="20"/>
        </w:rPr>
        <w:t xml:space="preserve">Termín: průběžně </w:t>
      </w:r>
    </w:p>
    <w:p w14:paraId="550B564F" w14:textId="77777777" w:rsidR="00F17E74" w:rsidRPr="0057756D" w:rsidRDefault="00F17E74" w:rsidP="00B223B3">
      <w:pPr>
        <w:rPr>
          <w:rFonts w:cs="Arial"/>
          <w:szCs w:val="20"/>
        </w:rPr>
      </w:pPr>
      <w:r w:rsidRPr="0057756D">
        <w:rPr>
          <w:rFonts w:cs="Arial"/>
          <w:szCs w:val="20"/>
        </w:rPr>
        <w:t xml:space="preserve">Gestor: MK </w:t>
      </w:r>
    </w:p>
    <w:p w14:paraId="2EFAFC40" w14:textId="440836C9" w:rsidR="00F17E74" w:rsidRDefault="00F17E74" w:rsidP="00B223B3">
      <w:pPr>
        <w:rPr>
          <w:rFonts w:cs="Arial"/>
          <w:szCs w:val="20"/>
        </w:rPr>
      </w:pPr>
      <w:r w:rsidRPr="00831152">
        <w:rPr>
          <w:rFonts w:cs="Arial"/>
          <w:szCs w:val="20"/>
        </w:rPr>
        <w:t>Indikátor:</w:t>
      </w:r>
      <w:r w:rsidRPr="00193A00">
        <w:rPr>
          <w:rFonts w:cs="Arial"/>
          <w:szCs w:val="20"/>
        </w:rPr>
        <w:t xml:space="preserve"> </w:t>
      </w:r>
      <w:r>
        <w:rPr>
          <w:rFonts w:cs="Arial"/>
          <w:szCs w:val="20"/>
        </w:rPr>
        <w:t>Je vyhlašován dotační program na podporu uvedených aktivit.</w:t>
      </w:r>
    </w:p>
    <w:p w14:paraId="0A2A98A9" w14:textId="77777777" w:rsidR="00B223B3" w:rsidRPr="00C82AF6" w:rsidRDefault="00B223B3" w:rsidP="00C82AF6">
      <w:pPr>
        <w:rPr>
          <w:rFonts w:cs="Arial"/>
          <w:sz w:val="20"/>
          <w:szCs w:val="20"/>
        </w:rPr>
      </w:pPr>
    </w:p>
    <w:p w14:paraId="29940180" w14:textId="2C11A64D" w:rsidR="001E1497" w:rsidRPr="00365369" w:rsidRDefault="001E1497" w:rsidP="00C82AF6">
      <w:pPr>
        <w:tabs>
          <w:tab w:val="left" w:pos="720"/>
        </w:tabs>
        <w:rPr>
          <w:rFonts w:cs="Arial"/>
          <w:b/>
          <w:bCs/>
          <w:sz w:val="20"/>
          <w:szCs w:val="20"/>
          <w:lang w:eastAsia="cs-CZ"/>
        </w:rPr>
      </w:pPr>
      <w:r w:rsidRPr="00365369">
        <w:rPr>
          <w:rFonts w:cs="Arial"/>
          <w:b/>
          <w:bCs/>
          <w:sz w:val="20"/>
          <w:szCs w:val="20"/>
          <w:lang w:eastAsia="cs-CZ"/>
        </w:rPr>
        <w:t>PLNĚNÍ MK:</w:t>
      </w:r>
    </w:p>
    <w:p w14:paraId="3FC4F6C7" w14:textId="159B4EE0" w:rsidR="00365369" w:rsidRPr="00365369" w:rsidRDefault="00365369" w:rsidP="00365369">
      <w:pPr>
        <w:rPr>
          <w:rFonts w:eastAsia="Calibri" w:cs="Arial"/>
          <w:sz w:val="20"/>
          <w:szCs w:val="20"/>
        </w:rPr>
      </w:pPr>
      <w:r w:rsidRPr="00365369">
        <w:rPr>
          <w:rFonts w:eastAsia="Calibri" w:cs="Arial"/>
          <w:bCs/>
          <w:sz w:val="20"/>
          <w:szCs w:val="20"/>
        </w:rPr>
        <w:t>Na základě implem</w:t>
      </w:r>
      <w:r w:rsidR="00A409C3">
        <w:rPr>
          <w:rFonts w:eastAsia="Calibri" w:cs="Arial"/>
          <w:bCs/>
          <w:sz w:val="20"/>
          <w:szCs w:val="20"/>
        </w:rPr>
        <w:t>entace opatření 15.1.5</w:t>
      </w:r>
      <w:r w:rsidRPr="00365369">
        <w:rPr>
          <w:rFonts w:eastAsia="Calibri" w:cs="Arial"/>
          <w:bCs/>
          <w:sz w:val="20"/>
          <w:szCs w:val="20"/>
        </w:rPr>
        <w:t xml:space="preserve"> byl k návrhu vhodné úpravy budoucích výzev dotačního programu </w:t>
      </w:r>
      <w:r w:rsidRPr="00365369">
        <w:rPr>
          <w:rFonts w:eastAsia="Calibri" w:cs="Arial"/>
          <w:bCs/>
          <w:i/>
          <w:sz w:val="20"/>
          <w:szCs w:val="20"/>
        </w:rPr>
        <w:t>Podpora projektů zaměřených na poskytování standardizovaných veřejných služeb muzeí a galerií</w:t>
      </w:r>
      <w:r w:rsidRPr="00365369">
        <w:rPr>
          <w:rFonts w:eastAsia="Calibri" w:cs="Arial"/>
          <w:bCs/>
          <w:sz w:val="20"/>
          <w:szCs w:val="20"/>
        </w:rPr>
        <w:t xml:space="preserve"> přidán bod d) Vydávání elektronických publikací, průvodců a dalších informací o sbírce nebo akcích muzea ve snadno srozumitelné a čitelné formě umožňující jednodušší přístup ke sbírkám muzeí a galerií pro osoby se zdravotním postižením nebo s jiným znevýhodněním. Tento bod je přítomen v aktuální výzvě na rok 2024, která byla vyhlášena v prosinci 2023.</w:t>
      </w:r>
      <w:r w:rsidRPr="00365369">
        <w:rPr>
          <w:rFonts w:eastAsia="Calibri" w:cs="Arial"/>
          <w:color w:val="0070C0"/>
          <w:sz w:val="20"/>
          <w:szCs w:val="20"/>
        </w:rPr>
        <w:t xml:space="preserve"> </w:t>
      </w:r>
      <w:r w:rsidRPr="00365369">
        <w:rPr>
          <w:rFonts w:eastAsia="Calibri" w:cs="Arial"/>
          <w:sz w:val="20"/>
          <w:szCs w:val="20"/>
        </w:rPr>
        <w:t>Pojednávaný dotační program, v jehož rámci bylo v roce 2023 alokováno 2 580 000 Kč, podpořil 15 projektů v rámci 2. tematického okruhu částkou 2 018 000 Kč. Opatření 15.1.5 se v roce 2023 týkal jen částečně.</w:t>
      </w:r>
    </w:p>
    <w:p w14:paraId="023C03D8" w14:textId="77777777" w:rsidR="00365369" w:rsidRPr="00365369" w:rsidRDefault="00365369" w:rsidP="00365369">
      <w:pPr>
        <w:rPr>
          <w:rFonts w:eastAsia="Calibri" w:cs="Arial"/>
          <w:sz w:val="20"/>
          <w:szCs w:val="20"/>
        </w:rPr>
      </w:pPr>
      <w:r w:rsidRPr="00365369">
        <w:rPr>
          <w:rFonts w:eastAsia="Calibri" w:cs="Arial"/>
          <w:sz w:val="20"/>
          <w:szCs w:val="20"/>
        </w:rPr>
        <w:t>Odbor muzeí a galerií – oddělení ochrany kulturních statků podpořil v rámci programu</w:t>
      </w:r>
    </w:p>
    <w:p w14:paraId="536C16E3" w14:textId="77777777" w:rsidR="00365369" w:rsidRPr="00365369" w:rsidRDefault="00365369" w:rsidP="00365369">
      <w:pPr>
        <w:rPr>
          <w:rFonts w:eastAsia="Calibri" w:cs="Arial"/>
          <w:iCs/>
          <w:sz w:val="20"/>
          <w:szCs w:val="20"/>
        </w:rPr>
      </w:pPr>
      <w:r w:rsidRPr="00365369">
        <w:rPr>
          <w:rFonts w:eastAsia="Calibri" w:cs="Arial"/>
          <w:i/>
          <w:sz w:val="20"/>
          <w:szCs w:val="20"/>
        </w:rPr>
        <w:t>Kulturní aktivity – Podpora projektů spolků a pobočných spolků</w:t>
      </w:r>
      <w:r w:rsidRPr="00365369">
        <w:rPr>
          <w:rFonts w:eastAsia="Calibri" w:cs="Arial"/>
          <w:iCs/>
          <w:sz w:val="20"/>
          <w:szCs w:val="20"/>
        </w:rPr>
        <w:t xml:space="preserve"> tyto projekty:</w:t>
      </w:r>
    </w:p>
    <w:tbl>
      <w:tblPr>
        <w:tblStyle w:val="Mkatabulky1"/>
        <w:tblW w:w="0" w:type="auto"/>
        <w:tblLook w:val="04A0" w:firstRow="1" w:lastRow="0" w:firstColumn="1" w:lastColumn="0" w:noHBand="0" w:noVBand="1"/>
      </w:tblPr>
      <w:tblGrid>
        <w:gridCol w:w="3681"/>
        <w:gridCol w:w="2551"/>
        <w:gridCol w:w="1701"/>
      </w:tblGrid>
      <w:tr w:rsidR="00365369" w:rsidRPr="00365369" w14:paraId="086436A6" w14:textId="77777777" w:rsidTr="00A3204F">
        <w:tc>
          <w:tcPr>
            <w:tcW w:w="3681" w:type="dxa"/>
          </w:tcPr>
          <w:p w14:paraId="74B6DCC1" w14:textId="77777777" w:rsidR="00365369" w:rsidRPr="00365369" w:rsidRDefault="00365369" w:rsidP="00A3204F">
            <w:pPr>
              <w:rPr>
                <w:rFonts w:cs="Arial"/>
                <w:b/>
                <w:bCs/>
                <w:sz w:val="20"/>
                <w:szCs w:val="20"/>
              </w:rPr>
            </w:pPr>
            <w:r w:rsidRPr="00365369">
              <w:rPr>
                <w:rFonts w:cs="Arial"/>
                <w:b/>
                <w:bCs/>
                <w:sz w:val="20"/>
                <w:szCs w:val="20"/>
              </w:rPr>
              <w:t>Projekt</w:t>
            </w:r>
          </w:p>
        </w:tc>
        <w:tc>
          <w:tcPr>
            <w:tcW w:w="2551" w:type="dxa"/>
          </w:tcPr>
          <w:p w14:paraId="263FC43D" w14:textId="77777777" w:rsidR="00365369" w:rsidRPr="00365369" w:rsidRDefault="00365369" w:rsidP="00A3204F">
            <w:pPr>
              <w:rPr>
                <w:rFonts w:cs="Arial"/>
                <w:b/>
                <w:bCs/>
                <w:sz w:val="20"/>
                <w:szCs w:val="20"/>
              </w:rPr>
            </w:pPr>
            <w:r w:rsidRPr="00365369">
              <w:rPr>
                <w:rFonts w:cs="Arial"/>
                <w:b/>
                <w:bCs/>
                <w:sz w:val="20"/>
                <w:szCs w:val="20"/>
              </w:rPr>
              <w:t>Žadatel</w:t>
            </w:r>
          </w:p>
        </w:tc>
        <w:tc>
          <w:tcPr>
            <w:tcW w:w="1701" w:type="dxa"/>
          </w:tcPr>
          <w:p w14:paraId="77580FD4" w14:textId="77777777" w:rsidR="00365369" w:rsidRPr="00365369" w:rsidRDefault="00365369" w:rsidP="00A3204F">
            <w:pPr>
              <w:rPr>
                <w:rFonts w:cs="Arial"/>
                <w:b/>
                <w:bCs/>
                <w:sz w:val="20"/>
                <w:szCs w:val="20"/>
              </w:rPr>
            </w:pPr>
            <w:r w:rsidRPr="00365369">
              <w:rPr>
                <w:rFonts w:cs="Arial"/>
                <w:b/>
                <w:bCs/>
                <w:sz w:val="20"/>
                <w:szCs w:val="20"/>
              </w:rPr>
              <w:t>Výše dotace</w:t>
            </w:r>
          </w:p>
        </w:tc>
      </w:tr>
      <w:tr w:rsidR="00365369" w:rsidRPr="00365369" w14:paraId="2B2BB213" w14:textId="77777777" w:rsidTr="00A3204F">
        <w:tc>
          <w:tcPr>
            <w:tcW w:w="3681" w:type="dxa"/>
          </w:tcPr>
          <w:p w14:paraId="079130E3" w14:textId="77777777" w:rsidR="00365369" w:rsidRPr="00365369" w:rsidRDefault="00365369" w:rsidP="00A3204F">
            <w:pPr>
              <w:rPr>
                <w:rFonts w:cs="Arial"/>
                <w:sz w:val="20"/>
                <w:szCs w:val="20"/>
              </w:rPr>
            </w:pPr>
            <w:r w:rsidRPr="00365369">
              <w:rPr>
                <w:rFonts w:cs="Arial"/>
                <w:sz w:val="20"/>
                <w:szCs w:val="20"/>
              </w:rPr>
              <w:t xml:space="preserve">Pavilon Anthropos: Audioprůvodce prostorem pro neslyšící </w:t>
            </w:r>
          </w:p>
        </w:tc>
        <w:tc>
          <w:tcPr>
            <w:tcW w:w="2551" w:type="dxa"/>
          </w:tcPr>
          <w:p w14:paraId="680D18E1" w14:textId="77777777" w:rsidR="00365369" w:rsidRPr="00365369" w:rsidRDefault="00365369" w:rsidP="00A3204F">
            <w:pPr>
              <w:rPr>
                <w:rFonts w:cs="Arial"/>
                <w:sz w:val="20"/>
                <w:szCs w:val="20"/>
              </w:rPr>
            </w:pPr>
            <w:proofErr w:type="gramStart"/>
            <w:r w:rsidRPr="00365369">
              <w:rPr>
                <w:rFonts w:cs="Arial"/>
                <w:sz w:val="20"/>
                <w:szCs w:val="20"/>
              </w:rPr>
              <w:t>Znakovárna, z. s.</w:t>
            </w:r>
            <w:proofErr w:type="gramEnd"/>
          </w:p>
        </w:tc>
        <w:tc>
          <w:tcPr>
            <w:tcW w:w="1701" w:type="dxa"/>
          </w:tcPr>
          <w:p w14:paraId="59805437" w14:textId="77777777" w:rsidR="00365369" w:rsidRPr="00365369" w:rsidRDefault="00365369" w:rsidP="00A3204F">
            <w:pPr>
              <w:rPr>
                <w:rFonts w:cs="Arial"/>
                <w:sz w:val="20"/>
                <w:szCs w:val="20"/>
              </w:rPr>
            </w:pPr>
            <w:r w:rsidRPr="00365369">
              <w:rPr>
                <w:rFonts w:cs="Arial"/>
                <w:sz w:val="20"/>
                <w:szCs w:val="20"/>
              </w:rPr>
              <w:t>250 000 Kč</w:t>
            </w:r>
          </w:p>
        </w:tc>
      </w:tr>
      <w:tr w:rsidR="00365369" w:rsidRPr="00365369" w14:paraId="2E79DFBC" w14:textId="77777777" w:rsidTr="00A3204F">
        <w:tc>
          <w:tcPr>
            <w:tcW w:w="3681" w:type="dxa"/>
          </w:tcPr>
          <w:p w14:paraId="465B528D" w14:textId="77777777" w:rsidR="00365369" w:rsidRPr="00365369" w:rsidRDefault="00365369" w:rsidP="00A3204F">
            <w:pPr>
              <w:rPr>
                <w:rFonts w:cs="Arial"/>
                <w:sz w:val="20"/>
                <w:szCs w:val="20"/>
              </w:rPr>
            </w:pPr>
            <w:r w:rsidRPr="00365369">
              <w:rPr>
                <w:rFonts w:cs="Arial"/>
                <w:sz w:val="20"/>
                <w:szCs w:val="20"/>
              </w:rPr>
              <w:t>Památník Terezín – Malá pevnost: Audioprůvodce prostorem pro neslyšící</w:t>
            </w:r>
          </w:p>
        </w:tc>
        <w:tc>
          <w:tcPr>
            <w:tcW w:w="2551" w:type="dxa"/>
          </w:tcPr>
          <w:p w14:paraId="387AC849" w14:textId="77777777" w:rsidR="00365369" w:rsidRPr="00365369" w:rsidRDefault="00365369" w:rsidP="00A3204F">
            <w:pPr>
              <w:rPr>
                <w:rFonts w:cs="Arial"/>
                <w:sz w:val="20"/>
                <w:szCs w:val="20"/>
              </w:rPr>
            </w:pPr>
            <w:proofErr w:type="gramStart"/>
            <w:r w:rsidRPr="00365369">
              <w:rPr>
                <w:rFonts w:cs="Arial"/>
                <w:sz w:val="20"/>
                <w:szCs w:val="20"/>
              </w:rPr>
              <w:t>Znakovárna, z. s.</w:t>
            </w:r>
            <w:proofErr w:type="gramEnd"/>
          </w:p>
        </w:tc>
        <w:tc>
          <w:tcPr>
            <w:tcW w:w="1701" w:type="dxa"/>
          </w:tcPr>
          <w:p w14:paraId="596262EC" w14:textId="77777777" w:rsidR="00365369" w:rsidRPr="00365369" w:rsidRDefault="00365369" w:rsidP="00A3204F">
            <w:pPr>
              <w:rPr>
                <w:rFonts w:cs="Arial"/>
                <w:sz w:val="20"/>
                <w:szCs w:val="20"/>
              </w:rPr>
            </w:pPr>
            <w:r w:rsidRPr="00365369">
              <w:rPr>
                <w:rFonts w:cs="Arial"/>
                <w:sz w:val="20"/>
                <w:szCs w:val="20"/>
              </w:rPr>
              <w:t>175 000 Kč</w:t>
            </w:r>
          </w:p>
        </w:tc>
      </w:tr>
    </w:tbl>
    <w:p w14:paraId="62680389" w14:textId="77777777" w:rsidR="00024946" w:rsidRDefault="00024946" w:rsidP="00024946">
      <w:pPr>
        <w:rPr>
          <w:rFonts w:eastAsia="Calibri" w:cs="Arial"/>
          <w:sz w:val="20"/>
          <w:szCs w:val="20"/>
        </w:rPr>
      </w:pPr>
    </w:p>
    <w:p w14:paraId="79C961CA" w14:textId="6D4A9CA3" w:rsidR="00365369" w:rsidRPr="00365369" w:rsidRDefault="00365369" w:rsidP="00024946">
      <w:pPr>
        <w:rPr>
          <w:rFonts w:eastAsia="Calibri" w:cs="Arial"/>
          <w:sz w:val="20"/>
          <w:szCs w:val="20"/>
        </w:rPr>
      </w:pPr>
      <w:r w:rsidRPr="00365369">
        <w:rPr>
          <w:rFonts w:eastAsia="Calibri" w:cs="Arial"/>
          <w:sz w:val="20"/>
          <w:szCs w:val="20"/>
        </w:rPr>
        <w:t>V </w:t>
      </w:r>
      <w:r w:rsidRPr="00024946">
        <w:rPr>
          <w:rFonts w:eastAsia="Calibri" w:cs="Arial"/>
          <w:sz w:val="20"/>
          <w:szCs w:val="20"/>
        </w:rPr>
        <w:t>programu Kulturní aktivity – Podpora projektů spolků a pobočných spolků</w:t>
      </w:r>
      <w:r w:rsidRPr="00365369">
        <w:rPr>
          <w:rFonts w:eastAsia="Calibri" w:cs="Arial"/>
          <w:sz w:val="20"/>
          <w:szCs w:val="20"/>
        </w:rPr>
        <w:t xml:space="preserve"> jsou obecně podporovány rozmanité projekty mající kulturní základ. Mezi nimi jsou rovněž podporovány </w:t>
      </w:r>
      <w:r w:rsidRPr="00365369">
        <w:rPr>
          <w:rFonts w:eastAsia="Calibri" w:cs="Arial"/>
          <w:bCs/>
          <w:sz w:val="20"/>
          <w:szCs w:val="20"/>
        </w:rPr>
        <w:t>aktivity určené na podporu hendikepovaných: např. vytváření vzdělávacích programů, virtuálních výstav a haptických expozic, vydávání speciálních průvodců a publikací určených sluchově a zrakově postiženým.</w:t>
      </w:r>
      <w:r w:rsidRPr="00365369">
        <w:rPr>
          <w:rFonts w:eastAsia="Calibri" w:cs="Arial"/>
          <w:sz w:val="20"/>
          <w:szCs w:val="20"/>
        </w:rPr>
        <w:t xml:space="preserve"> Seznam podpořených projektů od roku 2011 do roku 2023 lze nalézt na webových stránkách Ministerstva kultury, v odkazu: </w:t>
      </w:r>
      <w:hyperlink r:id="rId124" w:history="1">
        <w:r w:rsidRPr="00365369">
          <w:rPr>
            <w:rFonts w:eastAsia="Calibri" w:cs="Arial"/>
            <w:color w:val="0563C1"/>
            <w:sz w:val="20"/>
            <w:szCs w:val="20"/>
            <w:u w:val="single"/>
          </w:rPr>
          <w:t>https://mk.gov.cz/program-kulturni-aktivity-podpora-projektu-spolku-a-pobocnych-spolku-cs-530</w:t>
        </w:r>
      </w:hyperlink>
    </w:p>
    <w:p w14:paraId="2C3D4132" w14:textId="4F7700FA" w:rsidR="00365369" w:rsidRPr="00365369" w:rsidRDefault="005000D6" w:rsidP="00365369">
      <w:pPr>
        <w:rPr>
          <w:rFonts w:eastAsia="Calibri" w:cs="Arial"/>
          <w:bCs/>
          <w:sz w:val="20"/>
          <w:szCs w:val="20"/>
        </w:rPr>
      </w:pPr>
      <w:r>
        <w:rPr>
          <w:rFonts w:eastAsia="Calibri" w:cs="Arial"/>
          <w:bCs/>
          <w:sz w:val="20"/>
          <w:szCs w:val="20"/>
        </w:rPr>
        <w:lastRenderedPageBreak/>
        <w:t xml:space="preserve">Například </w:t>
      </w:r>
      <w:r w:rsidR="00365369" w:rsidRPr="00365369">
        <w:rPr>
          <w:rFonts w:eastAsia="Calibri" w:cs="Arial"/>
          <w:bCs/>
          <w:sz w:val="20"/>
          <w:szCs w:val="20"/>
        </w:rPr>
        <w:t xml:space="preserve">Uměleckoprůmyslové museum </w:t>
      </w:r>
      <w:r w:rsidR="00A802CD">
        <w:rPr>
          <w:rFonts w:eastAsia="Calibri" w:cs="Arial"/>
          <w:bCs/>
          <w:sz w:val="20"/>
          <w:szCs w:val="20"/>
        </w:rPr>
        <w:t>v Praze (UPM) v roce 2023</w:t>
      </w:r>
      <w:r w:rsidR="00365369" w:rsidRPr="00365369">
        <w:rPr>
          <w:rFonts w:eastAsia="Calibri" w:cs="Arial"/>
          <w:bCs/>
          <w:sz w:val="20"/>
          <w:szCs w:val="20"/>
        </w:rPr>
        <w:t xml:space="preserve"> vydalo celkem 12 publikací zpřístupňujících sbírkové fondy UPM či jeho historickou budovu a ex</w:t>
      </w:r>
      <w:r w:rsidR="00A802CD">
        <w:rPr>
          <w:rFonts w:eastAsia="Calibri" w:cs="Arial"/>
          <w:bCs/>
          <w:sz w:val="20"/>
          <w:szCs w:val="20"/>
        </w:rPr>
        <w:t>pozice. Zvláště srozumitelnou a </w:t>
      </w:r>
      <w:r w:rsidR="00365369" w:rsidRPr="00365369">
        <w:rPr>
          <w:rFonts w:eastAsia="Calibri" w:cs="Arial"/>
          <w:bCs/>
          <w:sz w:val="20"/>
          <w:szCs w:val="20"/>
        </w:rPr>
        <w:t>atraktivní formou byly koncipovány publikace jako např. Průvodce stálou expozici ART, LIFE nebo Průvodce expozicí Český kubismus. Pro mladší čtenáře byl vydán ilustrovaný průvodce S pastelkami po Uměleckoprůmyslovém museu v Praze.</w:t>
      </w:r>
    </w:p>
    <w:p w14:paraId="5BDF3A51" w14:textId="6A8C390C" w:rsidR="001E1497" w:rsidRPr="00365369" w:rsidRDefault="001E1497" w:rsidP="00C82AF6">
      <w:pPr>
        <w:rPr>
          <w:rFonts w:cs="Arial"/>
          <w:b/>
          <w:sz w:val="20"/>
          <w:szCs w:val="20"/>
        </w:rPr>
      </w:pPr>
      <w:r w:rsidRPr="00365369">
        <w:rPr>
          <w:rFonts w:cs="Arial"/>
          <w:b/>
          <w:bCs/>
          <w:sz w:val="20"/>
          <w:szCs w:val="20"/>
          <w:lang w:eastAsia="cs-CZ"/>
        </w:rPr>
        <w:t>STANOVISKO K PLNĚNÍ:</w:t>
      </w:r>
      <w:r w:rsidR="0020173C" w:rsidRPr="00365369">
        <w:rPr>
          <w:rFonts w:cs="Arial"/>
          <w:b/>
          <w:bCs/>
          <w:sz w:val="20"/>
          <w:szCs w:val="20"/>
          <w:lang w:eastAsia="cs-CZ"/>
        </w:rPr>
        <w:t xml:space="preserve"> </w:t>
      </w:r>
      <w:r w:rsidR="0020173C" w:rsidRPr="00365369">
        <w:rPr>
          <w:rFonts w:cs="Arial"/>
          <w:b/>
          <w:sz w:val="20"/>
          <w:szCs w:val="20"/>
        </w:rPr>
        <w:t>Plněno.</w:t>
      </w:r>
    </w:p>
    <w:p w14:paraId="246990BB" w14:textId="77777777" w:rsidR="001E1497" w:rsidRPr="00C82AF6" w:rsidRDefault="001E1497" w:rsidP="00C82AF6">
      <w:pPr>
        <w:rPr>
          <w:rFonts w:cs="Arial"/>
          <w:sz w:val="20"/>
          <w:szCs w:val="20"/>
        </w:rPr>
      </w:pPr>
    </w:p>
    <w:p w14:paraId="6DABFE23" w14:textId="77777777" w:rsidR="00F17E74" w:rsidRPr="0057756D" w:rsidRDefault="00F17E74" w:rsidP="00B268B8">
      <w:pPr>
        <w:rPr>
          <w:rFonts w:cs="Arial"/>
          <w:szCs w:val="20"/>
        </w:rPr>
      </w:pPr>
      <w:r w:rsidRPr="0035060D">
        <w:rPr>
          <w:rFonts w:cs="Arial"/>
          <w:bCs/>
          <w:szCs w:val="20"/>
        </w:rPr>
        <w:t xml:space="preserve">Opatření </w:t>
      </w:r>
      <w:r>
        <w:rPr>
          <w:rFonts w:cs="Arial"/>
          <w:bCs/>
          <w:szCs w:val="20"/>
        </w:rPr>
        <w:t>1</w:t>
      </w:r>
      <w:r w:rsidR="00766EEB">
        <w:rPr>
          <w:rFonts w:cs="Arial"/>
          <w:bCs/>
          <w:szCs w:val="20"/>
        </w:rPr>
        <w:t>5</w:t>
      </w:r>
      <w:r>
        <w:rPr>
          <w:rFonts w:cs="Arial"/>
          <w:szCs w:val="20"/>
        </w:rPr>
        <w:t xml:space="preserve">.1.6 </w:t>
      </w:r>
      <w:r w:rsidRPr="0057756D">
        <w:rPr>
          <w:rFonts w:cs="Arial"/>
          <w:szCs w:val="20"/>
        </w:rPr>
        <w:t>Podporovat vlastní příspěvkové organizace ve vytváření systému slev ze</w:t>
      </w:r>
      <w:r w:rsidR="00D57DD0">
        <w:rPr>
          <w:rFonts w:cs="Arial"/>
          <w:szCs w:val="20"/>
        </w:rPr>
        <w:t> </w:t>
      </w:r>
      <w:r w:rsidRPr="0057756D">
        <w:rPr>
          <w:rFonts w:cs="Arial"/>
          <w:szCs w:val="20"/>
        </w:rPr>
        <w:t xml:space="preserve">vstupného pro osoby se zdravotním postižením. </w:t>
      </w:r>
    </w:p>
    <w:p w14:paraId="7A416B37" w14:textId="17E94E13" w:rsidR="00F17E74" w:rsidRPr="0057756D" w:rsidRDefault="00FF7062" w:rsidP="00B268B8">
      <w:pPr>
        <w:rPr>
          <w:rFonts w:cs="Arial"/>
          <w:szCs w:val="20"/>
        </w:rPr>
      </w:pPr>
      <w:r>
        <w:rPr>
          <w:rFonts w:cs="Arial"/>
          <w:szCs w:val="20"/>
        </w:rPr>
        <w:t>Termín: průběžně</w:t>
      </w:r>
    </w:p>
    <w:p w14:paraId="3ABB0967" w14:textId="77777777" w:rsidR="00F17E74" w:rsidRPr="0057756D" w:rsidRDefault="00F17E74" w:rsidP="00B268B8">
      <w:pPr>
        <w:rPr>
          <w:rFonts w:cs="Arial"/>
          <w:szCs w:val="20"/>
        </w:rPr>
      </w:pPr>
      <w:r w:rsidRPr="0057756D">
        <w:rPr>
          <w:rFonts w:cs="Arial"/>
          <w:szCs w:val="20"/>
        </w:rPr>
        <w:t xml:space="preserve">Gestor: MK </w:t>
      </w:r>
    </w:p>
    <w:p w14:paraId="346487F7" w14:textId="0FB86290" w:rsidR="00F17E74" w:rsidRDefault="00F17E74" w:rsidP="00B268B8">
      <w:pPr>
        <w:rPr>
          <w:rFonts w:cs="Arial"/>
          <w:szCs w:val="20"/>
        </w:rPr>
      </w:pPr>
      <w:r w:rsidRPr="00831152">
        <w:rPr>
          <w:rFonts w:cs="Arial"/>
          <w:szCs w:val="20"/>
        </w:rPr>
        <w:t>Indikátor:</w:t>
      </w:r>
      <w:r w:rsidRPr="00193A00">
        <w:rPr>
          <w:rFonts w:cs="Arial"/>
          <w:szCs w:val="20"/>
        </w:rPr>
        <w:t xml:space="preserve"> Příspěvkové organizace </w:t>
      </w:r>
      <w:r>
        <w:rPr>
          <w:rFonts w:cs="Arial"/>
          <w:szCs w:val="20"/>
        </w:rPr>
        <w:t>jsou</w:t>
      </w:r>
      <w:r w:rsidRPr="00193A00">
        <w:rPr>
          <w:rFonts w:cs="Arial"/>
          <w:szCs w:val="20"/>
        </w:rPr>
        <w:t xml:space="preserve"> motivovány k </w:t>
      </w:r>
      <w:r w:rsidR="00B268B8">
        <w:rPr>
          <w:rFonts w:cs="Arial"/>
          <w:szCs w:val="20"/>
        </w:rPr>
        <w:t>poskytování slev ze vstupného.</w:t>
      </w:r>
    </w:p>
    <w:p w14:paraId="2FA9ED07" w14:textId="77777777" w:rsidR="00B268B8" w:rsidRPr="00B75F0D" w:rsidRDefault="00B268B8" w:rsidP="003F1637">
      <w:pPr>
        <w:rPr>
          <w:rFonts w:cs="Arial"/>
          <w:sz w:val="20"/>
          <w:szCs w:val="20"/>
        </w:rPr>
      </w:pPr>
    </w:p>
    <w:p w14:paraId="1780E2D6" w14:textId="44CB0125" w:rsidR="00416C46" w:rsidRPr="00B75F0D" w:rsidRDefault="00416C46" w:rsidP="003F1637">
      <w:pPr>
        <w:tabs>
          <w:tab w:val="left" w:pos="720"/>
        </w:tabs>
        <w:rPr>
          <w:rFonts w:cs="Arial"/>
          <w:b/>
          <w:bCs/>
          <w:sz w:val="20"/>
          <w:szCs w:val="20"/>
          <w:lang w:eastAsia="cs-CZ"/>
        </w:rPr>
      </w:pPr>
      <w:r w:rsidRPr="00B75F0D">
        <w:rPr>
          <w:rFonts w:cs="Arial"/>
          <w:b/>
          <w:bCs/>
          <w:sz w:val="20"/>
          <w:szCs w:val="20"/>
          <w:lang w:eastAsia="cs-CZ"/>
        </w:rPr>
        <w:t>PLNĚNÍ MK:</w:t>
      </w:r>
    </w:p>
    <w:p w14:paraId="3AF7AF53" w14:textId="42E22C11" w:rsidR="00B75F0D" w:rsidRPr="00B75F0D" w:rsidRDefault="00B75F0D" w:rsidP="00B75F0D">
      <w:pPr>
        <w:rPr>
          <w:rFonts w:eastAsia="Calibri"/>
          <w:bCs/>
          <w:sz w:val="20"/>
          <w:szCs w:val="20"/>
        </w:rPr>
      </w:pPr>
      <w:r w:rsidRPr="00B75F0D">
        <w:rPr>
          <w:rFonts w:eastAsia="Calibri"/>
          <w:bCs/>
          <w:sz w:val="20"/>
          <w:szCs w:val="20"/>
        </w:rPr>
        <w:t xml:space="preserve">Příspěvkové organizace Ministerstva kultury vytvářejí systém slev. Aktualizovaný přehled slev je zveřejňován na webových stránkách ministerstva </w:t>
      </w:r>
      <w:hyperlink r:id="rId125" w:history="1">
        <w:r w:rsidRPr="00B75F0D">
          <w:rPr>
            <w:rFonts w:eastAsia="Calibri"/>
            <w:bCs/>
            <w:sz w:val="20"/>
            <w:szCs w:val="20"/>
            <w:u w:val="single"/>
          </w:rPr>
          <w:t>https://www.mkcr.cz/slevy-ze-vstupneho-na-kulturni-akce-a-do-kulturnich-objektu-178.html</w:t>
        </w:r>
      </w:hyperlink>
      <w:r w:rsidRPr="00B75F0D">
        <w:rPr>
          <w:rFonts w:eastAsia="Calibri"/>
          <w:bCs/>
          <w:sz w:val="20"/>
          <w:szCs w:val="20"/>
        </w:rPr>
        <w:t>. Aktualizace jsou prováděny 2x ročně.</w:t>
      </w:r>
    </w:p>
    <w:p w14:paraId="5A34A6E9" w14:textId="1D6793D2" w:rsidR="00416C46" w:rsidRPr="00B75F0D" w:rsidRDefault="00416C46" w:rsidP="003F1637">
      <w:pPr>
        <w:rPr>
          <w:rFonts w:cs="Arial"/>
          <w:b/>
          <w:sz w:val="20"/>
          <w:szCs w:val="20"/>
        </w:rPr>
      </w:pPr>
      <w:r w:rsidRPr="00B75F0D">
        <w:rPr>
          <w:rFonts w:cs="Arial"/>
          <w:b/>
          <w:bCs/>
          <w:sz w:val="20"/>
          <w:szCs w:val="20"/>
          <w:lang w:eastAsia="cs-CZ"/>
        </w:rPr>
        <w:t>STANOVISKO K PLNĚNÍ:</w:t>
      </w:r>
      <w:r w:rsidR="005632FC" w:rsidRPr="00B75F0D">
        <w:rPr>
          <w:rFonts w:cs="Arial"/>
          <w:b/>
          <w:bCs/>
          <w:sz w:val="20"/>
          <w:szCs w:val="20"/>
          <w:lang w:eastAsia="cs-CZ"/>
        </w:rPr>
        <w:t xml:space="preserve"> </w:t>
      </w:r>
      <w:r w:rsidR="005632FC" w:rsidRPr="00B75F0D">
        <w:rPr>
          <w:rFonts w:cs="Arial"/>
          <w:b/>
          <w:sz w:val="20"/>
          <w:szCs w:val="20"/>
        </w:rPr>
        <w:t>Plněno.</w:t>
      </w:r>
    </w:p>
    <w:p w14:paraId="39DD0B3F" w14:textId="77777777" w:rsidR="00416C46" w:rsidRPr="003F1637" w:rsidRDefault="00416C46" w:rsidP="003F1637">
      <w:pPr>
        <w:rPr>
          <w:rFonts w:cs="Arial"/>
          <w:sz w:val="20"/>
          <w:szCs w:val="20"/>
        </w:rPr>
      </w:pPr>
    </w:p>
    <w:p w14:paraId="0FC0D684"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1</w:t>
      </w:r>
      <w:r w:rsidR="00766EEB">
        <w:rPr>
          <w:rFonts w:cs="Arial"/>
          <w:bCs/>
          <w:szCs w:val="20"/>
        </w:rPr>
        <w:t>5</w:t>
      </w:r>
      <w:r>
        <w:rPr>
          <w:rFonts w:cs="Arial"/>
          <w:szCs w:val="20"/>
        </w:rPr>
        <w:t xml:space="preserve">.1.7 </w:t>
      </w:r>
      <w:r w:rsidRPr="0057756D">
        <w:rPr>
          <w:rFonts w:cs="Arial"/>
          <w:szCs w:val="20"/>
        </w:rPr>
        <w:t>Podporovat dostupnost veřejných knihovnických a informačních služeb knihoven prostřednictvím dotačního řízení na zajištění nabídky zvukových knih a zavádění technických zařízení umožňujících osobám se zrakovým postižením zpřístupnění knihovních fondů a elektronických informačních zdrojů.</w:t>
      </w:r>
    </w:p>
    <w:p w14:paraId="73F239E0" w14:textId="77777777" w:rsidR="00F17E74" w:rsidRPr="0057756D" w:rsidRDefault="00F17E74" w:rsidP="00F17E74">
      <w:pPr>
        <w:rPr>
          <w:rFonts w:cs="Arial"/>
          <w:szCs w:val="20"/>
        </w:rPr>
      </w:pPr>
      <w:r w:rsidRPr="0057756D">
        <w:rPr>
          <w:rFonts w:cs="Arial"/>
          <w:szCs w:val="20"/>
        </w:rPr>
        <w:t>Termín: průběžně</w:t>
      </w:r>
    </w:p>
    <w:p w14:paraId="2EA341DC" w14:textId="77777777" w:rsidR="00F17E74" w:rsidRPr="0057756D" w:rsidRDefault="00F17E74" w:rsidP="006B4233">
      <w:pPr>
        <w:rPr>
          <w:rFonts w:cs="Arial"/>
          <w:szCs w:val="20"/>
        </w:rPr>
      </w:pPr>
      <w:r w:rsidRPr="0057756D">
        <w:rPr>
          <w:rFonts w:cs="Arial"/>
          <w:szCs w:val="20"/>
        </w:rPr>
        <w:t>Gestor: MK</w:t>
      </w:r>
    </w:p>
    <w:p w14:paraId="48225596" w14:textId="7B2A5F8E" w:rsidR="00622597" w:rsidRDefault="00F17E74" w:rsidP="006B4233">
      <w:pPr>
        <w:rPr>
          <w:rFonts w:cs="Arial"/>
          <w:szCs w:val="20"/>
        </w:rPr>
      </w:pPr>
      <w:r w:rsidRPr="00831152">
        <w:rPr>
          <w:rFonts w:cs="Arial"/>
          <w:szCs w:val="20"/>
        </w:rPr>
        <w:t>Indikátor:</w:t>
      </w:r>
      <w:r w:rsidRPr="00193A00">
        <w:rPr>
          <w:rFonts w:cs="Arial"/>
          <w:szCs w:val="20"/>
        </w:rPr>
        <w:t xml:space="preserve"> </w:t>
      </w:r>
      <w:r>
        <w:rPr>
          <w:rFonts w:cs="Arial"/>
          <w:szCs w:val="20"/>
        </w:rPr>
        <w:t>Je vyhlašován dotační program na podporu uvedených aktivit.</w:t>
      </w:r>
    </w:p>
    <w:p w14:paraId="23A0B536" w14:textId="77777777" w:rsidR="006B4233" w:rsidRPr="0096386D" w:rsidRDefault="006B4233" w:rsidP="0096386D">
      <w:pPr>
        <w:rPr>
          <w:rFonts w:cs="Arial"/>
          <w:sz w:val="20"/>
          <w:szCs w:val="20"/>
        </w:rPr>
      </w:pPr>
    </w:p>
    <w:p w14:paraId="74D749D5" w14:textId="5102D004" w:rsidR="003B100A" w:rsidRPr="00EB6389" w:rsidRDefault="003B100A" w:rsidP="00EB6389">
      <w:pPr>
        <w:tabs>
          <w:tab w:val="left" w:pos="720"/>
        </w:tabs>
        <w:rPr>
          <w:rFonts w:cs="Arial"/>
          <w:b/>
          <w:bCs/>
          <w:sz w:val="20"/>
          <w:szCs w:val="20"/>
          <w:lang w:eastAsia="cs-CZ"/>
        </w:rPr>
      </w:pPr>
      <w:r w:rsidRPr="00EB6389">
        <w:rPr>
          <w:rFonts w:cs="Arial"/>
          <w:b/>
          <w:bCs/>
          <w:sz w:val="20"/>
          <w:szCs w:val="20"/>
          <w:lang w:eastAsia="cs-CZ"/>
        </w:rPr>
        <w:t>PLNĚNÍ MK:</w:t>
      </w:r>
    </w:p>
    <w:p w14:paraId="11524EF6" w14:textId="77777777" w:rsidR="00EB6389" w:rsidRPr="00EB6389" w:rsidRDefault="00EB6389" w:rsidP="00EB6389">
      <w:pPr>
        <w:rPr>
          <w:rFonts w:eastAsia="Calibri"/>
          <w:bCs/>
          <w:sz w:val="20"/>
          <w:szCs w:val="20"/>
        </w:rPr>
      </w:pPr>
      <w:r w:rsidRPr="00EB6389">
        <w:rPr>
          <w:rFonts w:eastAsia="Calibri"/>
          <w:bCs/>
          <w:sz w:val="20"/>
          <w:szCs w:val="20"/>
        </w:rPr>
        <w:t xml:space="preserve">Oddělení literatury a knihoven v roce 2023 v souladu </w:t>
      </w:r>
      <w:r w:rsidRPr="00FA4FF1">
        <w:rPr>
          <w:rFonts w:eastAsia="Calibri"/>
          <w:bCs/>
          <w:sz w:val="20"/>
          <w:szCs w:val="20"/>
        </w:rPr>
        <w:t>s nařízením vlády č. 288/2002 Sb., kterým se stanoví pravidla poskytování dotací na podporu knihoven, v platném znění, a Koncepcí rozvoje knihoven v ČR na léta 2021-27 vyhlašovalo dotační řízení Knihovna 21. století, určené</w:t>
      </w:r>
      <w:r w:rsidRPr="00EB6389">
        <w:rPr>
          <w:rFonts w:eastAsia="Calibri"/>
          <w:bCs/>
          <w:sz w:val="20"/>
          <w:szCs w:val="20"/>
        </w:rPr>
        <w:t xml:space="preserve"> knihovnám evidovaným dle knihovního zákona. Jedním z jeho tematických okruhů je Podpora všeobecné dostupnosti knihovnických služeb pro občany se zdravotním postižením</w:t>
      </w:r>
    </w:p>
    <w:p w14:paraId="1DABFAB4" w14:textId="77777777" w:rsidR="00EB6389" w:rsidRPr="00EB6389" w:rsidRDefault="00EB6389" w:rsidP="006A1E1C">
      <w:pPr>
        <w:numPr>
          <w:ilvl w:val="1"/>
          <w:numId w:val="12"/>
        </w:numPr>
        <w:rPr>
          <w:rFonts w:eastAsia="Calibri"/>
          <w:sz w:val="20"/>
          <w:szCs w:val="20"/>
        </w:rPr>
      </w:pPr>
      <w:r w:rsidRPr="00EB6389">
        <w:rPr>
          <w:rFonts w:eastAsia="Calibri"/>
          <w:sz w:val="20"/>
          <w:szCs w:val="20"/>
        </w:rPr>
        <w:t xml:space="preserve">nákup knihovních fondů pro nevidomé a slabozraké, který souvisí s aktivitami pro zrakově postižené - </w:t>
      </w:r>
      <w:r w:rsidRPr="00EB6389">
        <w:rPr>
          <w:rFonts w:eastAsia="Calibri"/>
          <w:bCs/>
          <w:sz w:val="20"/>
          <w:szCs w:val="20"/>
        </w:rPr>
        <w:t>dotace je určena pouze na nákup zvukových knih a licencí k jejich užívání. Zvukové</w:t>
      </w:r>
      <w:r w:rsidRPr="00EB6389">
        <w:rPr>
          <w:rFonts w:eastAsia="Calibri"/>
          <w:sz w:val="20"/>
          <w:szCs w:val="20"/>
        </w:rPr>
        <w:t xml:space="preserve"> knihy jsou určené výhradně a prokazatelně pouze k půjčování zrakově postiženým a zdravotně postiženým, jimž rozsah postižení znemožňuje číst tištěné dokumenty. Fond by měl být pro tyto účely označen,</w:t>
      </w:r>
    </w:p>
    <w:p w14:paraId="69BD7BDE" w14:textId="77777777" w:rsidR="00EB6389" w:rsidRPr="00EB6389" w:rsidRDefault="00EB6389" w:rsidP="006A1E1C">
      <w:pPr>
        <w:numPr>
          <w:ilvl w:val="1"/>
          <w:numId w:val="12"/>
        </w:numPr>
        <w:rPr>
          <w:rFonts w:eastAsia="Calibri"/>
          <w:sz w:val="20"/>
          <w:szCs w:val="20"/>
        </w:rPr>
      </w:pPr>
      <w:bookmarkStart w:id="58" w:name="_heading=h.30j0zll" w:colFirst="0" w:colLast="0"/>
      <w:bookmarkEnd w:id="58"/>
      <w:r w:rsidRPr="00EB6389">
        <w:rPr>
          <w:rFonts w:eastAsia="Calibri"/>
          <w:sz w:val="20"/>
          <w:szCs w:val="20"/>
        </w:rPr>
        <w:t>nákup technických zařízení a pomůcek (s výjimkou běžného hardware) umožňujících zpřístupnění knihovních fondů a elektronických informačních zdrojů a služeb v knihovnách zdravotně postiženým, zejména nevidomým a slabozrakým a sluchově postiženým,</w:t>
      </w:r>
    </w:p>
    <w:p w14:paraId="2545E17F" w14:textId="77777777" w:rsidR="00EB6389" w:rsidRPr="00EB6389" w:rsidRDefault="00EB6389" w:rsidP="006A1E1C">
      <w:pPr>
        <w:numPr>
          <w:ilvl w:val="1"/>
          <w:numId w:val="12"/>
        </w:numPr>
        <w:rPr>
          <w:rFonts w:eastAsia="Calibri"/>
          <w:sz w:val="20"/>
          <w:szCs w:val="20"/>
        </w:rPr>
      </w:pPr>
      <w:r w:rsidRPr="00EB6389">
        <w:rPr>
          <w:rFonts w:eastAsia="Calibri"/>
          <w:sz w:val="20"/>
          <w:szCs w:val="20"/>
        </w:rPr>
        <w:t>nákup „lekoték“ pro děti se specifickými vzdělávacími potřebami vyvolanými zdravotním handicapem, pro osoby se zdravotním postižením i seniory a podpora aktivit pro danou skupinu,</w:t>
      </w:r>
    </w:p>
    <w:p w14:paraId="670B9DD3" w14:textId="68A0951D" w:rsidR="00EB6389" w:rsidRPr="00EB6389" w:rsidRDefault="00EB6389" w:rsidP="006A1E1C">
      <w:pPr>
        <w:numPr>
          <w:ilvl w:val="1"/>
          <w:numId w:val="12"/>
        </w:numPr>
        <w:rPr>
          <w:rFonts w:eastAsia="Calibri"/>
          <w:sz w:val="20"/>
          <w:szCs w:val="20"/>
        </w:rPr>
      </w:pPr>
      <w:r w:rsidRPr="00EB6389">
        <w:rPr>
          <w:rFonts w:eastAsia="Calibri"/>
          <w:sz w:val="20"/>
          <w:szCs w:val="20"/>
        </w:rPr>
        <w:t>podpora kulturních a vzdělávacích aktivit pro občany se zdravotním postižením.</w:t>
      </w:r>
    </w:p>
    <w:p w14:paraId="73F2F919" w14:textId="32C44E33" w:rsidR="00EB6389" w:rsidRPr="00EB6389" w:rsidRDefault="00EB6389" w:rsidP="00EB6389">
      <w:pPr>
        <w:rPr>
          <w:rFonts w:eastAsia="Calibri"/>
          <w:sz w:val="20"/>
          <w:szCs w:val="20"/>
        </w:rPr>
      </w:pPr>
      <w:r w:rsidRPr="00EB6389">
        <w:rPr>
          <w:rFonts w:eastAsia="Calibri"/>
          <w:sz w:val="20"/>
          <w:szCs w:val="20"/>
        </w:rPr>
        <w:t>V r. 2023 byly poskytnuty dotace 11 projektům ve výši 124 tis. Kč.</w:t>
      </w:r>
    </w:p>
    <w:p w14:paraId="47137A9B" w14:textId="6C7B3B59" w:rsidR="003B100A" w:rsidRPr="00EB6389" w:rsidRDefault="003B100A" w:rsidP="00EB6389">
      <w:pPr>
        <w:rPr>
          <w:rFonts w:cs="Arial"/>
          <w:b/>
          <w:sz w:val="20"/>
          <w:szCs w:val="20"/>
        </w:rPr>
      </w:pPr>
      <w:r w:rsidRPr="00EB6389">
        <w:rPr>
          <w:rFonts w:cs="Arial"/>
          <w:b/>
          <w:bCs/>
          <w:sz w:val="20"/>
          <w:szCs w:val="20"/>
          <w:lang w:eastAsia="cs-CZ"/>
        </w:rPr>
        <w:lastRenderedPageBreak/>
        <w:t>STANOVISKO K PLNĚNÍ:</w:t>
      </w:r>
      <w:r w:rsidR="00307EC5" w:rsidRPr="00EB6389">
        <w:rPr>
          <w:rFonts w:cs="Arial"/>
          <w:b/>
          <w:bCs/>
          <w:sz w:val="20"/>
          <w:szCs w:val="20"/>
          <w:lang w:eastAsia="cs-CZ"/>
        </w:rPr>
        <w:t xml:space="preserve"> </w:t>
      </w:r>
      <w:r w:rsidR="00307EC5" w:rsidRPr="00EB6389">
        <w:rPr>
          <w:rFonts w:cs="Arial"/>
          <w:b/>
          <w:sz w:val="20"/>
          <w:szCs w:val="20"/>
        </w:rPr>
        <w:t>Plněno.</w:t>
      </w:r>
    </w:p>
    <w:p w14:paraId="7524E07E" w14:textId="77777777" w:rsidR="003B100A" w:rsidRPr="0096386D" w:rsidRDefault="003B100A" w:rsidP="0096386D">
      <w:pPr>
        <w:rPr>
          <w:rFonts w:cs="Arial"/>
          <w:sz w:val="20"/>
          <w:szCs w:val="20"/>
        </w:rPr>
      </w:pPr>
    </w:p>
    <w:p w14:paraId="683A2BF7" w14:textId="77777777" w:rsidR="00F17E74" w:rsidRPr="0057756D" w:rsidRDefault="00F17E74" w:rsidP="006B4233">
      <w:pPr>
        <w:rPr>
          <w:rFonts w:cs="Arial"/>
          <w:szCs w:val="20"/>
        </w:rPr>
      </w:pPr>
      <w:r w:rsidRPr="0035060D">
        <w:rPr>
          <w:rFonts w:cs="Arial"/>
          <w:bCs/>
          <w:szCs w:val="20"/>
        </w:rPr>
        <w:t xml:space="preserve">Opatření </w:t>
      </w:r>
      <w:r>
        <w:rPr>
          <w:rFonts w:cs="Arial"/>
          <w:bCs/>
          <w:szCs w:val="20"/>
        </w:rPr>
        <w:t>1</w:t>
      </w:r>
      <w:r w:rsidR="00766EEB">
        <w:rPr>
          <w:rFonts w:cs="Arial"/>
          <w:bCs/>
          <w:szCs w:val="20"/>
        </w:rPr>
        <w:t>5</w:t>
      </w:r>
      <w:r>
        <w:rPr>
          <w:rFonts w:cs="Arial"/>
          <w:szCs w:val="20"/>
        </w:rPr>
        <w:t xml:space="preserve">.1.8 </w:t>
      </w:r>
      <w:r w:rsidRPr="0057756D">
        <w:rPr>
          <w:rFonts w:cs="Arial"/>
          <w:szCs w:val="20"/>
        </w:rPr>
        <w:t>Podporovat v knihovnách zavádění standardu Handicap Friendly</w:t>
      </w:r>
      <w:r w:rsidR="00C13094">
        <w:rPr>
          <w:rStyle w:val="Znakapoznpodarou"/>
          <w:rFonts w:cs="Arial"/>
          <w:szCs w:val="20"/>
        </w:rPr>
        <w:footnoteReference w:id="3"/>
      </w:r>
      <w:r w:rsidRPr="0057756D">
        <w:rPr>
          <w:rFonts w:cs="Arial"/>
          <w:szCs w:val="20"/>
        </w:rPr>
        <w:t xml:space="preserve"> a</w:t>
      </w:r>
      <w:r w:rsidR="00AB219D">
        <w:rPr>
          <w:rFonts w:cs="Arial"/>
          <w:szCs w:val="20"/>
        </w:rPr>
        <w:t> </w:t>
      </w:r>
      <w:r w:rsidRPr="0057756D">
        <w:rPr>
          <w:rFonts w:cs="Arial"/>
          <w:szCs w:val="20"/>
        </w:rPr>
        <w:t>poskytování služeb osobám se zdravotním postižením dle tohoto standardu; podporovat a</w:t>
      </w:r>
      <w:r w:rsidR="00AB219D">
        <w:rPr>
          <w:rFonts w:cs="Arial"/>
          <w:szCs w:val="20"/>
        </w:rPr>
        <w:t> </w:t>
      </w:r>
      <w:r w:rsidRPr="0057756D">
        <w:rPr>
          <w:rFonts w:cs="Arial"/>
          <w:szCs w:val="20"/>
        </w:rPr>
        <w:t>rozvíjet činnost Sekce služeb osobám se specifickými potřebami, Sekce SKIP 60+ a Sekce knihovníků – trenérů paměti Svazu knihovníků a informačních pracovníků ČR.</w:t>
      </w:r>
    </w:p>
    <w:p w14:paraId="1AB57FB8" w14:textId="77777777" w:rsidR="00F17E74" w:rsidRPr="0057756D" w:rsidRDefault="00F17E74" w:rsidP="008B5F5A">
      <w:pPr>
        <w:rPr>
          <w:rFonts w:cs="Arial"/>
          <w:szCs w:val="20"/>
        </w:rPr>
      </w:pPr>
      <w:r w:rsidRPr="0057756D">
        <w:rPr>
          <w:rFonts w:cs="Arial"/>
          <w:szCs w:val="20"/>
        </w:rPr>
        <w:t>Termín: průběžně</w:t>
      </w:r>
    </w:p>
    <w:p w14:paraId="3FF17948" w14:textId="77777777" w:rsidR="00F17E74" w:rsidRPr="0057756D" w:rsidRDefault="00F17E74" w:rsidP="008B5F5A">
      <w:pPr>
        <w:rPr>
          <w:rFonts w:cs="Arial"/>
          <w:szCs w:val="20"/>
        </w:rPr>
      </w:pPr>
      <w:r w:rsidRPr="0057756D">
        <w:rPr>
          <w:rFonts w:cs="Arial"/>
          <w:szCs w:val="20"/>
        </w:rPr>
        <w:t>Gestor: MK</w:t>
      </w:r>
    </w:p>
    <w:p w14:paraId="2DC684EA" w14:textId="12DD4AD5" w:rsidR="00F17E74" w:rsidRDefault="00F17E74" w:rsidP="008B5F5A">
      <w:pPr>
        <w:rPr>
          <w:rFonts w:cs="Arial"/>
          <w:szCs w:val="20"/>
        </w:rPr>
      </w:pPr>
      <w:r w:rsidRPr="00831152">
        <w:rPr>
          <w:rFonts w:cs="Arial"/>
          <w:szCs w:val="20"/>
        </w:rPr>
        <w:t>Indikátor:</w:t>
      </w:r>
      <w:r w:rsidR="0059766E">
        <w:rPr>
          <w:rFonts w:cs="Arial"/>
          <w:szCs w:val="20"/>
        </w:rPr>
        <w:t xml:space="preserve"> </w:t>
      </w:r>
      <w:r>
        <w:rPr>
          <w:rFonts w:cs="Arial"/>
          <w:szCs w:val="20"/>
        </w:rPr>
        <w:t xml:space="preserve">V knihovnách jsou </w:t>
      </w:r>
      <w:r w:rsidR="0059766E">
        <w:rPr>
          <w:rFonts w:cs="Arial"/>
          <w:szCs w:val="20"/>
        </w:rPr>
        <w:t>podporovány</w:t>
      </w:r>
      <w:r>
        <w:rPr>
          <w:rFonts w:cs="Arial"/>
          <w:szCs w:val="20"/>
        </w:rPr>
        <w:t xml:space="preserve"> uvedené aktivity.</w:t>
      </w:r>
    </w:p>
    <w:p w14:paraId="4E8C9349" w14:textId="77777777" w:rsidR="008B5F5A" w:rsidRPr="008B5F5A" w:rsidRDefault="008B5F5A" w:rsidP="008B5F5A">
      <w:pPr>
        <w:rPr>
          <w:rFonts w:cs="Arial"/>
          <w:sz w:val="20"/>
          <w:szCs w:val="20"/>
        </w:rPr>
      </w:pPr>
    </w:p>
    <w:p w14:paraId="19485C17" w14:textId="6F0A046D" w:rsidR="00030DCC" w:rsidRPr="00834E5D" w:rsidRDefault="00030DCC" w:rsidP="00834E5D">
      <w:pPr>
        <w:tabs>
          <w:tab w:val="left" w:pos="720"/>
        </w:tabs>
        <w:rPr>
          <w:rFonts w:cs="Arial"/>
          <w:b/>
          <w:bCs/>
          <w:sz w:val="20"/>
          <w:szCs w:val="20"/>
          <w:lang w:eastAsia="cs-CZ"/>
        </w:rPr>
      </w:pPr>
      <w:r w:rsidRPr="00834E5D">
        <w:rPr>
          <w:rFonts w:cs="Arial"/>
          <w:b/>
          <w:bCs/>
          <w:sz w:val="20"/>
          <w:szCs w:val="20"/>
          <w:lang w:eastAsia="cs-CZ"/>
        </w:rPr>
        <w:t>PLNĚNÍ MK:</w:t>
      </w:r>
    </w:p>
    <w:p w14:paraId="7CE866E7" w14:textId="485447A6" w:rsidR="00834E5D" w:rsidRPr="00834E5D" w:rsidRDefault="00834E5D" w:rsidP="00834E5D">
      <w:pPr>
        <w:rPr>
          <w:rFonts w:eastAsia="Calibri"/>
          <w:bCs/>
          <w:sz w:val="20"/>
          <w:szCs w:val="20"/>
        </w:rPr>
      </w:pPr>
      <w:r w:rsidRPr="00834E5D">
        <w:rPr>
          <w:rFonts w:eastAsia="Calibri"/>
          <w:bCs/>
          <w:sz w:val="20"/>
          <w:szCs w:val="20"/>
        </w:rPr>
        <w:t>Národní Knihovna NK ČR dlouhodobě spolupracuje se Sjednocenou organizací nevidomých a slabozrakých České republiky (SONS), jejímž prostřednictvím poskytuje podle výjimky dané Autorským zákonem di</w:t>
      </w:r>
      <w:r w:rsidR="00DC1AAA">
        <w:rPr>
          <w:rFonts w:eastAsia="Calibri"/>
          <w:bCs/>
          <w:sz w:val="20"/>
          <w:szCs w:val="20"/>
        </w:rPr>
        <w:t xml:space="preserve">gitální kopie. </w:t>
      </w:r>
    </w:p>
    <w:p w14:paraId="446096B0" w14:textId="77777777" w:rsidR="00834E5D" w:rsidRPr="00834E5D" w:rsidRDefault="00834E5D" w:rsidP="00834E5D">
      <w:pPr>
        <w:rPr>
          <w:rFonts w:eastAsia="Calibri"/>
          <w:sz w:val="20"/>
          <w:szCs w:val="20"/>
        </w:rPr>
      </w:pPr>
      <w:r w:rsidRPr="00834E5D">
        <w:rPr>
          <w:rFonts w:eastAsia="Calibri"/>
          <w:bCs/>
          <w:sz w:val="20"/>
          <w:szCs w:val="20"/>
        </w:rPr>
        <w:t>Digitální kopie na objednávku NK ČR (a to i u děl, u nichž dosud trvají majetková autorská práva) poskytuje i zájemcům ze stran veřejnosti, kteří prokáží, že splňují podmínky uvedené v § 39, § 39a, §39b autorského zákona. V některých případech studenty zastupují univerzitní pracoviště typu Centra Pyramida Ostravské univerzity, Středisko Teiresiás Masarykovy univerzity a žádost poskytnutí digitálních kopií na základě</w:t>
      </w:r>
      <w:r w:rsidRPr="00834E5D">
        <w:rPr>
          <w:rFonts w:eastAsia="Calibri"/>
          <w:sz w:val="20"/>
          <w:szCs w:val="20"/>
        </w:rPr>
        <w:t xml:space="preserve"> zmíněných výjimek zprostředkovávají.</w:t>
      </w:r>
    </w:p>
    <w:p w14:paraId="309FBF8E" w14:textId="77777777" w:rsidR="00834E5D" w:rsidRPr="00834E5D" w:rsidRDefault="00834E5D" w:rsidP="00834E5D">
      <w:pPr>
        <w:rPr>
          <w:rFonts w:eastAsia="Calibri"/>
          <w:sz w:val="20"/>
          <w:szCs w:val="20"/>
        </w:rPr>
      </w:pPr>
      <w:r w:rsidRPr="00834E5D">
        <w:rPr>
          <w:rFonts w:eastAsia="Calibri"/>
          <w:sz w:val="20"/>
          <w:szCs w:val="20"/>
        </w:rPr>
        <w:t>Řešení certifikátu Handicap Friendly probíhá v NK ČR od roku 2023. V roce 2023 probíhaly komentované prohlídky pro pohybově znevýhodněné (pro jednotlivce nebo skupiny z Pražské org. vozíčkářů a Centra Paraple). Proběhlo mapování přístupnosti budov (Klementina i Hostivaře) ve spolupráci s Pražskou organizací vozíčkářů. Výsledky jsou zveřejněny na webu. Zlepšení služeb a pomůcky byly konzultovány s Pražskou organizací vozíčkářů, Českou unií neslyšících a Sjednocenou organizací nevidomých a slabozrakých. Proběhl pro zájemce kurz českého znakového jazyka. Začala spolupráce s Českou unií neslyšící a domlouvání komentovaných prohlídek.</w:t>
      </w:r>
    </w:p>
    <w:p w14:paraId="7B8486AB" w14:textId="6C2DBB7E" w:rsidR="00834E5D" w:rsidRPr="00834E5D" w:rsidRDefault="00DC1AAA" w:rsidP="00834E5D">
      <w:pPr>
        <w:rPr>
          <w:rFonts w:eastAsia="Calibri"/>
          <w:bCs/>
          <w:sz w:val="20"/>
          <w:szCs w:val="20"/>
        </w:rPr>
      </w:pPr>
      <w:r>
        <w:rPr>
          <w:rFonts w:eastAsia="Calibri"/>
          <w:bCs/>
          <w:sz w:val="20"/>
          <w:szCs w:val="20"/>
        </w:rPr>
        <w:t>Například p</w:t>
      </w:r>
      <w:r w:rsidR="00834E5D" w:rsidRPr="00834E5D">
        <w:rPr>
          <w:rFonts w:eastAsia="Calibri"/>
          <w:bCs/>
          <w:sz w:val="20"/>
          <w:szCs w:val="20"/>
        </w:rPr>
        <w:t xml:space="preserve">řístup k fondům </w:t>
      </w:r>
      <w:r>
        <w:rPr>
          <w:rFonts w:eastAsia="Calibri"/>
          <w:bCs/>
          <w:sz w:val="20"/>
          <w:szCs w:val="20"/>
        </w:rPr>
        <w:t>Moravské zemské knihovny</w:t>
      </w:r>
      <w:r w:rsidRPr="00834E5D">
        <w:rPr>
          <w:rFonts w:eastAsia="Calibri"/>
          <w:bCs/>
          <w:sz w:val="20"/>
          <w:szCs w:val="20"/>
        </w:rPr>
        <w:t xml:space="preserve"> </w:t>
      </w:r>
      <w:r w:rsidR="00834E5D" w:rsidRPr="00834E5D">
        <w:rPr>
          <w:rFonts w:eastAsia="Calibri"/>
          <w:bCs/>
          <w:sz w:val="20"/>
          <w:szCs w:val="20"/>
        </w:rPr>
        <w:t>je ve studovnách a ve volném výběru bezbariérový, v případě potřeby manipulace s fondem na vyšších policích za asistence službu konajícího knihovníka.</w:t>
      </w:r>
    </w:p>
    <w:p w14:paraId="262F5764" w14:textId="77777777" w:rsidR="00834E5D" w:rsidRPr="00834E5D" w:rsidRDefault="00834E5D" w:rsidP="00834E5D">
      <w:pPr>
        <w:rPr>
          <w:rFonts w:eastAsia="Calibri"/>
          <w:sz w:val="20"/>
          <w:szCs w:val="20"/>
          <w:u w:val="single"/>
        </w:rPr>
      </w:pPr>
      <w:r w:rsidRPr="00834E5D">
        <w:rPr>
          <w:rFonts w:eastAsia="Calibri"/>
          <w:sz w:val="20"/>
          <w:szCs w:val="20"/>
        </w:rPr>
        <w:t xml:space="preserve">Dostupné z: </w:t>
      </w:r>
      <w:hyperlink r:id="rId126" w:history="1">
        <w:r w:rsidRPr="00834E5D">
          <w:rPr>
            <w:rFonts w:eastAsia="Calibri"/>
            <w:sz w:val="20"/>
            <w:szCs w:val="20"/>
            <w:u w:val="single"/>
          </w:rPr>
          <w:t>https://ipk.nkp.cz/docs/aktualizovana-verze-publikace-rovny-pristup.-standard-handicap-friendly-2019</w:t>
        </w:r>
      </w:hyperlink>
    </w:p>
    <w:p w14:paraId="3E307677" w14:textId="74809C7A" w:rsidR="00030DCC" w:rsidRPr="00834E5D" w:rsidRDefault="00030DCC" w:rsidP="00834E5D">
      <w:pPr>
        <w:rPr>
          <w:rFonts w:cs="Arial"/>
          <w:b/>
          <w:sz w:val="20"/>
          <w:szCs w:val="20"/>
        </w:rPr>
      </w:pPr>
      <w:r w:rsidRPr="00834E5D">
        <w:rPr>
          <w:rFonts w:cs="Arial"/>
          <w:b/>
          <w:bCs/>
          <w:sz w:val="20"/>
          <w:szCs w:val="20"/>
          <w:lang w:eastAsia="cs-CZ"/>
        </w:rPr>
        <w:t>STANOVISKO K PLNĚNÍ:</w:t>
      </w:r>
      <w:r w:rsidR="00A561BD" w:rsidRPr="00834E5D">
        <w:rPr>
          <w:rFonts w:cs="Arial"/>
          <w:b/>
          <w:bCs/>
          <w:sz w:val="20"/>
          <w:szCs w:val="20"/>
          <w:lang w:eastAsia="cs-CZ"/>
        </w:rPr>
        <w:t xml:space="preserve"> </w:t>
      </w:r>
      <w:r w:rsidR="00A561BD" w:rsidRPr="00834E5D">
        <w:rPr>
          <w:rFonts w:cs="Arial"/>
          <w:b/>
          <w:sz w:val="20"/>
          <w:szCs w:val="20"/>
        </w:rPr>
        <w:t>Plněno.</w:t>
      </w:r>
    </w:p>
    <w:p w14:paraId="0BBB86C3" w14:textId="77777777" w:rsidR="00030DCC" w:rsidRPr="004545EA" w:rsidRDefault="00030DCC" w:rsidP="00834E5D">
      <w:pPr>
        <w:rPr>
          <w:rFonts w:cs="Arial"/>
          <w:sz w:val="20"/>
          <w:szCs w:val="20"/>
        </w:rPr>
      </w:pPr>
    </w:p>
    <w:p w14:paraId="33E5E2F8" w14:textId="77777777" w:rsidR="00F17E74" w:rsidRPr="0057756D" w:rsidRDefault="00F17E74" w:rsidP="00D22346">
      <w:pPr>
        <w:rPr>
          <w:rFonts w:cs="Arial"/>
          <w:szCs w:val="20"/>
        </w:rPr>
      </w:pPr>
      <w:r w:rsidRPr="0035060D">
        <w:rPr>
          <w:rFonts w:cs="Arial"/>
          <w:bCs/>
          <w:szCs w:val="20"/>
        </w:rPr>
        <w:t xml:space="preserve">Opatření </w:t>
      </w:r>
      <w:r>
        <w:rPr>
          <w:rFonts w:cs="Arial"/>
          <w:bCs/>
          <w:szCs w:val="20"/>
        </w:rPr>
        <w:t>1</w:t>
      </w:r>
      <w:r w:rsidR="00766EEB">
        <w:rPr>
          <w:rFonts w:cs="Arial"/>
          <w:bCs/>
          <w:szCs w:val="20"/>
        </w:rPr>
        <w:t>5</w:t>
      </w:r>
      <w:r>
        <w:rPr>
          <w:rFonts w:cs="Arial"/>
          <w:szCs w:val="20"/>
        </w:rPr>
        <w:t xml:space="preserve">.1.9 </w:t>
      </w:r>
      <w:r w:rsidRPr="0057756D">
        <w:rPr>
          <w:rFonts w:cs="Arial"/>
          <w:szCs w:val="20"/>
        </w:rPr>
        <w:t>V rámci činnosti Knihovny a tiskárny pro nevidomé K. E. Macana provozovat novou službu digitální knihovny pro osoby se zrakovým postižením CAMELOT zajišťující zpřístupňování periodik a zachovat roční produkci cca 150 zvukových knih a cca 50 knih v</w:t>
      </w:r>
      <w:r w:rsidR="001A1374">
        <w:rPr>
          <w:rFonts w:cs="Arial"/>
          <w:szCs w:val="20"/>
        </w:rPr>
        <w:t> </w:t>
      </w:r>
      <w:r w:rsidR="002B3E7C">
        <w:rPr>
          <w:rFonts w:cs="Arial"/>
          <w:szCs w:val="20"/>
        </w:rPr>
        <w:t>Braillově</w:t>
      </w:r>
      <w:r w:rsidRPr="0057756D">
        <w:rPr>
          <w:rFonts w:cs="Arial"/>
          <w:szCs w:val="20"/>
        </w:rPr>
        <w:t xml:space="preserve"> písmu.</w:t>
      </w:r>
    </w:p>
    <w:p w14:paraId="15411565" w14:textId="77777777" w:rsidR="00F17E74" w:rsidRPr="0057756D" w:rsidRDefault="00F17E74" w:rsidP="00D22346">
      <w:pPr>
        <w:rPr>
          <w:rFonts w:cs="Arial"/>
          <w:szCs w:val="20"/>
        </w:rPr>
      </w:pPr>
      <w:r w:rsidRPr="0057756D">
        <w:rPr>
          <w:rFonts w:cs="Arial"/>
          <w:szCs w:val="20"/>
        </w:rPr>
        <w:t>Termín: průběžně</w:t>
      </w:r>
    </w:p>
    <w:p w14:paraId="7CDE7A3C" w14:textId="77777777" w:rsidR="00F17E74" w:rsidRPr="0057756D" w:rsidRDefault="00F17E74" w:rsidP="00D22346">
      <w:pPr>
        <w:rPr>
          <w:rFonts w:cs="Arial"/>
          <w:szCs w:val="20"/>
        </w:rPr>
      </w:pPr>
      <w:r w:rsidRPr="0057756D">
        <w:rPr>
          <w:rFonts w:cs="Arial"/>
          <w:szCs w:val="20"/>
        </w:rPr>
        <w:t>Gestor: MK</w:t>
      </w:r>
    </w:p>
    <w:p w14:paraId="7E0458FD" w14:textId="795472D2" w:rsidR="00F17E74" w:rsidRDefault="00F17E74" w:rsidP="00D22346">
      <w:pPr>
        <w:rPr>
          <w:rFonts w:cs="Arial"/>
          <w:szCs w:val="20"/>
        </w:rPr>
      </w:pPr>
      <w:r w:rsidRPr="00831152">
        <w:rPr>
          <w:rFonts w:cs="Arial"/>
          <w:szCs w:val="20"/>
        </w:rPr>
        <w:t>Indikátor:</w:t>
      </w:r>
      <w:r w:rsidRPr="00193A00">
        <w:rPr>
          <w:rFonts w:cs="Arial"/>
          <w:szCs w:val="20"/>
        </w:rPr>
        <w:t xml:space="preserve"> </w:t>
      </w:r>
      <w:r>
        <w:rPr>
          <w:rFonts w:cs="Arial"/>
          <w:szCs w:val="20"/>
        </w:rPr>
        <w:t>V Knihovně a tiskárně</w:t>
      </w:r>
      <w:r w:rsidRPr="003F4CB7">
        <w:rPr>
          <w:rFonts w:cs="Arial"/>
          <w:szCs w:val="20"/>
        </w:rPr>
        <w:t xml:space="preserve"> pro nevidomé K.</w:t>
      </w:r>
      <w:r>
        <w:rPr>
          <w:rFonts w:cs="Arial"/>
          <w:szCs w:val="20"/>
        </w:rPr>
        <w:t xml:space="preserve"> </w:t>
      </w:r>
      <w:r w:rsidRPr="003F4CB7">
        <w:rPr>
          <w:rFonts w:cs="Arial"/>
          <w:szCs w:val="20"/>
        </w:rPr>
        <w:t xml:space="preserve">E. Macana </w:t>
      </w:r>
      <w:r>
        <w:rPr>
          <w:rFonts w:cs="Arial"/>
          <w:szCs w:val="20"/>
        </w:rPr>
        <w:t>je provozována</w:t>
      </w:r>
      <w:r w:rsidRPr="003F4CB7">
        <w:rPr>
          <w:rFonts w:cs="Arial"/>
          <w:szCs w:val="20"/>
        </w:rPr>
        <w:t xml:space="preserve"> služb</w:t>
      </w:r>
      <w:r>
        <w:rPr>
          <w:rFonts w:cs="Arial"/>
          <w:szCs w:val="20"/>
        </w:rPr>
        <w:t>a</w:t>
      </w:r>
      <w:r w:rsidRPr="003F4CB7">
        <w:rPr>
          <w:rFonts w:cs="Arial"/>
          <w:szCs w:val="20"/>
        </w:rPr>
        <w:t xml:space="preserve"> </w:t>
      </w:r>
      <w:r>
        <w:rPr>
          <w:rFonts w:cs="Arial"/>
          <w:szCs w:val="20"/>
        </w:rPr>
        <w:t>CAMELOT. Roční produkce této knihovny je cca</w:t>
      </w:r>
      <w:r w:rsidRPr="00C65B79">
        <w:rPr>
          <w:rFonts w:cs="Arial"/>
          <w:szCs w:val="20"/>
        </w:rPr>
        <w:t xml:space="preserve"> 150 zvukových knih a cca 50 knih v</w:t>
      </w:r>
      <w:r w:rsidR="001A1374">
        <w:rPr>
          <w:rFonts w:cs="Arial"/>
          <w:szCs w:val="20"/>
        </w:rPr>
        <w:t> </w:t>
      </w:r>
      <w:r w:rsidR="007339F7">
        <w:rPr>
          <w:rFonts w:cs="Arial"/>
          <w:szCs w:val="20"/>
        </w:rPr>
        <w:t>B</w:t>
      </w:r>
      <w:r>
        <w:rPr>
          <w:rFonts w:cs="Arial"/>
          <w:szCs w:val="20"/>
        </w:rPr>
        <w:t>raillově</w:t>
      </w:r>
      <w:r w:rsidRPr="00C65B79">
        <w:rPr>
          <w:rFonts w:cs="Arial"/>
          <w:szCs w:val="20"/>
        </w:rPr>
        <w:t xml:space="preserve"> písmu</w:t>
      </w:r>
      <w:r>
        <w:rPr>
          <w:rFonts w:cs="Arial"/>
          <w:szCs w:val="20"/>
        </w:rPr>
        <w:t>.</w:t>
      </w:r>
    </w:p>
    <w:p w14:paraId="37C5E0EB" w14:textId="77777777" w:rsidR="00D22346" w:rsidRPr="008D53CB" w:rsidRDefault="00D22346" w:rsidP="008D53CB">
      <w:pPr>
        <w:rPr>
          <w:rFonts w:cs="Arial"/>
          <w:sz w:val="20"/>
          <w:szCs w:val="20"/>
        </w:rPr>
      </w:pPr>
    </w:p>
    <w:p w14:paraId="1281A41D" w14:textId="6A309870" w:rsidR="003A67B9" w:rsidRPr="008D53CB" w:rsidRDefault="003A67B9" w:rsidP="008D53CB">
      <w:pPr>
        <w:tabs>
          <w:tab w:val="left" w:pos="720"/>
        </w:tabs>
        <w:rPr>
          <w:rFonts w:cs="Arial"/>
          <w:b/>
          <w:bCs/>
          <w:sz w:val="20"/>
          <w:szCs w:val="20"/>
          <w:lang w:eastAsia="cs-CZ"/>
        </w:rPr>
      </w:pPr>
      <w:r w:rsidRPr="008D53CB">
        <w:rPr>
          <w:rFonts w:cs="Arial"/>
          <w:b/>
          <w:bCs/>
          <w:sz w:val="20"/>
          <w:szCs w:val="20"/>
          <w:lang w:eastAsia="cs-CZ"/>
        </w:rPr>
        <w:lastRenderedPageBreak/>
        <w:t>PLNĚNÍ MK:</w:t>
      </w:r>
    </w:p>
    <w:p w14:paraId="6554FF17" w14:textId="665D6146" w:rsidR="008D53CB" w:rsidRPr="008D53CB" w:rsidRDefault="008D53CB" w:rsidP="008D53CB">
      <w:pPr>
        <w:rPr>
          <w:rFonts w:eastAsia="Calibri"/>
          <w:sz w:val="20"/>
          <w:szCs w:val="20"/>
        </w:rPr>
      </w:pPr>
      <w:r w:rsidRPr="008D53CB">
        <w:rPr>
          <w:rFonts w:eastAsia="Calibri"/>
          <w:bCs/>
          <w:sz w:val="20"/>
          <w:szCs w:val="20"/>
        </w:rPr>
        <w:t>Součástí Digitální internetové knihovny Biblio, kterou provozuje KTN, je také další služba, a to systém pro zpřístupnění periodického tisku zrakově postiženým s názvem</w:t>
      </w:r>
      <w:r w:rsidRPr="008D53CB">
        <w:rPr>
          <w:rFonts w:eastAsia="Calibri"/>
          <w:sz w:val="20"/>
          <w:szCs w:val="20"/>
        </w:rPr>
        <w:t xml:space="preserve"> CAMELOT, díky němuž mají čtenáři KTN vedle knih v Braillově písmu (cca 50 nových titulů ročně) a zvukových knih (cca 150 nových titulů ročně) k dispozici také 39 titulů novin a časopisů, a to vždy jejich posledních 6 čísel. </w:t>
      </w:r>
      <w:hyperlink r:id="rId127" w:history="1">
        <w:r w:rsidRPr="008D53CB">
          <w:rPr>
            <w:rFonts w:eastAsia="Calibri"/>
            <w:sz w:val="20"/>
            <w:szCs w:val="20"/>
            <w:u w:val="single"/>
          </w:rPr>
          <w:t>https://biblio.oui.technology/camelot</w:t>
        </w:r>
      </w:hyperlink>
    </w:p>
    <w:p w14:paraId="1393915E" w14:textId="5C0FA9A8" w:rsidR="003A67B9" w:rsidRPr="008D53CB" w:rsidRDefault="003A67B9" w:rsidP="008D53CB">
      <w:pPr>
        <w:rPr>
          <w:rFonts w:cs="Arial"/>
          <w:b/>
          <w:sz w:val="20"/>
          <w:szCs w:val="20"/>
        </w:rPr>
      </w:pPr>
      <w:r w:rsidRPr="008D53CB">
        <w:rPr>
          <w:rFonts w:cs="Arial"/>
          <w:b/>
          <w:bCs/>
          <w:sz w:val="20"/>
          <w:szCs w:val="20"/>
          <w:lang w:eastAsia="cs-CZ"/>
        </w:rPr>
        <w:t>STANOVISKO K PLNĚNÍ:</w:t>
      </w:r>
      <w:r w:rsidR="00D541E4" w:rsidRPr="008D53CB">
        <w:rPr>
          <w:rFonts w:cs="Arial"/>
          <w:b/>
          <w:bCs/>
          <w:sz w:val="20"/>
          <w:szCs w:val="20"/>
          <w:lang w:eastAsia="cs-CZ"/>
        </w:rPr>
        <w:t xml:space="preserve"> </w:t>
      </w:r>
      <w:r w:rsidR="00D541E4" w:rsidRPr="008D53CB">
        <w:rPr>
          <w:rFonts w:cs="Arial"/>
          <w:b/>
          <w:sz w:val="20"/>
          <w:szCs w:val="20"/>
        </w:rPr>
        <w:t>Plněno.</w:t>
      </w:r>
    </w:p>
    <w:p w14:paraId="4EF10D04" w14:textId="77777777" w:rsidR="003A67B9" w:rsidRPr="00E52EC2" w:rsidRDefault="003A67B9" w:rsidP="00D22346">
      <w:pPr>
        <w:rPr>
          <w:rFonts w:cs="Arial"/>
          <w:sz w:val="20"/>
          <w:szCs w:val="20"/>
        </w:rPr>
      </w:pPr>
    </w:p>
    <w:p w14:paraId="07D6D23B" w14:textId="4C91ABD1" w:rsidR="00F17E74" w:rsidRDefault="00F17E74" w:rsidP="00147134">
      <w:pPr>
        <w:rPr>
          <w:rFonts w:cs="Arial"/>
          <w:b/>
          <w:szCs w:val="20"/>
        </w:rPr>
      </w:pPr>
      <w:r>
        <w:rPr>
          <w:rFonts w:cs="Arial"/>
          <w:b/>
          <w:szCs w:val="20"/>
        </w:rPr>
        <w:t>1</w:t>
      </w:r>
      <w:r w:rsidR="00766EEB">
        <w:rPr>
          <w:rFonts w:cs="Arial"/>
          <w:b/>
          <w:szCs w:val="20"/>
        </w:rPr>
        <w:t>5</w:t>
      </w:r>
      <w:r>
        <w:rPr>
          <w:rFonts w:cs="Arial"/>
          <w:b/>
          <w:szCs w:val="20"/>
        </w:rPr>
        <w:t xml:space="preserve">.2 </w:t>
      </w:r>
      <w:r w:rsidRPr="0057756D">
        <w:rPr>
          <w:rFonts w:cs="Arial"/>
          <w:b/>
          <w:szCs w:val="20"/>
        </w:rPr>
        <w:t>Cíl: Vyšší počet audiovizuálních děl</w:t>
      </w:r>
      <w:r>
        <w:rPr>
          <w:rFonts w:cs="Arial"/>
          <w:b/>
          <w:szCs w:val="20"/>
        </w:rPr>
        <w:t xml:space="preserve"> </w:t>
      </w:r>
      <w:r w:rsidRPr="0057756D">
        <w:rPr>
          <w:rFonts w:cs="Arial"/>
          <w:b/>
          <w:szCs w:val="20"/>
        </w:rPr>
        <w:t xml:space="preserve">přístupných pro </w:t>
      </w:r>
      <w:r>
        <w:rPr>
          <w:rFonts w:cs="Arial"/>
          <w:b/>
          <w:szCs w:val="20"/>
        </w:rPr>
        <w:t>osoby</w:t>
      </w:r>
      <w:r w:rsidRPr="0057756D">
        <w:rPr>
          <w:rFonts w:cs="Arial"/>
          <w:b/>
          <w:szCs w:val="20"/>
        </w:rPr>
        <w:t xml:space="preserve"> se zdravotním postižením.</w:t>
      </w:r>
    </w:p>
    <w:p w14:paraId="77CECF3C" w14:textId="04F74154" w:rsidR="00F17E74" w:rsidRPr="0057756D" w:rsidRDefault="00F17E74" w:rsidP="00F17E74">
      <w:pPr>
        <w:rPr>
          <w:rFonts w:cs="Arial"/>
          <w:szCs w:val="20"/>
        </w:rPr>
      </w:pPr>
      <w:r w:rsidRPr="000336D3">
        <w:rPr>
          <w:rFonts w:cs="Arial"/>
          <w:szCs w:val="20"/>
        </w:rPr>
        <w:t>Opatření 1</w:t>
      </w:r>
      <w:r w:rsidR="00766EEB" w:rsidRPr="000336D3">
        <w:rPr>
          <w:rFonts w:cs="Arial"/>
          <w:szCs w:val="20"/>
        </w:rPr>
        <w:t>5</w:t>
      </w:r>
      <w:r>
        <w:rPr>
          <w:rFonts w:cs="Arial"/>
          <w:szCs w:val="20"/>
        </w:rPr>
        <w:t xml:space="preserve">.2.2 </w:t>
      </w:r>
      <w:r w:rsidRPr="0057756D">
        <w:rPr>
          <w:rFonts w:cs="Arial"/>
          <w:szCs w:val="20"/>
        </w:rPr>
        <w:t xml:space="preserve">V rámci dotační politiky podporovat aktivity spočívající v zajišťování titulků a tlumočení do českého znakového jazyka pro audiovizuální díla, zpřístupňování audiovizuálních děl prostřednictvím </w:t>
      </w:r>
      <w:r>
        <w:rPr>
          <w:rFonts w:cs="Arial"/>
          <w:szCs w:val="20"/>
        </w:rPr>
        <w:t>audiopopisu</w:t>
      </w:r>
      <w:r w:rsidRPr="0057756D">
        <w:rPr>
          <w:rFonts w:cs="Arial"/>
          <w:szCs w:val="20"/>
        </w:rPr>
        <w:t xml:space="preserve"> pro osoby se zrakovým postižením, vytváření sítě divadelních představení tlumočených do českého znakového </w:t>
      </w:r>
      <w:r w:rsidRPr="00F803AE">
        <w:rPr>
          <w:rFonts w:cs="Arial"/>
          <w:szCs w:val="20"/>
        </w:rPr>
        <w:t>jazyka, vznik publikací v českém znakovém jazyce a</w:t>
      </w:r>
      <w:r w:rsidRPr="00F803AE">
        <w:rPr>
          <w:rStyle w:val="Odkaznakoment"/>
        </w:rPr>
        <w:t xml:space="preserve"> </w:t>
      </w:r>
      <w:r w:rsidRPr="00F803AE">
        <w:rPr>
          <w:rFonts w:cs="Arial"/>
          <w:szCs w:val="20"/>
        </w:rPr>
        <w:t xml:space="preserve">tvorbu </w:t>
      </w:r>
      <w:r w:rsidRPr="0057756D">
        <w:rPr>
          <w:rFonts w:cs="Arial"/>
          <w:szCs w:val="20"/>
        </w:rPr>
        <w:t xml:space="preserve">zvukových knih. </w:t>
      </w:r>
    </w:p>
    <w:p w14:paraId="53F1393E" w14:textId="77777777" w:rsidR="00F17E74" w:rsidRPr="0057756D" w:rsidRDefault="00F17E74" w:rsidP="00F17E74">
      <w:pPr>
        <w:rPr>
          <w:rFonts w:cs="Arial"/>
          <w:szCs w:val="20"/>
        </w:rPr>
      </w:pPr>
      <w:r w:rsidRPr="0057756D">
        <w:rPr>
          <w:rFonts w:cs="Arial"/>
          <w:szCs w:val="20"/>
        </w:rPr>
        <w:t xml:space="preserve">Termín: průběžně </w:t>
      </w:r>
    </w:p>
    <w:p w14:paraId="682DD085" w14:textId="77777777" w:rsidR="00F17E74" w:rsidRPr="0057756D" w:rsidRDefault="00F17E74" w:rsidP="00F17E74">
      <w:pPr>
        <w:rPr>
          <w:rFonts w:cs="Arial"/>
          <w:szCs w:val="20"/>
        </w:rPr>
      </w:pPr>
      <w:r w:rsidRPr="0057756D">
        <w:rPr>
          <w:rFonts w:cs="Arial"/>
          <w:szCs w:val="20"/>
        </w:rPr>
        <w:t xml:space="preserve">Gestor: MK </w:t>
      </w:r>
    </w:p>
    <w:p w14:paraId="40A565B8" w14:textId="5F3A91CB" w:rsidR="00F17E74" w:rsidRDefault="00F17E74" w:rsidP="009F2DCA">
      <w:pPr>
        <w:rPr>
          <w:rFonts w:cs="Arial"/>
          <w:szCs w:val="20"/>
        </w:rPr>
      </w:pPr>
      <w:r w:rsidRPr="00831152">
        <w:rPr>
          <w:rFonts w:cs="Arial"/>
          <w:szCs w:val="20"/>
        </w:rPr>
        <w:t>Indikátor:</w:t>
      </w:r>
      <w:r w:rsidRPr="00193A00">
        <w:rPr>
          <w:rFonts w:cs="Arial"/>
          <w:szCs w:val="20"/>
        </w:rPr>
        <w:t xml:space="preserve"> </w:t>
      </w:r>
      <w:r>
        <w:rPr>
          <w:rFonts w:cs="Arial"/>
          <w:szCs w:val="20"/>
        </w:rPr>
        <w:t>Je vyhlašován dotační program s uvedeným zaměřením.</w:t>
      </w:r>
    </w:p>
    <w:p w14:paraId="64F7F5F4" w14:textId="77777777" w:rsidR="009F2DCA" w:rsidRPr="00DB075C" w:rsidRDefault="009F2DCA" w:rsidP="00C17725">
      <w:pPr>
        <w:rPr>
          <w:rFonts w:cs="Arial"/>
          <w:sz w:val="20"/>
          <w:szCs w:val="20"/>
        </w:rPr>
      </w:pPr>
    </w:p>
    <w:p w14:paraId="667DF0C5" w14:textId="2D870BAD" w:rsidR="00C431D9" w:rsidRPr="00DB075C" w:rsidRDefault="00C431D9" w:rsidP="00C17725">
      <w:pPr>
        <w:tabs>
          <w:tab w:val="left" w:pos="720"/>
        </w:tabs>
        <w:rPr>
          <w:rFonts w:cs="Arial"/>
          <w:b/>
          <w:bCs/>
          <w:sz w:val="20"/>
          <w:szCs w:val="20"/>
          <w:lang w:eastAsia="cs-CZ"/>
        </w:rPr>
      </w:pPr>
      <w:r w:rsidRPr="00DB075C">
        <w:rPr>
          <w:rFonts w:cs="Arial"/>
          <w:b/>
          <w:bCs/>
          <w:sz w:val="20"/>
          <w:szCs w:val="20"/>
          <w:lang w:eastAsia="cs-CZ"/>
        </w:rPr>
        <w:t>PLNĚNÍ MK:</w:t>
      </w:r>
    </w:p>
    <w:p w14:paraId="3CCE891C" w14:textId="5EDBC1E0" w:rsidR="00DB075C" w:rsidRPr="00DB075C" w:rsidRDefault="00DB075C" w:rsidP="00DB075C">
      <w:pPr>
        <w:rPr>
          <w:rFonts w:eastAsia="Calibri"/>
          <w:sz w:val="20"/>
          <w:szCs w:val="20"/>
        </w:rPr>
      </w:pPr>
      <w:r w:rsidRPr="00DB075C">
        <w:rPr>
          <w:rFonts w:eastAsia="Calibri"/>
          <w:sz w:val="20"/>
          <w:szCs w:val="20"/>
        </w:rPr>
        <w:t>V současné době není vyhlašován jeden dotační program s uvedeným zaměřením. Podpora osob se zdravotním postižením je realizována díky projektům z různých dotačních programů MK a jejich okruhů, například z okruhu Filmové festivaly a přehlídky nebo Diver</w:t>
      </w:r>
      <w:r w:rsidR="00FA1038">
        <w:rPr>
          <w:rFonts w:eastAsia="Calibri"/>
          <w:sz w:val="20"/>
          <w:szCs w:val="20"/>
        </w:rPr>
        <w:t>zifikace programu kin a práce s </w:t>
      </w:r>
      <w:r w:rsidRPr="00DB075C">
        <w:rPr>
          <w:rFonts w:eastAsia="Calibri"/>
          <w:sz w:val="20"/>
          <w:szCs w:val="20"/>
        </w:rPr>
        <w:t>publikem v rámci dotačního programu pro oblast kinematografie a médií. Standardní titulkování do českého jazyka je téměř u všech cizojazyčných filmů v rámci každého filmového festivalu. Nad rámec toho například festival Jeden svět, který je ze strany MK dlouhodobě podporován, opatřuje některé snímky popisnými titulky pro neslyšící a nedoslýchavé a audiopopisem pro nevidomé a slabozraké. Zároveň je vybraný program festivalu také tlumočen do českého znakového jazyka a simultánně přepisován do českého jazyka.</w:t>
      </w:r>
    </w:p>
    <w:p w14:paraId="30D7A83E" w14:textId="00A39683" w:rsidR="00DB075C" w:rsidRPr="00DB075C" w:rsidRDefault="00DB075C" w:rsidP="00DB075C">
      <w:pPr>
        <w:rPr>
          <w:rFonts w:eastAsia="Calibri"/>
          <w:sz w:val="20"/>
          <w:szCs w:val="20"/>
        </w:rPr>
      </w:pPr>
      <w:r w:rsidRPr="00DB075C">
        <w:rPr>
          <w:rFonts w:eastAsia="Calibri"/>
          <w:sz w:val="20"/>
          <w:szCs w:val="20"/>
        </w:rPr>
        <w:t xml:space="preserve">Současně lze podporovat tyto činnosti v rámci programu Kulturní aktivity – Podpora kulturních aktivit osob se zdravotním postižením a seniorů, který je každoročně </w:t>
      </w:r>
      <w:r w:rsidR="00FA1038">
        <w:rPr>
          <w:rFonts w:eastAsia="Calibri"/>
          <w:sz w:val="20"/>
          <w:szCs w:val="20"/>
        </w:rPr>
        <w:t>vyhlašován odborem regionální a </w:t>
      </w:r>
      <w:r w:rsidRPr="00DB075C">
        <w:rPr>
          <w:rFonts w:eastAsia="Calibri"/>
          <w:sz w:val="20"/>
          <w:szCs w:val="20"/>
        </w:rPr>
        <w:t>národnostní kultury.</w:t>
      </w:r>
    </w:p>
    <w:p w14:paraId="4B60C444" w14:textId="56C059F2" w:rsidR="00C431D9" w:rsidRPr="00DB075C" w:rsidRDefault="00C431D9" w:rsidP="00C17725">
      <w:pPr>
        <w:rPr>
          <w:rFonts w:cs="Arial"/>
          <w:b/>
          <w:sz w:val="20"/>
          <w:szCs w:val="20"/>
        </w:rPr>
      </w:pPr>
      <w:r w:rsidRPr="00DB075C">
        <w:rPr>
          <w:rFonts w:cs="Arial"/>
          <w:b/>
          <w:bCs/>
          <w:sz w:val="20"/>
          <w:szCs w:val="20"/>
          <w:lang w:eastAsia="cs-CZ"/>
        </w:rPr>
        <w:t>STANOVISKO K PLNĚNÍ:</w:t>
      </w:r>
      <w:r w:rsidR="000006F6" w:rsidRPr="00DB075C">
        <w:rPr>
          <w:rFonts w:cs="Arial"/>
          <w:b/>
          <w:bCs/>
          <w:sz w:val="20"/>
          <w:szCs w:val="20"/>
          <w:lang w:eastAsia="cs-CZ"/>
        </w:rPr>
        <w:t xml:space="preserve"> </w:t>
      </w:r>
      <w:r w:rsidR="000006F6" w:rsidRPr="00DB075C">
        <w:rPr>
          <w:rFonts w:cs="Arial"/>
          <w:b/>
          <w:sz w:val="20"/>
          <w:szCs w:val="20"/>
        </w:rPr>
        <w:t>Plněno.</w:t>
      </w:r>
    </w:p>
    <w:p w14:paraId="21C67AA8" w14:textId="77777777" w:rsidR="00C431D9" w:rsidRPr="00C17725" w:rsidRDefault="00C431D9" w:rsidP="00C17725">
      <w:pPr>
        <w:rPr>
          <w:rFonts w:cs="Arial"/>
          <w:sz w:val="20"/>
          <w:szCs w:val="20"/>
        </w:rPr>
      </w:pPr>
    </w:p>
    <w:p w14:paraId="243C10CC" w14:textId="77777777" w:rsidR="00F17E74" w:rsidRDefault="00F17E74" w:rsidP="00C02638">
      <w:pPr>
        <w:rPr>
          <w:rFonts w:cs="Arial"/>
          <w:b/>
          <w:bCs/>
          <w:szCs w:val="20"/>
        </w:rPr>
      </w:pPr>
      <w:r>
        <w:rPr>
          <w:rFonts w:cs="Arial"/>
          <w:b/>
          <w:bCs/>
          <w:szCs w:val="20"/>
        </w:rPr>
        <w:t>1</w:t>
      </w:r>
      <w:r w:rsidR="00766EEB">
        <w:rPr>
          <w:rFonts w:cs="Arial"/>
          <w:b/>
          <w:bCs/>
          <w:szCs w:val="20"/>
        </w:rPr>
        <w:t>5</w:t>
      </w:r>
      <w:r>
        <w:rPr>
          <w:rFonts w:cs="Arial"/>
          <w:b/>
          <w:bCs/>
          <w:szCs w:val="20"/>
        </w:rPr>
        <w:t xml:space="preserve">.3 </w:t>
      </w:r>
      <w:r w:rsidRPr="0057756D">
        <w:rPr>
          <w:rFonts w:cs="Arial"/>
          <w:b/>
          <w:bCs/>
          <w:szCs w:val="20"/>
        </w:rPr>
        <w:t>Cíl: Podpora tvůrčí</w:t>
      </w:r>
      <w:r>
        <w:rPr>
          <w:rFonts w:cs="Arial"/>
          <w:b/>
          <w:bCs/>
          <w:szCs w:val="20"/>
        </w:rPr>
        <w:t>ho</w:t>
      </w:r>
      <w:r w:rsidRPr="0057756D">
        <w:rPr>
          <w:rFonts w:cs="Arial"/>
          <w:b/>
          <w:bCs/>
          <w:szCs w:val="20"/>
        </w:rPr>
        <w:t xml:space="preserve"> a uměleck</w:t>
      </w:r>
      <w:r>
        <w:rPr>
          <w:rFonts w:cs="Arial"/>
          <w:b/>
          <w:bCs/>
          <w:szCs w:val="20"/>
        </w:rPr>
        <w:t>ého</w:t>
      </w:r>
      <w:r w:rsidRPr="0057756D">
        <w:rPr>
          <w:rFonts w:cs="Arial"/>
          <w:b/>
          <w:bCs/>
          <w:szCs w:val="20"/>
        </w:rPr>
        <w:t xml:space="preserve"> potenciál</w:t>
      </w:r>
      <w:r>
        <w:rPr>
          <w:rFonts w:cs="Arial"/>
          <w:b/>
          <w:bCs/>
          <w:szCs w:val="20"/>
        </w:rPr>
        <w:t>u</w:t>
      </w:r>
      <w:r w:rsidRPr="0057756D">
        <w:rPr>
          <w:rFonts w:cs="Arial"/>
          <w:b/>
          <w:bCs/>
          <w:szCs w:val="20"/>
        </w:rPr>
        <w:t xml:space="preserve"> osob se zdravotním postižením.</w:t>
      </w:r>
    </w:p>
    <w:p w14:paraId="2433E916" w14:textId="77777777" w:rsidR="00F17E74" w:rsidRPr="0057756D" w:rsidRDefault="00F17E74" w:rsidP="00F17E74">
      <w:pPr>
        <w:spacing w:before="240"/>
        <w:rPr>
          <w:rFonts w:cs="Arial"/>
          <w:szCs w:val="20"/>
        </w:rPr>
      </w:pPr>
      <w:r w:rsidRPr="0035060D">
        <w:rPr>
          <w:rFonts w:cs="Arial"/>
          <w:bCs/>
          <w:szCs w:val="20"/>
        </w:rPr>
        <w:t xml:space="preserve">Opatření </w:t>
      </w:r>
      <w:r>
        <w:rPr>
          <w:rFonts w:cs="Arial"/>
          <w:bCs/>
          <w:szCs w:val="20"/>
        </w:rPr>
        <w:t>1</w:t>
      </w:r>
      <w:r w:rsidR="00766EEB">
        <w:rPr>
          <w:rFonts w:cs="Arial"/>
          <w:bCs/>
          <w:szCs w:val="20"/>
        </w:rPr>
        <w:t>5</w:t>
      </w:r>
      <w:r>
        <w:rPr>
          <w:rFonts w:cs="Arial"/>
          <w:szCs w:val="20"/>
        </w:rPr>
        <w:t xml:space="preserve">.3.1 </w:t>
      </w:r>
      <w:r w:rsidRPr="0057756D">
        <w:rPr>
          <w:rFonts w:cs="Arial"/>
          <w:szCs w:val="20"/>
        </w:rPr>
        <w:t>Spoluvytvářet prostor, v němž se umožní osobám se zdravotním postižením uspokojovat své kulturní potřeby, realizovat vlastní tvorbu, a to podporou kulturních aktivit právnických a fyzických osob.</w:t>
      </w:r>
    </w:p>
    <w:p w14:paraId="7681A524" w14:textId="77777777" w:rsidR="00F17E74" w:rsidRPr="0057756D" w:rsidRDefault="00F17E74" w:rsidP="00F17E74">
      <w:pPr>
        <w:rPr>
          <w:rFonts w:cs="Arial"/>
          <w:szCs w:val="20"/>
        </w:rPr>
      </w:pPr>
      <w:r w:rsidRPr="0057756D">
        <w:rPr>
          <w:rFonts w:cs="Arial"/>
          <w:szCs w:val="20"/>
        </w:rPr>
        <w:t xml:space="preserve">Termín: průběžně </w:t>
      </w:r>
    </w:p>
    <w:p w14:paraId="05A4238E" w14:textId="77777777" w:rsidR="005E0FD7" w:rsidRDefault="00F17E74" w:rsidP="005E0FD7">
      <w:pPr>
        <w:rPr>
          <w:rFonts w:cs="Arial"/>
          <w:szCs w:val="20"/>
        </w:rPr>
      </w:pPr>
      <w:r w:rsidRPr="0057756D">
        <w:rPr>
          <w:rFonts w:cs="Arial"/>
          <w:szCs w:val="20"/>
        </w:rPr>
        <w:t xml:space="preserve">Gestor: MK </w:t>
      </w:r>
    </w:p>
    <w:p w14:paraId="060D0030" w14:textId="43542D40" w:rsidR="00F17E74" w:rsidRDefault="00F17E74" w:rsidP="005E0FD7">
      <w:pPr>
        <w:spacing w:after="100"/>
        <w:rPr>
          <w:rFonts w:cs="Arial"/>
          <w:szCs w:val="20"/>
        </w:rPr>
      </w:pPr>
      <w:r w:rsidRPr="00831152">
        <w:rPr>
          <w:rFonts w:cs="Arial"/>
          <w:szCs w:val="20"/>
        </w:rPr>
        <w:t>Indikátor:</w:t>
      </w:r>
      <w:r w:rsidRPr="00193A00">
        <w:rPr>
          <w:rFonts w:cs="Arial"/>
          <w:szCs w:val="20"/>
        </w:rPr>
        <w:t xml:space="preserve"> </w:t>
      </w:r>
      <w:r>
        <w:rPr>
          <w:rFonts w:cs="Arial"/>
          <w:szCs w:val="20"/>
        </w:rPr>
        <w:t>Je vyhlašován dotační program s uvedeným zaměřením.</w:t>
      </w:r>
    </w:p>
    <w:p w14:paraId="72BFD04E" w14:textId="77777777" w:rsidR="00D9162A" w:rsidRPr="00AF093C" w:rsidRDefault="00D9162A" w:rsidP="00AF093C">
      <w:pPr>
        <w:tabs>
          <w:tab w:val="left" w:pos="720"/>
        </w:tabs>
        <w:rPr>
          <w:rFonts w:cs="Arial"/>
          <w:b/>
          <w:bCs/>
          <w:sz w:val="20"/>
          <w:szCs w:val="20"/>
          <w:lang w:eastAsia="cs-CZ"/>
        </w:rPr>
      </w:pPr>
    </w:p>
    <w:p w14:paraId="2339ECD4" w14:textId="776EB2FC" w:rsidR="00840A3C" w:rsidRPr="0001661C" w:rsidRDefault="00D9162A" w:rsidP="0001661C">
      <w:pPr>
        <w:tabs>
          <w:tab w:val="left" w:pos="720"/>
        </w:tabs>
        <w:rPr>
          <w:rFonts w:cs="Arial"/>
          <w:b/>
          <w:bCs/>
          <w:sz w:val="20"/>
          <w:szCs w:val="20"/>
          <w:lang w:eastAsia="cs-CZ"/>
        </w:rPr>
      </w:pPr>
      <w:r w:rsidRPr="0001661C">
        <w:rPr>
          <w:rFonts w:cs="Arial"/>
          <w:b/>
          <w:bCs/>
          <w:sz w:val="20"/>
          <w:szCs w:val="20"/>
          <w:lang w:eastAsia="cs-CZ"/>
        </w:rPr>
        <w:t>PLNĚNÍ MK:</w:t>
      </w:r>
    </w:p>
    <w:p w14:paraId="1F2AC41B" w14:textId="77777777" w:rsidR="0001661C" w:rsidRPr="0001661C" w:rsidRDefault="0001661C" w:rsidP="0001661C">
      <w:pPr>
        <w:rPr>
          <w:rFonts w:eastAsia="Calibri"/>
          <w:sz w:val="20"/>
          <w:szCs w:val="20"/>
        </w:rPr>
      </w:pPr>
      <w:r w:rsidRPr="0001661C">
        <w:rPr>
          <w:rFonts w:eastAsia="Calibri"/>
          <w:bCs/>
          <w:sz w:val="20"/>
          <w:szCs w:val="20"/>
        </w:rPr>
        <w:t>Odbor regionální a národnostní kultury v</w:t>
      </w:r>
      <w:r w:rsidRPr="0001661C">
        <w:rPr>
          <w:rFonts w:eastAsia="Calibri"/>
          <w:sz w:val="20"/>
          <w:szCs w:val="20"/>
        </w:rPr>
        <w:t xml:space="preserve">yhlásil i v roce 2023 výběrové dotační řízení na podporu kulturních aktivit osob se zdravotním postižením a seniorů, ve kterém jsou dlouhodobě podporovány kulturní akce, jimiž zdravotně postižení lidé prezentují své umělecké aktivity pro sebe a pro veřejnost, </w:t>
      </w:r>
      <w:r w:rsidRPr="0001661C">
        <w:rPr>
          <w:rFonts w:eastAsia="Calibri"/>
          <w:sz w:val="20"/>
          <w:szCs w:val="20"/>
        </w:rPr>
        <w:lastRenderedPageBreak/>
        <w:t>a dlouhodobá systematická práce v zařízeních, kde zdravotně postižení lidé jsou umístěni trvale nebo do nich docházejí k dennímu pobytu. Podporovány jsou též aktivity, které nabízejí hodnotné využití volného času seniorů, jsou zdrojem jejich seberealizace a sociálních kontaktů, přispívají k prevenci sociálního vyloučení a izolace seniorů a jsou příležitostí pro posílení mezigeneračních kontaktů a sounáležitosti. Dotace v tomto programu jsou poskytovány právnickým i fyzickým osobám.</w:t>
      </w:r>
    </w:p>
    <w:p w14:paraId="46B1FAED" w14:textId="7608AABA" w:rsidR="0001661C" w:rsidRPr="0001661C" w:rsidRDefault="0001661C" w:rsidP="0001661C">
      <w:pPr>
        <w:rPr>
          <w:rFonts w:eastAsia="Calibri"/>
          <w:sz w:val="20"/>
          <w:szCs w:val="20"/>
        </w:rPr>
      </w:pPr>
      <w:r w:rsidRPr="0001661C">
        <w:rPr>
          <w:rFonts w:eastAsia="Calibri"/>
          <w:sz w:val="20"/>
          <w:szCs w:val="20"/>
        </w:rPr>
        <w:t>V roce 20</w:t>
      </w:r>
      <w:r w:rsidR="00FA1038">
        <w:rPr>
          <w:rFonts w:eastAsia="Calibri"/>
          <w:sz w:val="20"/>
          <w:szCs w:val="20"/>
        </w:rPr>
        <w:t xml:space="preserve">23 bylo z celkového </w:t>
      </w:r>
      <w:r w:rsidRPr="0001661C">
        <w:rPr>
          <w:rFonts w:eastAsia="Calibri"/>
          <w:sz w:val="20"/>
          <w:szCs w:val="20"/>
        </w:rPr>
        <w:t xml:space="preserve">počtu 145 přihlášených projektů v uvedeném programu podpořeno 100 projektů v celkové výši 7 808 244 Kč. </w:t>
      </w:r>
    </w:p>
    <w:p w14:paraId="18AEA70A" w14:textId="2C7753FE" w:rsidR="0001661C" w:rsidRPr="0001661C" w:rsidRDefault="0001661C" w:rsidP="0001661C">
      <w:pPr>
        <w:rPr>
          <w:rFonts w:eastAsia="Calibri"/>
          <w:sz w:val="20"/>
          <w:szCs w:val="20"/>
        </w:rPr>
      </w:pPr>
      <w:r w:rsidRPr="0001661C">
        <w:rPr>
          <w:rFonts w:eastAsia="Calibri"/>
          <w:sz w:val="20"/>
          <w:szCs w:val="20"/>
        </w:rPr>
        <w:t xml:space="preserve">NIPOS zpracovává Kalendárium kulturních akcí subjektů podpořených dotací MK z výše uvedeného programu. Jedenkrát měsíčně z podkladů těchto subjektů provádí aktualizaci kalendária, zasílá MK ke zveřejnění na webu MK. </w:t>
      </w:r>
      <w:hyperlink r:id="rId128" w:history="1">
        <w:r w:rsidRPr="0001661C">
          <w:rPr>
            <w:rFonts w:eastAsia="Calibri"/>
            <w:color w:val="0563C1"/>
            <w:sz w:val="20"/>
            <w:szCs w:val="20"/>
            <w:u w:val="single"/>
          </w:rPr>
          <w:t>Kalendárium akcí ZPO | mkcr.cz (gov.cz)</w:t>
        </w:r>
      </w:hyperlink>
    </w:p>
    <w:p w14:paraId="7A341BEE" w14:textId="4F7778A9" w:rsidR="0001661C" w:rsidRPr="0001661C" w:rsidRDefault="0001661C" w:rsidP="0001661C">
      <w:pPr>
        <w:rPr>
          <w:vanish/>
          <w:sz w:val="20"/>
          <w:szCs w:val="20"/>
        </w:rPr>
      </w:pPr>
      <w:r w:rsidRPr="0001661C">
        <w:rPr>
          <w:rFonts w:eastAsia="Calibri"/>
          <w:sz w:val="20"/>
          <w:szCs w:val="20"/>
        </w:rPr>
        <w:t xml:space="preserve">V programu Kulturní aktivity – Podpora </w:t>
      </w:r>
      <w:r w:rsidRPr="0001661C">
        <w:rPr>
          <w:sz w:val="20"/>
          <w:szCs w:val="20"/>
        </w:rPr>
        <w:t xml:space="preserve">neprofesionálních uměleckých aktivit byl v r. 2023 podpořen projekt XXVIII. OTEVŘENO – Celostátní přehlídka pantomimy a pohybového divadla, Kolín 2023, Společnosti amatérského divadla a svět, z. </w:t>
      </w:r>
      <w:proofErr w:type="gramStart"/>
      <w:r w:rsidRPr="0001661C">
        <w:rPr>
          <w:sz w:val="20"/>
          <w:szCs w:val="20"/>
        </w:rPr>
        <w:t>s.</w:t>
      </w:r>
      <w:proofErr w:type="gramEnd"/>
      <w:r w:rsidRPr="0001661C">
        <w:rPr>
          <w:sz w:val="20"/>
          <w:szCs w:val="20"/>
        </w:rPr>
        <w:t>, Praha dotací ve výši 210 000 Kč.</w:t>
      </w:r>
    </w:p>
    <w:p w14:paraId="6CD567AD" w14:textId="3BAAB85B" w:rsidR="0001661C" w:rsidRPr="0001661C" w:rsidRDefault="0001661C" w:rsidP="0001661C">
      <w:pPr>
        <w:rPr>
          <w:rFonts w:eastAsia="Calibri"/>
          <w:sz w:val="20"/>
          <w:szCs w:val="20"/>
        </w:rPr>
      </w:pPr>
      <w:r w:rsidRPr="0001661C">
        <w:rPr>
          <w:rFonts w:eastAsia="Calibri"/>
          <w:sz w:val="20"/>
          <w:szCs w:val="20"/>
        </w:rPr>
        <w:t>Odbor památkové péče v dotačním programu podpory pro památky světového dědictví podpořil projekt Pamá</w:t>
      </w:r>
      <w:r w:rsidR="00FA1038">
        <w:rPr>
          <w:rFonts w:eastAsia="Calibri"/>
          <w:sz w:val="20"/>
          <w:szCs w:val="20"/>
        </w:rPr>
        <w:t xml:space="preserve">tky Prahy zapsané v seznamu </w:t>
      </w:r>
      <w:r w:rsidRPr="0001661C">
        <w:rPr>
          <w:rFonts w:eastAsia="Calibri"/>
          <w:sz w:val="20"/>
          <w:szCs w:val="20"/>
        </w:rPr>
        <w:t xml:space="preserve">UNESCO pro neslyšící, žadatelem byl spolek Znakovárna. </w:t>
      </w:r>
    </w:p>
    <w:p w14:paraId="2333A081" w14:textId="4EF04E99" w:rsidR="00D9162A" w:rsidRPr="0001661C" w:rsidRDefault="00D9162A" w:rsidP="0001661C">
      <w:pPr>
        <w:rPr>
          <w:rFonts w:cs="Arial"/>
          <w:b/>
          <w:sz w:val="20"/>
          <w:szCs w:val="20"/>
        </w:rPr>
      </w:pPr>
      <w:r w:rsidRPr="0001661C">
        <w:rPr>
          <w:rFonts w:cs="Arial"/>
          <w:b/>
          <w:bCs/>
          <w:sz w:val="20"/>
          <w:szCs w:val="20"/>
          <w:lang w:eastAsia="cs-CZ"/>
        </w:rPr>
        <w:t>STANOVISKO K PLNĚNÍ:</w:t>
      </w:r>
      <w:r w:rsidR="00F83287" w:rsidRPr="0001661C">
        <w:rPr>
          <w:rFonts w:cs="Arial"/>
          <w:b/>
          <w:bCs/>
          <w:sz w:val="20"/>
          <w:szCs w:val="20"/>
          <w:lang w:eastAsia="cs-CZ"/>
        </w:rPr>
        <w:t xml:space="preserve"> </w:t>
      </w:r>
      <w:r w:rsidR="00F83287" w:rsidRPr="0001661C">
        <w:rPr>
          <w:rFonts w:cs="Arial"/>
          <w:b/>
          <w:sz w:val="20"/>
          <w:szCs w:val="20"/>
        </w:rPr>
        <w:t>Plněno.</w:t>
      </w:r>
    </w:p>
    <w:p w14:paraId="0F58BD6E" w14:textId="77777777" w:rsidR="00D9162A" w:rsidRPr="00AF093C" w:rsidRDefault="00D9162A" w:rsidP="00AF093C">
      <w:pPr>
        <w:rPr>
          <w:rFonts w:cs="Arial"/>
          <w:sz w:val="20"/>
          <w:szCs w:val="20"/>
        </w:rPr>
      </w:pPr>
    </w:p>
    <w:p w14:paraId="3BCCE3A4" w14:textId="77777777" w:rsidR="00F17E74" w:rsidRDefault="00F17E74" w:rsidP="00BD23EB">
      <w:pPr>
        <w:rPr>
          <w:rFonts w:cs="Arial"/>
          <w:b/>
          <w:szCs w:val="20"/>
        </w:rPr>
      </w:pPr>
      <w:r>
        <w:rPr>
          <w:rFonts w:cs="Arial"/>
          <w:b/>
          <w:szCs w:val="20"/>
        </w:rPr>
        <w:t>1</w:t>
      </w:r>
      <w:r w:rsidR="00766EEB">
        <w:rPr>
          <w:rFonts w:cs="Arial"/>
          <w:b/>
          <w:szCs w:val="20"/>
        </w:rPr>
        <w:t>5</w:t>
      </w:r>
      <w:r>
        <w:rPr>
          <w:rFonts w:cs="Arial"/>
          <w:b/>
          <w:szCs w:val="20"/>
        </w:rPr>
        <w:t xml:space="preserve">.4 </w:t>
      </w:r>
      <w:r w:rsidRPr="0057756D">
        <w:rPr>
          <w:rFonts w:cs="Arial"/>
          <w:b/>
          <w:szCs w:val="20"/>
        </w:rPr>
        <w:t xml:space="preserve">Cíl: </w:t>
      </w:r>
      <w:r w:rsidRPr="002D3B01">
        <w:rPr>
          <w:rFonts w:cs="Arial"/>
          <w:b/>
          <w:bCs/>
          <w:szCs w:val="20"/>
        </w:rPr>
        <w:t>Podpora</w:t>
      </w:r>
      <w:r w:rsidRPr="0057756D">
        <w:rPr>
          <w:rFonts w:cs="Arial"/>
          <w:b/>
          <w:szCs w:val="20"/>
        </w:rPr>
        <w:t xml:space="preserve"> zapojení osob se zdravotním postižením do sportovních aktivit.</w:t>
      </w:r>
    </w:p>
    <w:p w14:paraId="189E0276"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1</w:t>
      </w:r>
      <w:r w:rsidR="00766EEB">
        <w:rPr>
          <w:rFonts w:cs="Arial"/>
          <w:bCs/>
          <w:szCs w:val="20"/>
        </w:rPr>
        <w:t>5</w:t>
      </w:r>
      <w:r>
        <w:rPr>
          <w:rFonts w:cs="Arial"/>
          <w:szCs w:val="20"/>
        </w:rPr>
        <w:t xml:space="preserve">.4.1 </w:t>
      </w:r>
      <w:r w:rsidRPr="0057756D">
        <w:rPr>
          <w:rFonts w:cs="Arial"/>
          <w:szCs w:val="20"/>
        </w:rPr>
        <w:t>Po</w:t>
      </w:r>
      <w:r>
        <w:rPr>
          <w:rFonts w:cs="Arial"/>
          <w:szCs w:val="20"/>
        </w:rPr>
        <w:t xml:space="preserve">skytovat </w:t>
      </w:r>
      <w:r w:rsidRPr="0057756D">
        <w:rPr>
          <w:rFonts w:cs="Arial"/>
          <w:szCs w:val="20"/>
        </w:rPr>
        <w:t>finanční podporu sportovců</w:t>
      </w:r>
      <w:r>
        <w:rPr>
          <w:rFonts w:cs="Arial"/>
          <w:szCs w:val="20"/>
        </w:rPr>
        <w:t>m</w:t>
      </w:r>
      <w:r w:rsidRPr="0057756D">
        <w:rPr>
          <w:rFonts w:cs="Arial"/>
          <w:szCs w:val="20"/>
        </w:rPr>
        <w:t xml:space="preserve"> se zdravotním postižením a jejich svazů</w:t>
      </w:r>
      <w:r>
        <w:rPr>
          <w:rFonts w:cs="Arial"/>
          <w:szCs w:val="20"/>
        </w:rPr>
        <w:t>m</w:t>
      </w:r>
      <w:r w:rsidRPr="0057756D">
        <w:rPr>
          <w:rFonts w:cs="Arial"/>
          <w:szCs w:val="20"/>
        </w:rPr>
        <w:t>.</w:t>
      </w:r>
    </w:p>
    <w:p w14:paraId="00D130BA" w14:textId="77777777" w:rsidR="00F17E74" w:rsidRPr="0057756D" w:rsidRDefault="00F17E74" w:rsidP="00F17E74">
      <w:pPr>
        <w:rPr>
          <w:rFonts w:cs="Arial"/>
          <w:szCs w:val="20"/>
        </w:rPr>
      </w:pPr>
      <w:r w:rsidRPr="0057756D">
        <w:rPr>
          <w:rFonts w:cs="Arial"/>
          <w:szCs w:val="20"/>
        </w:rPr>
        <w:t xml:space="preserve">Termín: průběžně </w:t>
      </w:r>
    </w:p>
    <w:p w14:paraId="74470A76" w14:textId="77777777" w:rsidR="00F17E74" w:rsidRPr="0057756D" w:rsidRDefault="00F17E74" w:rsidP="00F17E74">
      <w:pPr>
        <w:rPr>
          <w:rFonts w:cs="Arial"/>
          <w:szCs w:val="20"/>
        </w:rPr>
      </w:pPr>
      <w:r>
        <w:rPr>
          <w:rFonts w:cs="Arial"/>
          <w:szCs w:val="20"/>
        </w:rPr>
        <w:t>Gestor: NSA</w:t>
      </w:r>
    </w:p>
    <w:p w14:paraId="6469483A" w14:textId="3700501C" w:rsidR="00F17E74" w:rsidRDefault="00F17E74" w:rsidP="00D65B94">
      <w:pPr>
        <w:rPr>
          <w:rFonts w:cs="Arial"/>
          <w:szCs w:val="20"/>
        </w:rPr>
      </w:pPr>
      <w:r w:rsidRPr="00831152">
        <w:rPr>
          <w:rFonts w:cs="Arial"/>
          <w:szCs w:val="20"/>
        </w:rPr>
        <w:t>Indikátor:</w:t>
      </w:r>
      <w:r w:rsidRPr="00193A00">
        <w:rPr>
          <w:rFonts w:cs="Arial"/>
          <w:szCs w:val="20"/>
        </w:rPr>
        <w:t xml:space="preserve"> </w:t>
      </w:r>
      <w:r>
        <w:rPr>
          <w:rFonts w:cs="Arial"/>
          <w:szCs w:val="20"/>
        </w:rPr>
        <w:t>Je vyhlašován d</w:t>
      </w:r>
      <w:r w:rsidRPr="00514E6F">
        <w:rPr>
          <w:rFonts w:cs="Arial"/>
          <w:szCs w:val="20"/>
        </w:rPr>
        <w:t>otační progra</w:t>
      </w:r>
      <w:r>
        <w:rPr>
          <w:rFonts w:cs="Arial"/>
          <w:szCs w:val="20"/>
        </w:rPr>
        <w:t>m pro uvedenou podporu</w:t>
      </w:r>
      <w:r w:rsidRPr="00514E6F">
        <w:rPr>
          <w:rFonts w:cs="Arial"/>
          <w:szCs w:val="20"/>
        </w:rPr>
        <w:t>.</w:t>
      </w:r>
    </w:p>
    <w:p w14:paraId="220E205C" w14:textId="77777777" w:rsidR="00D65B94" w:rsidRDefault="00D65B94" w:rsidP="00D65B94">
      <w:pPr>
        <w:rPr>
          <w:rFonts w:cs="Arial"/>
          <w:szCs w:val="20"/>
        </w:rPr>
      </w:pPr>
    </w:p>
    <w:p w14:paraId="4106DC9B" w14:textId="4038F6A6" w:rsidR="0042004C" w:rsidRPr="00C1112B" w:rsidRDefault="00B075A2" w:rsidP="00C1112B">
      <w:pPr>
        <w:tabs>
          <w:tab w:val="left" w:pos="720"/>
        </w:tabs>
        <w:rPr>
          <w:rFonts w:cs="Arial"/>
          <w:b/>
          <w:bCs/>
          <w:sz w:val="20"/>
          <w:szCs w:val="20"/>
          <w:lang w:eastAsia="cs-CZ"/>
        </w:rPr>
      </w:pPr>
      <w:r w:rsidRPr="00C1112B">
        <w:rPr>
          <w:rFonts w:cs="Arial"/>
          <w:b/>
          <w:bCs/>
          <w:sz w:val="20"/>
          <w:szCs w:val="20"/>
          <w:lang w:eastAsia="cs-CZ"/>
        </w:rPr>
        <w:t>PLNĚNÍ NSA:</w:t>
      </w:r>
    </w:p>
    <w:p w14:paraId="4BAD20C9" w14:textId="651CAE16" w:rsidR="00C1112B" w:rsidRPr="00C1112B" w:rsidRDefault="00C1112B" w:rsidP="00C1112B">
      <w:pPr>
        <w:autoSpaceDE w:val="0"/>
        <w:autoSpaceDN w:val="0"/>
        <w:adjustRightInd w:val="0"/>
        <w:rPr>
          <w:rFonts w:cs="Arial"/>
          <w:color w:val="000000"/>
          <w:sz w:val="20"/>
          <w:szCs w:val="20"/>
        </w:rPr>
      </w:pPr>
      <w:r w:rsidRPr="00C1112B">
        <w:rPr>
          <w:rFonts w:cs="Arial"/>
          <w:color w:val="000000"/>
          <w:sz w:val="20"/>
          <w:szCs w:val="20"/>
        </w:rPr>
        <w:t xml:space="preserve">Národní sportovní agentura (dále jen „NSA“) v souladu s kapitolním sešitem v průběhu roku 2023 vyhlašovala neinvestiční dotační výzvy na podporu sportu pro handicapované sportovce, tj. sportovce se zdravotním postižením, ve kterých byly oprávněnými žadateli sportovní organizace, tj. sportovní kluby a Tělovýchovné jednoty ZPS, sportovní svazy ZPS, jejichž hlavní </w:t>
      </w:r>
      <w:r w:rsidR="008B7787">
        <w:rPr>
          <w:rFonts w:cs="Arial"/>
          <w:color w:val="000000"/>
          <w:sz w:val="20"/>
          <w:szCs w:val="20"/>
        </w:rPr>
        <w:t>činností je sportovní činnost a </w:t>
      </w:r>
      <w:r w:rsidRPr="00C1112B">
        <w:rPr>
          <w:rFonts w:cs="Arial"/>
          <w:color w:val="000000"/>
          <w:sz w:val="20"/>
          <w:szCs w:val="20"/>
        </w:rPr>
        <w:t xml:space="preserve">sdružování sportovců se zdravotním postižením. </w:t>
      </w:r>
    </w:p>
    <w:p w14:paraId="4BCFA43F" w14:textId="77777777" w:rsidR="00C1112B" w:rsidRPr="00C1112B" w:rsidRDefault="00C1112B" w:rsidP="00C1112B">
      <w:pPr>
        <w:autoSpaceDE w:val="0"/>
        <w:autoSpaceDN w:val="0"/>
        <w:adjustRightInd w:val="0"/>
        <w:rPr>
          <w:rFonts w:cs="Arial"/>
          <w:color w:val="000000"/>
          <w:sz w:val="20"/>
          <w:szCs w:val="20"/>
        </w:rPr>
      </w:pPr>
      <w:r w:rsidRPr="00C1112B">
        <w:rPr>
          <w:rFonts w:cs="Arial"/>
          <w:color w:val="000000"/>
          <w:sz w:val="20"/>
          <w:szCs w:val="20"/>
        </w:rPr>
        <w:t xml:space="preserve">NSA těmito dotačními výzvami vytvořila podmínky a zabezpečila podporu přímou podporu pro sportování zdravotně postižených sportovců. </w:t>
      </w:r>
    </w:p>
    <w:p w14:paraId="322CD482" w14:textId="521D6FFB" w:rsidR="007C51B5" w:rsidRPr="007C51B5" w:rsidRDefault="00C1112B" w:rsidP="00ED240C">
      <w:pPr>
        <w:tabs>
          <w:tab w:val="left" w:pos="720"/>
        </w:tabs>
        <w:rPr>
          <w:rFonts w:cs="Arial"/>
          <w:color w:val="000000"/>
          <w:sz w:val="20"/>
          <w:szCs w:val="20"/>
        </w:rPr>
      </w:pPr>
      <w:r w:rsidRPr="00C1112B">
        <w:rPr>
          <w:rFonts w:cs="Arial"/>
          <w:color w:val="000000"/>
          <w:sz w:val="20"/>
          <w:szCs w:val="20"/>
        </w:rPr>
        <w:t xml:space="preserve">V roce 2023 se jednalo o následující vyhlášené dotační výzvy, resp. </w:t>
      </w:r>
      <w:r w:rsidRPr="00C1112B">
        <w:rPr>
          <w:rFonts w:cs="Arial"/>
          <w:bCs/>
          <w:color w:val="000000"/>
          <w:sz w:val="20"/>
          <w:szCs w:val="20"/>
        </w:rPr>
        <w:t>plnění indikátorů</w:t>
      </w:r>
      <w:r w:rsidRPr="00C1112B">
        <w:rPr>
          <w:rFonts w:cs="Arial"/>
          <w:color w:val="000000"/>
          <w:sz w:val="20"/>
          <w:szCs w:val="20"/>
        </w:rPr>
        <w:t>, jak je ukládá opatření 15.4.1:</w:t>
      </w:r>
    </w:p>
    <w:tbl>
      <w:tblPr>
        <w:tblW w:w="9792" w:type="dxa"/>
        <w:tblBorders>
          <w:top w:val="nil"/>
          <w:left w:val="nil"/>
          <w:bottom w:val="nil"/>
          <w:right w:val="nil"/>
        </w:tblBorders>
        <w:tblLayout w:type="fixed"/>
        <w:tblLook w:val="0000" w:firstRow="0" w:lastRow="0" w:firstColumn="0" w:lastColumn="0" w:noHBand="0" w:noVBand="0"/>
      </w:tblPr>
      <w:tblGrid>
        <w:gridCol w:w="3264"/>
        <w:gridCol w:w="3264"/>
        <w:gridCol w:w="3264"/>
      </w:tblGrid>
      <w:tr w:rsidR="007C51B5" w:rsidRPr="007C51B5" w14:paraId="69ED55B1" w14:textId="77777777" w:rsidTr="00ED240C">
        <w:trPr>
          <w:trHeight w:val="134"/>
        </w:trPr>
        <w:tc>
          <w:tcPr>
            <w:tcW w:w="3264" w:type="dxa"/>
          </w:tcPr>
          <w:p w14:paraId="69DD1A5E" w14:textId="77777777" w:rsidR="007C51B5" w:rsidRPr="00721220" w:rsidRDefault="007C51B5" w:rsidP="007C51B5">
            <w:pPr>
              <w:autoSpaceDE w:val="0"/>
              <w:autoSpaceDN w:val="0"/>
              <w:adjustRightInd w:val="0"/>
              <w:spacing w:after="0"/>
              <w:jc w:val="left"/>
              <w:rPr>
                <w:rFonts w:cs="Arial"/>
                <w:b/>
                <w:color w:val="000000"/>
                <w:sz w:val="20"/>
                <w:szCs w:val="20"/>
              </w:rPr>
            </w:pPr>
            <w:r w:rsidRPr="00721220">
              <w:rPr>
                <w:rFonts w:cs="Arial"/>
                <w:b/>
                <w:color w:val="000000"/>
                <w:sz w:val="20"/>
                <w:szCs w:val="20"/>
              </w:rPr>
              <w:t xml:space="preserve">dotační výzva </w:t>
            </w:r>
          </w:p>
        </w:tc>
        <w:tc>
          <w:tcPr>
            <w:tcW w:w="3264" w:type="dxa"/>
          </w:tcPr>
          <w:p w14:paraId="62498580" w14:textId="77777777" w:rsidR="007C51B5" w:rsidRPr="00721220" w:rsidRDefault="007C51B5" w:rsidP="007C51B5">
            <w:pPr>
              <w:autoSpaceDE w:val="0"/>
              <w:autoSpaceDN w:val="0"/>
              <w:adjustRightInd w:val="0"/>
              <w:spacing w:after="0"/>
              <w:jc w:val="left"/>
              <w:rPr>
                <w:rFonts w:cs="Arial"/>
                <w:b/>
                <w:color w:val="000000"/>
                <w:sz w:val="20"/>
                <w:szCs w:val="20"/>
              </w:rPr>
            </w:pPr>
            <w:r w:rsidRPr="00721220">
              <w:rPr>
                <w:rFonts w:cs="Arial"/>
                <w:b/>
                <w:color w:val="000000"/>
                <w:sz w:val="20"/>
                <w:szCs w:val="20"/>
              </w:rPr>
              <w:t xml:space="preserve">vyplaceno v Kč </w:t>
            </w:r>
          </w:p>
        </w:tc>
        <w:tc>
          <w:tcPr>
            <w:tcW w:w="3264" w:type="dxa"/>
          </w:tcPr>
          <w:p w14:paraId="39937B48" w14:textId="77777777" w:rsidR="007C51B5" w:rsidRPr="00721220" w:rsidRDefault="007C51B5" w:rsidP="007C51B5">
            <w:pPr>
              <w:autoSpaceDE w:val="0"/>
              <w:autoSpaceDN w:val="0"/>
              <w:adjustRightInd w:val="0"/>
              <w:spacing w:after="0"/>
              <w:jc w:val="left"/>
              <w:rPr>
                <w:rFonts w:cs="Arial"/>
                <w:b/>
                <w:color w:val="000000"/>
                <w:sz w:val="20"/>
                <w:szCs w:val="20"/>
              </w:rPr>
            </w:pPr>
            <w:r w:rsidRPr="00721220">
              <w:rPr>
                <w:rFonts w:cs="Arial"/>
                <w:b/>
                <w:color w:val="000000"/>
                <w:sz w:val="20"/>
                <w:szCs w:val="20"/>
              </w:rPr>
              <w:t xml:space="preserve">termín vyhlášení </w:t>
            </w:r>
          </w:p>
        </w:tc>
      </w:tr>
      <w:tr w:rsidR="007C51B5" w:rsidRPr="007C51B5" w14:paraId="4D77F32A" w14:textId="77777777" w:rsidTr="00ED240C">
        <w:trPr>
          <w:trHeight w:val="134"/>
        </w:trPr>
        <w:tc>
          <w:tcPr>
            <w:tcW w:w="3264" w:type="dxa"/>
          </w:tcPr>
          <w:p w14:paraId="50FD4DA7" w14:textId="77777777" w:rsidR="007C51B5" w:rsidRPr="00721220" w:rsidRDefault="007C51B5" w:rsidP="007C51B5">
            <w:pPr>
              <w:autoSpaceDE w:val="0"/>
              <w:autoSpaceDN w:val="0"/>
              <w:adjustRightInd w:val="0"/>
              <w:spacing w:after="0"/>
              <w:jc w:val="left"/>
              <w:rPr>
                <w:rFonts w:cs="Arial"/>
                <w:color w:val="000000"/>
                <w:sz w:val="20"/>
                <w:szCs w:val="20"/>
              </w:rPr>
            </w:pPr>
            <w:r w:rsidRPr="00721220">
              <w:rPr>
                <w:rFonts w:cs="Arial"/>
                <w:color w:val="000000"/>
                <w:sz w:val="20"/>
                <w:szCs w:val="20"/>
              </w:rPr>
              <w:t xml:space="preserve">01/2023 - Parasport Významné sportovní akce 2023 </w:t>
            </w:r>
          </w:p>
        </w:tc>
        <w:tc>
          <w:tcPr>
            <w:tcW w:w="3264" w:type="dxa"/>
          </w:tcPr>
          <w:p w14:paraId="2098DE28" w14:textId="77777777" w:rsidR="007C51B5" w:rsidRPr="00721220" w:rsidRDefault="007C51B5" w:rsidP="007C51B5">
            <w:pPr>
              <w:autoSpaceDE w:val="0"/>
              <w:autoSpaceDN w:val="0"/>
              <w:adjustRightInd w:val="0"/>
              <w:spacing w:after="0"/>
              <w:jc w:val="left"/>
              <w:rPr>
                <w:rFonts w:cs="Arial"/>
                <w:color w:val="000000"/>
                <w:sz w:val="20"/>
                <w:szCs w:val="20"/>
              </w:rPr>
            </w:pPr>
            <w:r w:rsidRPr="00721220">
              <w:rPr>
                <w:rFonts w:cs="Arial"/>
                <w:color w:val="000000"/>
                <w:sz w:val="20"/>
                <w:szCs w:val="20"/>
              </w:rPr>
              <w:t xml:space="preserve">14 960 707 </w:t>
            </w:r>
          </w:p>
        </w:tc>
        <w:tc>
          <w:tcPr>
            <w:tcW w:w="3264" w:type="dxa"/>
          </w:tcPr>
          <w:p w14:paraId="238F59E2" w14:textId="77777777" w:rsidR="007C51B5" w:rsidRPr="00721220" w:rsidRDefault="007C51B5" w:rsidP="00ED240C">
            <w:pPr>
              <w:tabs>
                <w:tab w:val="left" w:pos="846"/>
              </w:tabs>
              <w:autoSpaceDE w:val="0"/>
              <w:autoSpaceDN w:val="0"/>
              <w:adjustRightInd w:val="0"/>
              <w:spacing w:after="0"/>
              <w:jc w:val="left"/>
              <w:rPr>
                <w:rFonts w:cs="Arial"/>
                <w:color w:val="000000"/>
                <w:sz w:val="20"/>
                <w:szCs w:val="20"/>
              </w:rPr>
            </w:pPr>
            <w:r w:rsidRPr="00721220">
              <w:rPr>
                <w:rFonts w:cs="Arial"/>
                <w:color w:val="000000"/>
                <w:sz w:val="20"/>
                <w:szCs w:val="20"/>
              </w:rPr>
              <w:t xml:space="preserve">únor 2023 </w:t>
            </w:r>
          </w:p>
        </w:tc>
      </w:tr>
      <w:tr w:rsidR="007C51B5" w:rsidRPr="007C51B5" w14:paraId="730A6F84" w14:textId="77777777" w:rsidTr="00ED240C">
        <w:trPr>
          <w:trHeight w:val="134"/>
        </w:trPr>
        <w:tc>
          <w:tcPr>
            <w:tcW w:w="3264" w:type="dxa"/>
          </w:tcPr>
          <w:p w14:paraId="0DB877B7" w14:textId="77777777" w:rsidR="007C51B5" w:rsidRPr="00721220" w:rsidRDefault="007C51B5" w:rsidP="007C51B5">
            <w:pPr>
              <w:autoSpaceDE w:val="0"/>
              <w:autoSpaceDN w:val="0"/>
              <w:adjustRightInd w:val="0"/>
              <w:spacing w:after="0"/>
              <w:jc w:val="left"/>
              <w:rPr>
                <w:rFonts w:cs="Arial"/>
                <w:color w:val="000000"/>
                <w:sz w:val="20"/>
                <w:szCs w:val="20"/>
              </w:rPr>
            </w:pPr>
            <w:r w:rsidRPr="00721220">
              <w:rPr>
                <w:rFonts w:cs="Arial"/>
                <w:color w:val="000000"/>
                <w:sz w:val="20"/>
                <w:szCs w:val="20"/>
              </w:rPr>
              <w:t xml:space="preserve">02/2023 - Reprezentace ZPS 2023 </w:t>
            </w:r>
          </w:p>
        </w:tc>
        <w:tc>
          <w:tcPr>
            <w:tcW w:w="3264" w:type="dxa"/>
          </w:tcPr>
          <w:p w14:paraId="78D558B5" w14:textId="77777777" w:rsidR="007C51B5" w:rsidRPr="00721220" w:rsidRDefault="007C51B5" w:rsidP="007C51B5">
            <w:pPr>
              <w:autoSpaceDE w:val="0"/>
              <w:autoSpaceDN w:val="0"/>
              <w:adjustRightInd w:val="0"/>
              <w:spacing w:after="0"/>
              <w:jc w:val="left"/>
              <w:rPr>
                <w:rFonts w:cs="Arial"/>
                <w:color w:val="000000"/>
                <w:sz w:val="20"/>
                <w:szCs w:val="20"/>
              </w:rPr>
            </w:pPr>
            <w:r w:rsidRPr="00721220">
              <w:rPr>
                <w:rFonts w:cs="Arial"/>
                <w:color w:val="000000"/>
                <w:sz w:val="20"/>
                <w:szCs w:val="20"/>
              </w:rPr>
              <w:t xml:space="preserve">34 909 919 </w:t>
            </w:r>
          </w:p>
        </w:tc>
        <w:tc>
          <w:tcPr>
            <w:tcW w:w="3264" w:type="dxa"/>
          </w:tcPr>
          <w:p w14:paraId="2BB8FE8F" w14:textId="77777777" w:rsidR="007C51B5" w:rsidRPr="00721220" w:rsidRDefault="007C51B5" w:rsidP="007C51B5">
            <w:pPr>
              <w:autoSpaceDE w:val="0"/>
              <w:autoSpaceDN w:val="0"/>
              <w:adjustRightInd w:val="0"/>
              <w:spacing w:after="0"/>
              <w:jc w:val="left"/>
              <w:rPr>
                <w:rFonts w:cs="Arial"/>
                <w:color w:val="000000"/>
                <w:sz w:val="20"/>
                <w:szCs w:val="20"/>
              </w:rPr>
            </w:pPr>
            <w:r w:rsidRPr="00721220">
              <w:rPr>
                <w:rFonts w:cs="Arial"/>
                <w:color w:val="000000"/>
                <w:sz w:val="20"/>
                <w:szCs w:val="20"/>
              </w:rPr>
              <w:t xml:space="preserve">duben 2023 </w:t>
            </w:r>
          </w:p>
        </w:tc>
      </w:tr>
      <w:tr w:rsidR="007C51B5" w:rsidRPr="007C51B5" w14:paraId="3FFA2931" w14:textId="77777777" w:rsidTr="00ED240C">
        <w:trPr>
          <w:trHeight w:val="134"/>
        </w:trPr>
        <w:tc>
          <w:tcPr>
            <w:tcW w:w="3264" w:type="dxa"/>
          </w:tcPr>
          <w:p w14:paraId="7265044D" w14:textId="77777777" w:rsidR="007C51B5" w:rsidRPr="00721220" w:rsidRDefault="007C51B5" w:rsidP="007C51B5">
            <w:pPr>
              <w:autoSpaceDE w:val="0"/>
              <w:autoSpaceDN w:val="0"/>
              <w:adjustRightInd w:val="0"/>
              <w:spacing w:after="0"/>
              <w:jc w:val="left"/>
              <w:rPr>
                <w:rFonts w:cs="Arial"/>
                <w:color w:val="000000"/>
                <w:sz w:val="20"/>
                <w:szCs w:val="20"/>
              </w:rPr>
            </w:pPr>
            <w:r w:rsidRPr="00721220">
              <w:rPr>
                <w:rFonts w:cs="Arial"/>
                <w:color w:val="000000"/>
                <w:sz w:val="20"/>
                <w:szCs w:val="20"/>
              </w:rPr>
              <w:t xml:space="preserve">07/2023 - Podpora sportovních organizací svazového charakteru ZPS 2023 </w:t>
            </w:r>
          </w:p>
        </w:tc>
        <w:tc>
          <w:tcPr>
            <w:tcW w:w="3264" w:type="dxa"/>
          </w:tcPr>
          <w:p w14:paraId="2862E6CD" w14:textId="77777777" w:rsidR="007C51B5" w:rsidRPr="00721220" w:rsidRDefault="007C51B5" w:rsidP="007C51B5">
            <w:pPr>
              <w:autoSpaceDE w:val="0"/>
              <w:autoSpaceDN w:val="0"/>
              <w:adjustRightInd w:val="0"/>
              <w:spacing w:after="0"/>
              <w:jc w:val="left"/>
              <w:rPr>
                <w:rFonts w:cs="Arial"/>
                <w:color w:val="000000"/>
                <w:sz w:val="20"/>
                <w:szCs w:val="20"/>
              </w:rPr>
            </w:pPr>
            <w:r w:rsidRPr="00721220">
              <w:rPr>
                <w:rFonts w:cs="Arial"/>
                <w:color w:val="000000"/>
                <w:sz w:val="20"/>
                <w:szCs w:val="20"/>
              </w:rPr>
              <w:t xml:space="preserve">32 622 230 </w:t>
            </w:r>
          </w:p>
        </w:tc>
        <w:tc>
          <w:tcPr>
            <w:tcW w:w="3264" w:type="dxa"/>
          </w:tcPr>
          <w:p w14:paraId="753CFE71" w14:textId="77777777" w:rsidR="007C51B5" w:rsidRPr="00721220" w:rsidRDefault="007C51B5" w:rsidP="007C51B5">
            <w:pPr>
              <w:autoSpaceDE w:val="0"/>
              <w:autoSpaceDN w:val="0"/>
              <w:adjustRightInd w:val="0"/>
              <w:spacing w:after="0"/>
              <w:jc w:val="left"/>
              <w:rPr>
                <w:rFonts w:cs="Arial"/>
                <w:color w:val="000000"/>
                <w:sz w:val="20"/>
                <w:szCs w:val="20"/>
              </w:rPr>
            </w:pPr>
            <w:r w:rsidRPr="00721220">
              <w:rPr>
                <w:rFonts w:cs="Arial"/>
                <w:color w:val="000000"/>
                <w:sz w:val="20"/>
                <w:szCs w:val="20"/>
              </w:rPr>
              <w:t xml:space="preserve">srpen 2023 </w:t>
            </w:r>
          </w:p>
        </w:tc>
      </w:tr>
      <w:tr w:rsidR="007C51B5" w:rsidRPr="007C51B5" w14:paraId="431DDD94" w14:textId="77777777" w:rsidTr="00ED240C">
        <w:trPr>
          <w:trHeight w:val="134"/>
        </w:trPr>
        <w:tc>
          <w:tcPr>
            <w:tcW w:w="3264" w:type="dxa"/>
          </w:tcPr>
          <w:p w14:paraId="7B0B0541" w14:textId="77777777" w:rsidR="007C51B5" w:rsidRPr="00721220" w:rsidRDefault="007C51B5" w:rsidP="007C51B5">
            <w:pPr>
              <w:autoSpaceDE w:val="0"/>
              <w:autoSpaceDN w:val="0"/>
              <w:adjustRightInd w:val="0"/>
              <w:spacing w:after="0"/>
              <w:jc w:val="left"/>
              <w:rPr>
                <w:rFonts w:cs="Arial"/>
                <w:color w:val="000000"/>
                <w:sz w:val="20"/>
                <w:szCs w:val="20"/>
              </w:rPr>
            </w:pPr>
            <w:r w:rsidRPr="00721220">
              <w:rPr>
                <w:rFonts w:cs="Arial"/>
                <w:color w:val="000000"/>
                <w:sz w:val="20"/>
                <w:szCs w:val="20"/>
              </w:rPr>
              <w:t xml:space="preserve">10/2023 - Sportovní organizace speciálních olympiád 2023 </w:t>
            </w:r>
          </w:p>
        </w:tc>
        <w:tc>
          <w:tcPr>
            <w:tcW w:w="3264" w:type="dxa"/>
          </w:tcPr>
          <w:p w14:paraId="70D58140" w14:textId="4702EA9C" w:rsidR="007C51B5" w:rsidRPr="00721220" w:rsidRDefault="00ED240C" w:rsidP="007C51B5">
            <w:pPr>
              <w:autoSpaceDE w:val="0"/>
              <w:autoSpaceDN w:val="0"/>
              <w:adjustRightInd w:val="0"/>
              <w:spacing w:after="0"/>
              <w:jc w:val="left"/>
              <w:rPr>
                <w:rFonts w:cs="Arial"/>
                <w:color w:val="000000"/>
                <w:sz w:val="20"/>
                <w:szCs w:val="20"/>
              </w:rPr>
            </w:pPr>
            <w:r w:rsidRPr="00721220">
              <w:rPr>
                <w:rFonts w:cs="Arial"/>
                <w:color w:val="000000"/>
                <w:sz w:val="20"/>
                <w:szCs w:val="20"/>
              </w:rPr>
              <w:t>4 500 000</w:t>
            </w:r>
          </w:p>
        </w:tc>
        <w:tc>
          <w:tcPr>
            <w:tcW w:w="3264" w:type="dxa"/>
          </w:tcPr>
          <w:p w14:paraId="49CC7128" w14:textId="77777777" w:rsidR="007C51B5" w:rsidRPr="00721220" w:rsidRDefault="007C51B5" w:rsidP="007C51B5">
            <w:pPr>
              <w:autoSpaceDE w:val="0"/>
              <w:autoSpaceDN w:val="0"/>
              <w:adjustRightInd w:val="0"/>
              <w:spacing w:after="0"/>
              <w:jc w:val="left"/>
              <w:rPr>
                <w:rFonts w:cs="Arial"/>
                <w:color w:val="000000"/>
                <w:sz w:val="20"/>
                <w:szCs w:val="20"/>
              </w:rPr>
            </w:pPr>
            <w:r w:rsidRPr="00721220">
              <w:rPr>
                <w:rFonts w:cs="Arial"/>
                <w:color w:val="000000"/>
                <w:sz w:val="20"/>
                <w:szCs w:val="20"/>
              </w:rPr>
              <w:t xml:space="preserve">říjen 2023 </w:t>
            </w:r>
          </w:p>
        </w:tc>
      </w:tr>
      <w:tr w:rsidR="007C51B5" w:rsidRPr="007C51B5" w14:paraId="05112BC1" w14:textId="77777777" w:rsidTr="00ED240C">
        <w:trPr>
          <w:trHeight w:val="134"/>
        </w:trPr>
        <w:tc>
          <w:tcPr>
            <w:tcW w:w="3264" w:type="dxa"/>
          </w:tcPr>
          <w:p w14:paraId="6BCA4CA2" w14:textId="77777777" w:rsidR="007C51B5" w:rsidRPr="00721220" w:rsidRDefault="007C51B5" w:rsidP="007C51B5">
            <w:pPr>
              <w:autoSpaceDE w:val="0"/>
              <w:autoSpaceDN w:val="0"/>
              <w:adjustRightInd w:val="0"/>
              <w:spacing w:after="0"/>
              <w:jc w:val="left"/>
              <w:rPr>
                <w:rFonts w:cs="Arial"/>
                <w:color w:val="000000"/>
                <w:sz w:val="20"/>
                <w:szCs w:val="20"/>
              </w:rPr>
            </w:pPr>
            <w:r w:rsidRPr="00721220">
              <w:rPr>
                <w:rFonts w:cs="Arial"/>
                <w:color w:val="000000"/>
                <w:sz w:val="20"/>
                <w:szCs w:val="20"/>
              </w:rPr>
              <w:t xml:space="preserve">30/2022 - Podpora SK/TJ ZPS 2023 </w:t>
            </w:r>
          </w:p>
        </w:tc>
        <w:tc>
          <w:tcPr>
            <w:tcW w:w="3264" w:type="dxa"/>
          </w:tcPr>
          <w:p w14:paraId="4AEAC2D6" w14:textId="77777777" w:rsidR="007C51B5" w:rsidRPr="00721220" w:rsidRDefault="007C51B5" w:rsidP="007C51B5">
            <w:pPr>
              <w:autoSpaceDE w:val="0"/>
              <w:autoSpaceDN w:val="0"/>
              <w:adjustRightInd w:val="0"/>
              <w:spacing w:after="0"/>
              <w:jc w:val="left"/>
              <w:rPr>
                <w:rFonts w:cs="Arial"/>
                <w:color w:val="000000"/>
                <w:sz w:val="20"/>
                <w:szCs w:val="20"/>
              </w:rPr>
            </w:pPr>
            <w:r w:rsidRPr="00721220">
              <w:rPr>
                <w:rFonts w:cs="Arial"/>
                <w:color w:val="000000"/>
                <w:sz w:val="20"/>
                <w:szCs w:val="20"/>
              </w:rPr>
              <w:t xml:space="preserve">38 825 900 </w:t>
            </w:r>
          </w:p>
        </w:tc>
        <w:tc>
          <w:tcPr>
            <w:tcW w:w="3264" w:type="dxa"/>
          </w:tcPr>
          <w:p w14:paraId="2B415972" w14:textId="77777777" w:rsidR="007C51B5" w:rsidRPr="00721220" w:rsidRDefault="007C51B5" w:rsidP="007C51B5">
            <w:pPr>
              <w:autoSpaceDE w:val="0"/>
              <w:autoSpaceDN w:val="0"/>
              <w:adjustRightInd w:val="0"/>
              <w:spacing w:after="0"/>
              <w:jc w:val="left"/>
              <w:rPr>
                <w:rFonts w:cs="Arial"/>
                <w:color w:val="000000"/>
                <w:sz w:val="20"/>
                <w:szCs w:val="20"/>
              </w:rPr>
            </w:pPr>
            <w:r w:rsidRPr="00721220">
              <w:rPr>
                <w:rFonts w:cs="Arial"/>
                <w:color w:val="000000"/>
                <w:sz w:val="20"/>
                <w:szCs w:val="20"/>
              </w:rPr>
              <w:t xml:space="preserve">leden 2023 </w:t>
            </w:r>
          </w:p>
        </w:tc>
      </w:tr>
      <w:tr w:rsidR="007C51B5" w:rsidRPr="007C51B5" w14:paraId="7F15D4D7" w14:textId="77777777" w:rsidTr="00ED240C">
        <w:trPr>
          <w:trHeight w:val="134"/>
        </w:trPr>
        <w:tc>
          <w:tcPr>
            <w:tcW w:w="3264" w:type="dxa"/>
          </w:tcPr>
          <w:p w14:paraId="7EC84D92" w14:textId="77777777" w:rsidR="007C51B5" w:rsidRPr="00721220" w:rsidRDefault="007C51B5" w:rsidP="00ED240C">
            <w:pPr>
              <w:autoSpaceDE w:val="0"/>
              <w:autoSpaceDN w:val="0"/>
              <w:adjustRightInd w:val="0"/>
              <w:jc w:val="left"/>
              <w:rPr>
                <w:rFonts w:cs="Arial"/>
                <w:color w:val="000000"/>
                <w:sz w:val="20"/>
                <w:szCs w:val="20"/>
              </w:rPr>
            </w:pPr>
            <w:r w:rsidRPr="00721220">
              <w:rPr>
                <w:rFonts w:cs="Arial"/>
                <w:color w:val="000000"/>
                <w:sz w:val="20"/>
                <w:szCs w:val="20"/>
              </w:rPr>
              <w:t xml:space="preserve">35/2022 - Sportovní organizace paralympijského hnutí 2023 </w:t>
            </w:r>
          </w:p>
        </w:tc>
        <w:tc>
          <w:tcPr>
            <w:tcW w:w="3264" w:type="dxa"/>
          </w:tcPr>
          <w:p w14:paraId="6554DEA9" w14:textId="77777777" w:rsidR="007C51B5" w:rsidRPr="00721220" w:rsidRDefault="007C51B5" w:rsidP="00ED240C">
            <w:pPr>
              <w:autoSpaceDE w:val="0"/>
              <w:autoSpaceDN w:val="0"/>
              <w:adjustRightInd w:val="0"/>
              <w:jc w:val="left"/>
              <w:rPr>
                <w:rFonts w:cs="Arial"/>
                <w:color w:val="000000"/>
                <w:sz w:val="20"/>
                <w:szCs w:val="20"/>
              </w:rPr>
            </w:pPr>
            <w:r w:rsidRPr="00721220">
              <w:rPr>
                <w:rFonts w:cs="Arial"/>
                <w:color w:val="000000"/>
                <w:sz w:val="20"/>
                <w:szCs w:val="20"/>
              </w:rPr>
              <w:t xml:space="preserve">10 000 000 </w:t>
            </w:r>
          </w:p>
        </w:tc>
        <w:tc>
          <w:tcPr>
            <w:tcW w:w="3264" w:type="dxa"/>
          </w:tcPr>
          <w:p w14:paraId="03EEE6B8" w14:textId="77777777" w:rsidR="007C51B5" w:rsidRPr="00721220" w:rsidRDefault="007C51B5" w:rsidP="00ED240C">
            <w:pPr>
              <w:autoSpaceDE w:val="0"/>
              <w:autoSpaceDN w:val="0"/>
              <w:adjustRightInd w:val="0"/>
              <w:jc w:val="left"/>
              <w:rPr>
                <w:rFonts w:cs="Arial"/>
                <w:color w:val="000000"/>
                <w:sz w:val="20"/>
                <w:szCs w:val="20"/>
              </w:rPr>
            </w:pPr>
            <w:r w:rsidRPr="00721220">
              <w:rPr>
                <w:rFonts w:cs="Arial"/>
                <w:color w:val="000000"/>
                <w:sz w:val="20"/>
                <w:szCs w:val="20"/>
              </w:rPr>
              <w:t xml:space="preserve">leden 2023 </w:t>
            </w:r>
          </w:p>
        </w:tc>
      </w:tr>
    </w:tbl>
    <w:p w14:paraId="26A65248" w14:textId="4265CA81" w:rsidR="00B075A2" w:rsidRPr="00C1112B" w:rsidRDefault="00B075A2" w:rsidP="00ED240C">
      <w:pPr>
        <w:rPr>
          <w:rFonts w:cs="Arial"/>
          <w:sz w:val="20"/>
          <w:szCs w:val="20"/>
        </w:rPr>
      </w:pPr>
      <w:r w:rsidRPr="00C1112B">
        <w:rPr>
          <w:rFonts w:cs="Arial"/>
          <w:b/>
          <w:bCs/>
          <w:sz w:val="20"/>
          <w:szCs w:val="20"/>
          <w:lang w:eastAsia="cs-CZ"/>
        </w:rPr>
        <w:t>STANOVISKO K PLNĚNÍ:</w:t>
      </w:r>
      <w:r w:rsidR="00240F20" w:rsidRPr="00C1112B">
        <w:rPr>
          <w:rFonts w:cs="Arial"/>
          <w:b/>
          <w:bCs/>
          <w:sz w:val="20"/>
          <w:szCs w:val="20"/>
          <w:lang w:eastAsia="cs-CZ"/>
        </w:rPr>
        <w:t xml:space="preserve"> Plněno.</w:t>
      </w:r>
    </w:p>
    <w:p w14:paraId="29F28F0C" w14:textId="77777777" w:rsidR="00B075A2" w:rsidRPr="00E576DB" w:rsidRDefault="00B075A2" w:rsidP="00550B41">
      <w:pPr>
        <w:rPr>
          <w:rFonts w:cs="Arial"/>
          <w:szCs w:val="20"/>
        </w:rPr>
      </w:pPr>
    </w:p>
    <w:p w14:paraId="3604CC16" w14:textId="77777777" w:rsidR="00F17E74" w:rsidRPr="00C3667E" w:rsidRDefault="00891A85" w:rsidP="00550B41">
      <w:pPr>
        <w:pStyle w:val="Nadpis2"/>
        <w:numPr>
          <w:ilvl w:val="0"/>
          <w:numId w:val="0"/>
        </w:numPr>
        <w:spacing w:before="0" w:after="120"/>
        <w:ind w:left="576" w:hanging="576"/>
      </w:pPr>
      <w:bookmarkStart w:id="59" w:name="_Toc38548801"/>
      <w:bookmarkStart w:id="60" w:name="_Toc38828898"/>
      <w:bookmarkStart w:id="61" w:name="_Toc101957904"/>
      <w:r w:rsidRPr="00C3667E">
        <w:t>Oblast č. 16</w:t>
      </w:r>
      <w:r w:rsidR="00FE68E2" w:rsidRPr="00C3667E">
        <w:t>:</w:t>
      </w:r>
      <w:r w:rsidRPr="00C3667E">
        <w:t xml:space="preserve"> </w:t>
      </w:r>
      <w:r w:rsidR="00F17E74" w:rsidRPr="00C3667E">
        <w:t>Statistické údaje</w:t>
      </w:r>
      <w:bookmarkEnd w:id="59"/>
      <w:bookmarkEnd w:id="60"/>
      <w:bookmarkEnd w:id="61"/>
    </w:p>
    <w:p w14:paraId="7CDD0613" w14:textId="48BB127C" w:rsidR="00F17E74" w:rsidRPr="009D12AD" w:rsidRDefault="00A37C2A" w:rsidP="00550B41">
      <w:pPr>
        <w:rPr>
          <w:rFonts w:cs="Arial"/>
          <w:sz w:val="20"/>
          <w:szCs w:val="20"/>
        </w:rPr>
      </w:pPr>
      <w:r w:rsidRPr="009D12AD">
        <w:rPr>
          <w:rFonts w:cs="Arial"/>
          <w:sz w:val="20"/>
          <w:szCs w:val="20"/>
        </w:rPr>
        <w:t>Tato oblast je postavena na článku</w:t>
      </w:r>
      <w:r w:rsidR="00F17E74" w:rsidRPr="009D12AD">
        <w:rPr>
          <w:rFonts w:cs="Arial"/>
          <w:sz w:val="20"/>
          <w:szCs w:val="20"/>
        </w:rPr>
        <w:t xml:space="preserve"> 31 Úmluvy</w:t>
      </w:r>
      <w:r w:rsidRPr="009D12AD">
        <w:rPr>
          <w:rFonts w:cs="Arial"/>
          <w:sz w:val="20"/>
          <w:szCs w:val="20"/>
        </w:rPr>
        <w:t>, který</w:t>
      </w:r>
      <w:r w:rsidR="00F17E74" w:rsidRPr="009D12AD">
        <w:rPr>
          <w:rFonts w:cs="Arial"/>
          <w:sz w:val="20"/>
          <w:szCs w:val="20"/>
        </w:rPr>
        <w:t xml:space="preserve"> se týká závazku shromažďovat informace, statistická data a výsledky výzkumů důležit</w:t>
      </w:r>
      <w:r w:rsidR="00E504B2" w:rsidRPr="009D12AD">
        <w:rPr>
          <w:rFonts w:cs="Arial"/>
          <w:sz w:val="20"/>
          <w:szCs w:val="20"/>
        </w:rPr>
        <w:t>é</w:t>
      </w:r>
      <w:r w:rsidR="00F17E74" w:rsidRPr="009D12AD">
        <w:rPr>
          <w:rFonts w:cs="Arial"/>
          <w:sz w:val="20"/>
          <w:szCs w:val="20"/>
        </w:rPr>
        <w:t xml:space="preserve"> pro formulaci a realizaci po</w:t>
      </w:r>
      <w:r w:rsidR="008B7787">
        <w:rPr>
          <w:rFonts w:cs="Arial"/>
          <w:sz w:val="20"/>
          <w:szCs w:val="20"/>
        </w:rPr>
        <w:t>litik k naplňování práv osob se </w:t>
      </w:r>
      <w:r w:rsidR="00F17E74" w:rsidRPr="009D12AD">
        <w:rPr>
          <w:rFonts w:cs="Arial"/>
          <w:sz w:val="20"/>
          <w:szCs w:val="20"/>
        </w:rPr>
        <w:t xml:space="preserve">zdravotním postižením. </w:t>
      </w:r>
    </w:p>
    <w:p w14:paraId="7AE3A9D8" w14:textId="0F0B6EAA" w:rsidR="00F17E74" w:rsidRPr="009D12AD" w:rsidRDefault="00F17E74" w:rsidP="00550B41">
      <w:pPr>
        <w:rPr>
          <w:rFonts w:cs="Arial"/>
          <w:sz w:val="20"/>
          <w:szCs w:val="20"/>
        </w:rPr>
      </w:pPr>
      <w:r w:rsidRPr="009D12AD">
        <w:rPr>
          <w:rFonts w:cs="Arial"/>
          <w:sz w:val="20"/>
          <w:szCs w:val="20"/>
        </w:rPr>
        <w:t>Pro nastavení efektivní státní politiky ve vztahu k osobám se zdravotním postiže</w:t>
      </w:r>
      <w:r w:rsidR="008B7787">
        <w:rPr>
          <w:rFonts w:cs="Arial"/>
          <w:sz w:val="20"/>
          <w:szCs w:val="20"/>
        </w:rPr>
        <w:t>ním je nezbytné mít k </w:t>
      </w:r>
      <w:r w:rsidRPr="009D12AD">
        <w:rPr>
          <w:rFonts w:cs="Arial"/>
          <w:sz w:val="20"/>
          <w:szCs w:val="20"/>
        </w:rPr>
        <w:t xml:space="preserve">dispozici co nejpřesnější statistické údaje o počtu a struktuře této skupiny osob. Vzhledem k důležitosti statistických dat je nezbytné i v následujícím období v jejich sběru </w:t>
      </w:r>
      <w:r w:rsidRPr="009D12AD">
        <w:rPr>
          <w:sz w:val="20"/>
          <w:szCs w:val="20"/>
        </w:rPr>
        <w:t>pokračovat.</w:t>
      </w:r>
    </w:p>
    <w:p w14:paraId="77890834" w14:textId="77777777" w:rsidR="00A37C2A" w:rsidRPr="009D12AD" w:rsidRDefault="00A37C2A" w:rsidP="00550B41">
      <w:pPr>
        <w:rPr>
          <w:rFonts w:cs="Arial"/>
          <w:sz w:val="20"/>
          <w:szCs w:val="20"/>
        </w:rPr>
      </w:pPr>
    </w:p>
    <w:p w14:paraId="5323BBA0" w14:textId="521078B5" w:rsidR="00A37C2A" w:rsidRDefault="00E766E7" w:rsidP="00550B41">
      <w:pPr>
        <w:rPr>
          <w:rFonts w:cs="Arial"/>
          <w:sz w:val="20"/>
          <w:szCs w:val="20"/>
        </w:rPr>
      </w:pPr>
      <w:r>
        <w:rPr>
          <w:rFonts w:cs="Arial"/>
          <w:sz w:val="20"/>
          <w:szCs w:val="20"/>
        </w:rPr>
        <w:t>V roce 2023</w:t>
      </w:r>
      <w:r w:rsidR="00A37C2A" w:rsidRPr="00E83F1A">
        <w:rPr>
          <w:rFonts w:cs="Arial"/>
          <w:sz w:val="20"/>
          <w:szCs w:val="20"/>
        </w:rPr>
        <w:t xml:space="preserve"> není sledováno plnění žádného opatření této oblasti.</w:t>
      </w:r>
    </w:p>
    <w:p w14:paraId="0012A8AE" w14:textId="77777777" w:rsidR="00550B41" w:rsidRPr="009D12AD" w:rsidRDefault="00550B41" w:rsidP="00550B41">
      <w:pPr>
        <w:rPr>
          <w:rFonts w:cs="Arial"/>
          <w:sz w:val="20"/>
          <w:szCs w:val="20"/>
        </w:rPr>
      </w:pPr>
    </w:p>
    <w:p w14:paraId="0E90912F" w14:textId="2E5D8B57" w:rsidR="00F17E74" w:rsidRPr="00891A85" w:rsidRDefault="00891A85" w:rsidP="00550B41">
      <w:pPr>
        <w:pStyle w:val="Nadpis2"/>
        <w:numPr>
          <w:ilvl w:val="0"/>
          <w:numId w:val="0"/>
        </w:numPr>
        <w:spacing w:before="0" w:after="120"/>
        <w:ind w:left="576" w:hanging="576"/>
      </w:pPr>
      <w:bookmarkStart w:id="62" w:name="_Toc38548802"/>
      <w:bookmarkStart w:id="63" w:name="_Toc38828899"/>
      <w:bookmarkStart w:id="64" w:name="_Toc101957905"/>
      <w:r w:rsidRPr="006C6A9A">
        <w:t>Oblast</w:t>
      </w:r>
      <w:r>
        <w:t xml:space="preserve"> č. 17</w:t>
      </w:r>
      <w:r w:rsidR="00FE68E2">
        <w:t>:</w:t>
      </w:r>
      <w:r>
        <w:t xml:space="preserve"> </w:t>
      </w:r>
      <w:r w:rsidR="00F17E74" w:rsidRPr="00891A85">
        <w:t>Koordinace a monitorování plnění Národního plánu</w:t>
      </w:r>
      <w:bookmarkEnd w:id="62"/>
      <w:bookmarkEnd w:id="63"/>
      <w:bookmarkEnd w:id="64"/>
    </w:p>
    <w:p w14:paraId="6BDC89B3" w14:textId="77777777" w:rsidR="00B060AA" w:rsidRDefault="0068223A" w:rsidP="0068223A">
      <w:pPr>
        <w:rPr>
          <w:rFonts w:cs="Arial"/>
          <w:sz w:val="20"/>
          <w:szCs w:val="20"/>
        </w:rPr>
      </w:pPr>
      <w:r w:rsidRPr="0068223A">
        <w:rPr>
          <w:rFonts w:cs="Arial"/>
          <w:sz w:val="20"/>
          <w:szCs w:val="20"/>
        </w:rPr>
        <w:t xml:space="preserve">V rámci této oblasti je sledována vlastní realizace a průběžné monitorování Národního plánu, na kterém se podílí ústřední orgány státní správy i další instituce a organizace osob se zdravotním postižením. </w:t>
      </w:r>
    </w:p>
    <w:p w14:paraId="5B1E6DB9" w14:textId="24946467" w:rsidR="00F17E74" w:rsidRDefault="00F17E74" w:rsidP="0068223A">
      <w:pPr>
        <w:rPr>
          <w:rFonts w:cs="Arial"/>
          <w:sz w:val="20"/>
          <w:szCs w:val="20"/>
        </w:rPr>
      </w:pPr>
      <w:r w:rsidRPr="0068223A">
        <w:rPr>
          <w:rFonts w:cs="Arial"/>
          <w:sz w:val="20"/>
          <w:szCs w:val="20"/>
        </w:rPr>
        <w:t>Na základě zkušeností s koordinací a</w:t>
      </w:r>
      <w:r w:rsidR="00251C70" w:rsidRPr="0068223A">
        <w:rPr>
          <w:rFonts w:cs="Arial"/>
          <w:sz w:val="20"/>
          <w:szCs w:val="20"/>
        </w:rPr>
        <w:t> </w:t>
      </w:r>
      <w:r w:rsidRPr="0068223A">
        <w:rPr>
          <w:rFonts w:cs="Arial"/>
          <w:sz w:val="20"/>
          <w:szCs w:val="20"/>
        </w:rPr>
        <w:t xml:space="preserve">monitorováním dosud realizovaných Národních plánů je účelné zachovat model, kdy všechny relevantní resorty každoročně předkládají Zprávu o plnění opatření Národního plánu spadající do jejich působnosti za uplynulý kalendářní rok. Zprávu poté projednává vláda ČR a v případě potřeby navrhuje změny či doplnění jednotlivých opatření. </w:t>
      </w:r>
    </w:p>
    <w:p w14:paraId="22E93283" w14:textId="77777777" w:rsidR="0068223A" w:rsidRPr="0068223A" w:rsidRDefault="0068223A" w:rsidP="0068223A">
      <w:pPr>
        <w:rPr>
          <w:rFonts w:cs="Arial"/>
          <w:sz w:val="20"/>
          <w:szCs w:val="20"/>
        </w:rPr>
      </w:pPr>
    </w:p>
    <w:p w14:paraId="02A7933D" w14:textId="77777777" w:rsidR="00F17E74" w:rsidRDefault="00F17E74" w:rsidP="0068223A">
      <w:pPr>
        <w:rPr>
          <w:rFonts w:cs="Arial"/>
          <w:b/>
          <w:bCs/>
          <w:szCs w:val="20"/>
        </w:rPr>
      </w:pPr>
      <w:r>
        <w:rPr>
          <w:rFonts w:cs="Arial"/>
          <w:b/>
          <w:bCs/>
          <w:szCs w:val="20"/>
        </w:rPr>
        <w:t xml:space="preserve">17.1 </w:t>
      </w:r>
      <w:r w:rsidRPr="0057756D">
        <w:rPr>
          <w:rFonts w:cs="Arial"/>
          <w:b/>
          <w:bCs/>
          <w:szCs w:val="20"/>
        </w:rPr>
        <w:t xml:space="preserve">Cíl: </w:t>
      </w:r>
      <w:r w:rsidRPr="002D3B01">
        <w:rPr>
          <w:rFonts w:cs="Arial"/>
          <w:b/>
          <w:szCs w:val="20"/>
        </w:rPr>
        <w:t>Každoroční</w:t>
      </w:r>
      <w:r w:rsidRPr="0057756D">
        <w:rPr>
          <w:rFonts w:cs="Arial"/>
          <w:b/>
          <w:bCs/>
          <w:szCs w:val="20"/>
        </w:rPr>
        <w:t xml:space="preserve"> kontrola plnění opatření Národního plánu.</w:t>
      </w:r>
    </w:p>
    <w:p w14:paraId="29ECA6D5" w14:textId="77777777" w:rsidR="00F17E74" w:rsidRDefault="00F17E74" w:rsidP="00F17E74">
      <w:pPr>
        <w:rPr>
          <w:rFonts w:cs="Arial"/>
          <w:szCs w:val="20"/>
        </w:rPr>
      </w:pPr>
      <w:r w:rsidRPr="0035060D">
        <w:rPr>
          <w:rFonts w:cs="Arial"/>
          <w:bCs/>
          <w:szCs w:val="20"/>
        </w:rPr>
        <w:t xml:space="preserve">Opatření </w:t>
      </w:r>
      <w:r>
        <w:rPr>
          <w:rFonts w:cs="Arial"/>
          <w:bCs/>
          <w:szCs w:val="20"/>
        </w:rPr>
        <w:t>17</w:t>
      </w:r>
      <w:r>
        <w:rPr>
          <w:rFonts w:cs="Arial"/>
          <w:szCs w:val="20"/>
        </w:rPr>
        <w:t xml:space="preserve">.1.1 </w:t>
      </w:r>
      <w:r w:rsidRPr="0057756D">
        <w:rPr>
          <w:rFonts w:cs="Arial"/>
          <w:szCs w:val="20"/>
        </w:rPr>
        <w:t>Jedenkrát ročně do 28. února všechny resorty</w:t>
      </w:r>
      <w:r>
        <w:rPr>
          <w:rFonts w:cs="Arial"/>
          <w:szCs w:val="20"/>
        </w:rPr>
        <w:t xml:space="preserve"> a instituce</w:t>
      </w:r>
      <w:r w:rsidRPr="0057756D">
        <w:rPr>
          <w:rFonts w:cs="Arial"/>
          <w:szCs w:val="20"/>
        </w:rPr>
        <w:t>, kterým byla uložena opatření, předloží zprávu o plnění opatření Národního plánu spadajících do jejich působno</w:t>
      </w:r>
      <w:r>
        <w:rPr>
          <w:rFonts w:cs="Arial"/>
          <w:szCs w:val="20"/>
        </w:rPr>
        <w:t>sti za uplynulý kalendářní rok.</w:t>
      </w:r>
    </w:p>
    <w:p w14:paraId="76C8F47F" w14:textId="77777777" w:rsidR="00F17E74" w:rsidRPr="0057756D" w:rsidRDefault="00F17E74" w:rsidP="00F17E74">
      <w:pPr>
        <w:rPr>
          <w:rFonts w:cs="Arial"/>
          <w:szCs w:val="20"/>
        </w:rPr>
      </w:pPr>
      <w:r w:rsidRPr="0057756D">
        <w:rPr>
          <w:rFonts w:cs="Arial"/>
          <w:szCs w:val="20"/>
        </w:rPr>
        <w:t>Termín: průběžně</w:t>
      </w:r>
    </w:p>
    <w:p w14:paraId="1658920B" w14:textId="77777777" w:rsidR="00F17E74" w:rsidRPr="0057756D" w:rsidRDefault="00F17E74" w:rsidP="00F17E74">
      <w:pPr>
        <w:rPr>
          <w:rFonts w:cs="Arial"/>
          <w:szCs w:val="20"/>
        </w:rPr>
      </w:pPr>
      <w:r w:rsidRPr="0057756D">
        <w:rPr>
          <w:rFonts w:cs="Arial"/>
          <w:szCs w:val="20"/>
        </w:rPr>
        <w:t>Gestor: všechny resorty</w:t>
      </w:r>
      <w:r>
        <w:rPr>
          <w:rFonts w:cs="Arial"/>
          <w:szCs w:val="20"/>
        </w:rPr>
        <w:t>, ÚV</w:t>
      </w:r>
    </w:p>
    <w:p w14:paraId="4F24619B" w14:textId="77777777" w:rsidR="0068223A" w:rsidRDefault="00F17E74" w:rsidP="0068223A">
      <w:pPr>
        <w:rPr>
          <w:rFonts w:cs="Arial"/>
          <w:szCs w:val="20"/>
        </w:rPr>
      </w:pPr>
      <w:r w:rsidRPr="00193A00">
        <w:rPr>
          <w:rFonts w:cs="Arial"/>
          <w:szCs w:val="20"/>
        </w:rPr>
        <w:t xml:space="preserve">Indikátor: V uvedeném termínu byla </w:t>
      </w:r>
      <w:r>
        <w:rPr>
          <w:rFonts w:cs="Arial"/>
          <w:szCs w:val="20"/>
        </w:rPr>
        <w:t>předložena</w:t>
      </w:r>
      <w:r w:rsidRPr="00193A00">
        <w:rPr>
          <w:rFonts w:cs="Arial"/>
          <w:szCs w:val="20"/>
        </w:rPr>
        <w:t xml:space="preserve"> zpráva. </w:t>
      </w:r>
    </w:p>
    <w:p w14:paraId="6D36FD24" w14:textId="77777777" w:rsidR="0068223A" w:rsidRDefault="0068223A" w:rsidP="0068223A">
      <w:pPr>
        <w:rPr>
          <w:rFonts w:cs="Arial"/>
          <w:b/>
          <w:sz w:val="20"/>
          <w:szCs w:val="20"/>
          <w:lang w:eastAsia="cs-CZ"/>
        </w:rPr>
      </w:pPr>
    </w:p>
    <w:p w14:paraId="6EC67FD6" w14:textId="33FF88FC" w:rsidR="006B286E" w:rsidRPr="0068223A" w:rsidRDefault="006B286E" w:rsidP="0068223A">
      <w:pPr>
        <w:rPr>
          <w:rFonts w:cs="Arial"/>
          <w:szCs w:val="20"/>
        </w:rPr>
      </w:pPr>
      <w:r w:rsidRPr="00BF56D6">
        <w:rPr>
          <w:rFonts w:cs="Arial"/>
          <w:b/>
          <w:sz w:val="20"/>
          <w:szCs w:val="20"/>
          <w:lang w:eastAsia="cs-CZ"/>
        </w:rPr>
        <w:t>PLNĚNÍ:</w:t>
      </w:r>
    </w:p>
    <w:p w14:paraId="701ACC06" w14:textId="23A025D3" w:rsidR="006B286E" w:rsidRPr="00BF56D6" w:rsidRDefault="006B286E" w:rsidP="0068223A">
      <w:pPr>
        <w:tabs>
          <w:tab w:val="left" w:pos="720"/>
        </w:tabs>
        <w:rPr>
          <w:rFonts w:cs="Arial"/>
          <w:sz w:val="20"/>
          <w:szCs w:val="20"/>
          <w:lang w:eastAsia="cs-CZ"/>
        </w:rPr>
      </w:pPr>
      <w:r>
        <w:rPr>
          <w:rFonts w:cs="Arial"/>
          <w:sz w:val="20"/>
          <w:szCs w:val="20"/>
          <w:lang w:eastAsia="cs-CZ"/>
        </w:rPr>
        <w:t xml:space="preserve">Všechny resorty </w:t>
      </w:r>
      <w:r w:rsidR="00C50911">
        <w:rPr>
          <w:rFonts w:cs="Arial"/>
          <w:sz w:val="20"/>
          <w:szCs w:val="20"/>
          <w:lang w:eastAsia="cs-CZ"/>
        </w:rPr>
        <w:t xml:space="preserve">a ÚV </w:t>
      </w:r>
      <w:r>
        <w:rPr>
          <w:rFonts w:cs="Arial"/>
          <w:sz w:val="20"/>
          <w:szCs w:val="20"/>
          <w:lang w:eastAsia="cs-CZ"/>
        </w:rPr>
        <w:t>předložily zprávy o plnění opat</w:t>
      </w:r>
      <w:r w:rsidR="00B93E3C">
        <w:rPr>
          <w:rFonts w:cs="Arial"/>
          <w:sz w:val="20"/>
          <w:szCs w:val="20"/>
          <w:lang w:eastAsia="cs-CZ"/>
        </w:rPr>
        <w:t xml:space="preserve">ření </w:t>
      </w:r>
      <w:r w:rsidR="0085545C">
        <w:rPr>
          <w:rFonts w:cs="Arial"/>
          <w:sz w:val="20"/>
          <w:szCs w:val="20"/>
          <w:lang w:eastAsia="cs-CZ"/>
        </w:rPr>
        <w:t>Národního plánu za rok 2023</w:t>
      </w:r>
      <w:r>
        <w:rPr>
          <w:rFonts w:cs="Arial"/>
          <w:sz w:val="20"/>
          <w:szCs w:val="20"/>
          <w:lang w:eastAsia="cs-CZ"/>
        </w:rPr>
        <w:t>.</w:t>
      </w:r>
    </w:p>
    <w:p w14:paraId="4F11EC47" w14:textId="77777777" w:rsidR="006B286E" w:rsidRPr="00BF56D6" w:rsidRDefault="006B286E" w:rsidP="0068223A">
      <w:pPr>
        <w:tabs>
          <w:tab w:val="left" w:pos="720"/>
        </w:tabs>
        <w:rPr>
          <w:rFonts w:cs="Arial"/>
          <w:b/>
          <w:sz w:val="20"/>
          <w:szCs w:val="20"/>
          <w:lang w:eastAsia="cs-CZ"/>
        </w:rPr>
      </w:pPr>
      <w:r w:rsidRPr="00BF56D6">
        <w:rPr>
          <w:rFonts w:cs="Arial"/>
          <w:b/>
          <w:sz w:val="20"/>
          <w:szCs w:val="20"/>
          <w:lang w:eastAsia="cs-CZ"/>
        </w:rPr>
        <w:t>STANOVISKO K PLNĚNÍ:</w:t>
      </w:r>
      <w:r w:rsidRPr="00703DD8">
        <w:rPr>
          <w:rFonts w:eastAsia="Calibri" w:cs="Arial"/>
          <w:b/>
          <w:bCs/>
          <w:sz w:val="20"/>
          <w:szCs w:val="20"/>
        </w:rPr>
        <w:t xml:space="preserve"> </w:t>
      </w:r>
      <w:r>
        <w:rPr>
          <w:rFonts w:eastAsia="Calibri" w:cs="Arial"/>
          <w:b/>
          <w:bCs/>
          <w:sz w:val="20"/>
          <w:szCs w:val="20"/>
        </w:rPr>
        <w:t>Plněno.</w:t>
      </w:r>
    </w:p>
    <w:p w14:paraId="02F2B757" w14:textId="4C0B44D4" w:rsidR="006B286E" w:rsidRPr="0057756D" w:rsidRDefault="006B286E" w:rsidP="0068223A">
      <w:pPr>
        <w:rPr>
          <w:rFonts w:cs="Arial"/>
          <w:szCs w:val="20"/>
        </w:rPr>
      </w:pPr>
    </w:p>
    <w:p w14:paraId="6E0DE88F" w14:textId="76485AA0" w:rsidR="00F17E74" w:rsidRPr="0057756D" w:rsidRDefault="00F17E74" w:rsidP="009322E0">
      <w:pPr>
        <w:rPr>
          <w:rFonts w:cs="Arial"/>
          <w:szCs w:val="20"/>
        </w:rPr>
      </w:pPr>
      <w:r w:rsidRPr="0035060D">
        <w:rPr>
          <w:rFonts w:cs="Arial"/>
          <w:bCs/>
          <w:szCs w:val="20"/>
        </w:rPr>
        <w:t xml:space="preserve">Opatření </w:t>
      </w:r>
      <w:r>
        <w:rPr>
          <w:rFonts w:cs="Arial"/>
          <w:bCs/>
          <w:szCs w:val="20"/>
        </w:rPr>
        <w:t>17</w:t>
      </w:r>
      <w:r>
        <w:rPr>
          <w:rFonts w:cs="Arial"/>
          <w:szCs w:val="20"/>
        </w:rPr>
        <w:t xml:space="preserve">.1.2 </w:t>
      </w:r>
      <w:r w:rsidRPr="0057756D">
        <w:rPr>
          <w:rFonts w:cs="Arial"/>
          <w:szCs w:val="20"/>
        </w:rPr>
        <w:t xml:space="preserve">Jedenkrát ročně, nejpozději do 30. června, </w:t>
      </w:r>
      <w:r w:rsidR="008F4543">
        <w:rPr>
          <w:rFonts w:cs="Arial"/>
          <w:szCs w:val="20"/>
        </w:rPr>
        <w:t xml:space="preserve">zmocněnkyně vlády pro lidská práva, </w:t>
      </w:r>
      <w:r w:rsidRPr="0057756D">
        <w:rPr>
          <w:rFonts w:cs="Arial"/>
          <w:szCs w:val="20"/>
        </w:rPr>
        <w:t>VVOZP a následně vláda ČR provedou zhodnocení a případn</w:t>
      </w:r>
      <w:r w:rsidR="00F60BE7">
        <w:rPr>
          <w:rFonts w:cs="Arial"/>
          <w:szCs w:val="20"/>
        </w:rPr>
        <w:t>ou aktualizaci Národního plánu.</w:t>
      </w:r>
    </w:p>
    <w:p w14:paraId="269F9A21" w14:textId="77777777" w:rsidR="00F17E74" w:rsidRPr="0057756D" w:rsidRDefault="00F17E74" w:rsidP="00ED1199">
      <w:pPr>
        <w:rPr>
          <w:rFonts w:cs="Arial"/>
          <w:szCs w:val="20"/>
        </w:rPr>
      </w:pPr>
      <w:r w:rsidRPr="0057756D">
        <w:rPr>
          <w:rFonts w:cs="Arial"/>
          <w:szCs w:val="20"/>
        </w:rPr>
        <w:t>Termín: průběžně</w:t>
      </w:r>
      <w:r>
        <w:rPr>
          <w:rFonts w:cs="Arial"/>
          <w:szCs w:val="20"/>
        </w:rPr>
        <w:t xml:space="preserve"> (VVOZP předkládá zprávu vládě ČR do 30.6.)</w:t>
      </w:r>
    </w:p>
    <w:p w14:paraId="53E8B848" w14:textId="77777777" w:rsidR="00F17E74" w:rsidRDefault="00F17E74" w:rsidP="00ED1199">
      <w:pPr>
        <w:rPr>
          <w:rFonts w:cs="Arial"/>
          <w:szCs w:val="20"/>
        </w:rPr>
      </w:pPr>
      <w:r w:rsidRPr="0057756D">
        <w:rPr>
          <w:rFonts w:cs="Arial"/>
          <w:szCs w:val="20"/>
        </w:rPr>
        <w:t xml:space="preserve">Gestor: </w:t>
      </w:r>
      <w:r w:rsidR="008F4543">
        <w:rPr>
          <w:rFonts w:cs="Arial"/>
          <w:szCs w:val="20"/>
        </w:rPr>
        <w:t xml:space="preserve">zmocněnkyně vlády pro lidská práva, </w:t>
      </w:r>
      <w:r w:rsidRPr="0057756D">
        <w:rPr>
          <w:rFonts w:cs="Arial"/>
          <w:szCs w:val="20"/>
        </w:rPr>
        <w:t>VVOZP</w:t>
      </w:r>
    </w:p>
    <w:p w14:paraId="21F28942" w14:textId="2B87F7F8" w:rsidR="005F11C5" w:rsidRDefault="00F17E74" w:rsidP="00ED1199">
      <w:pPr>
        <w:rPr>
          <w:rFonts w:cs="Arial"/>
          <w:szCs w:val="20"/>
        </w:rPr>
      </w:pPr>
      <w:r w:rsidRPr="00193A00">
        <w:rPr>
          <w:rFonts w:cs="Arial"/>
          <w:szCs w:val="20"/>
        </w:rPr>
        <w:t xml:space="preserve">Indikátor: </w:t>
      </w:r>
      <w:r>
        <w:rPr>
          <w:rFonts w:cs="Arial"/>
          <w:szCs w:val="20"/>
        </w:rPr>
        <w:t>Zpráva o plnění Národního pl</w:t>
      </w:r>
      <w:r w:rsidR="00CE2FA5">
        <w:rPr>
          <w:rFonts w:cs="Arial"/>
          <w:szCs w:val="20"/>
        </w:rPr>
        <w:t>á</w:t>
      </w:r>
      <w:r>
        <w:rPr>
          <w:rFonts w:cs="Arial"/>
          <w:szCs w:val="20"/>
        </w:rPr>
        <w:t>nu byla zpracována a předložena vládě ČR. Vláda ČR zprávu projednala a schválila případnou aktualizaci Národního plánu.</w:t>
      </w:r>
    </w:p>
    <w:p w14:paraId="1A40C23B" w14:textId="1022B8AB" w:rsidR="00ED1199" w:rsidRPr="0071043E" w:rsidRDefault="00ED1199" w:rsidP="00ED1199">
      <w:pPr>
        <w:rPr>
          <w:rFonts w:cs="Arial"/>
          <w:sz w:val="20"/>
          <w:szCs w:val="20"/>
        </w:rPr>
      </w:pPr>
    </w:p>
    <w:p w14:paraId="3D43AE03" w14:textId="19C66B05" w:rsidR="00ED1199" w:rsidRPr="0071043E" w:rsidRDefault="00ED1199" w:rsidP="00ED1199">
      <w:pPr>
        <w:tabs>
          <w:tab w:val="left" w:pos="720"/>
        </w:tabs>
        <w:rPr>
          <w:rFonts w:cs="Arial"/>
          <w:b/>
          <w:sz w:val="20"/>
          <w:szCs w:val="20"/>
        </w:rPr>
      </w:pPr>
      <w:r w:rsidRPr="0071043E">
        <w:rPr>
          <w:rFonts w:cs="Arial"/>
          <w:b/>
          <w:sz w:val="20"/>
          <w:szCs w:val="20"/>
        </w:rPr>
        <w:t>PLNĚNÍ zmocněnkyně vlády pro lidská práva, VVOZP:</w:t>
      </w:r>
    </w:p>
    <w:p w14:paraId="123D1E2D" w14:textId="23F9E09C" w:rsidR="007E20D4" w:rsidRPr="00591E05" w:rsidRDefault="007E20D4" w:rsidP="007E20D4">
      <w:pPr>
        <w:tabs>
          <w:tab w:val="left" w:pos="720"/>
        </w:tabs>
        <w:rPr>
          <w:rFonts w:cs="Arial"/>
          <w:bCs/>
          <w:sz w:val="20"/>
          <w:szCs w:val="20"/>
        </w:rPr>
      </w:pPr>
      <w:r w:rsidRPr="00591E05">
        <w:rPr>
          <w:rFonts w:cs="Arial"/>
          <w:bCs/>
          <w:sz w:val="20"/>
          <w:szCs w:val="20"/>
        </w:rPr>
        <w:t>VVOZP schválil Zprávu o plnění opatření Národního plánu podpory rovných příležitostí pro osoby se zdravotním postižením na obd</w:t>
      </w:r>
      <w:r w:rsidR="00CA1B21" w:rsidRPr="00591E05">
        <w:rPr>
          <w:rFonts w:cs="Arial"/>
          <w:bCs/>
          <w:sz w:val="20"/>
          <w:szCs w:val="20"/>
        </w:rPr>
        <w:t xml:space="preserve">obí 2021–2025 v roce 2022 dne </w:t>
      </w:r>
      <w:proofErr w:type="gramStart"/>
      <w:r w:rsidR="00CA1B21" w:rsidRPr="00591E05">
        <w:rPr>
          <w:rFonts w:cs="Arial"/>
          <w:bCs/>
          <w:sz w:val="20"/>
          <w:szCs w:val="20"/>
        </w:rPr>
        <w:t>22.06.2023</w:t>
      </w:r>
      <w:proofErr w:type="gramEnd"/>
      <w:r w:rsidRPr="00591E05">
        <w:rPr>
          <w:rFonts w:cs="Arial"/>
          <w:bCs/>
          <w:sz w:val="20"/>
          <w:szCs w:val="20"/>
        </w:rPr>
        <w:t xml:space="preserve">. </w:t>
      </w:r>
    </w:p>
    <w:p w14:paraId="57DF8519" w14:textId="22512035" w:rsidR="00006EB7" w:rsidRPr="00591E05" w:rsidRDefault="00006EB7" w:rsidP="007E20D4">
      <w:pPr>
        <w:rPr>
          <w:rFonts w:cs="Arial"/>
          <w:color w:val="000000"/>
          <w:sz w:val="20"/>
          <w:szCs w:val="20"/>
          <w:shd w:val="clear" w:color="auto" w:fill="FFFFFF"/>
        </w:rPr>
      </w:pPr>
      <w:r w:rsidRPr="00591E05">
        <w:rPr>
          <w:rFonts w:cs="Arial"/>
          <w:sz w:val="20"/>
          <w:szCs w:val="20"/>
        </w:rPr>
        <w:lastRenderedPageBreak/>
        <w:t>Ze 131 opatření, která se měla plnit průběžně nebo měla být splněna do 31. prosince 2022, bylo splněno nebo průběžně plněno 102 opatření. Nebylo splněno nebo průběžně plněno 29 opatření.</w:t>
      </w:r>
    </w:p>
    <w:p w14:paraId="0D3A7AD1" w14:textId="220DF44A" w:rsidR="00591E05" w:rsidRPr="00591E05" w:rsidRDefault="00591E05" w:rsidP="00C84494">
      <w:pPr>
        <w:rPr>
          <w:rFonts w:cs="Arial"/>
          <w:bCs/>
          <w:sz w:val="20"/>
          <w:szCs w:val="20"/>
        </w:rPr>
      </w:pPr>
      <w:r w:rsidRPr="00591E05">
        <w:rPr>
          <w:rFonts w:cs="Arial"/>
          <w:sz w:val="20"/>
          <w:szCs w:val="20"/>
        </w:rPr>
        <w:t xml:space="preserve">Následně byla Zpráva o plnění opatření Národního plánu v roce 2022 předložena k projednání vládě ČR, která k tomuto dokumentu přijala usnesení ze dne 19. července 2023 č. 550. Tímto usnesením byly posunuty termíny plnění </w:t>
      </w:r>
      <w:r w:rsidRPr="00591E05">
        <w:rPr>
          <w:rFonts w:cs="Arial"/>
          <w:bCs/>
          <w:sz w:val="20"/>
          <w:szCs w:val="20"/>
        </w:rPr>
        <w:t>u nesplněných opatření Národního plánu. Navíc byl u opatření 2.1.1 vypuštěn gestor MMR a u opatření 2.5.2 a 8.1.3. byla změna textu opatření.</w:t>
      </w:r>
    </w:p>
    <w:p w14:paraId="57BA9351" w14:textId="2E58C520" w:rsidR="00ED1199" w:rsidRPr="0071043E" w:rsidRDefault="00ED1199" w:rsidP="00ED1199">
      <w:pPr>
        <w:tabs>
          <w:tab w:val="left" w:pos="720"/>
        </w:tabs>
        <w:rPr>
          <w:rFonts w:cs="Arial"/>
          <w:b/>
          <w:sz w:val="20"/>
          <w:szCs w:val="20"/>
          <w:lang w:eastAsia="cs-CZ"/>
        </w:rPr>
      </w:pPr>
      <w:r w:rsidRPr="0071043E">
        <w:rPr>
          <w:rFonts w:cs="Arial"/>
          <w:b/>
          <w:sz w:val="20"/>
          <w:szCs w:val="20"/>
          <w:lang w:eastAsia="cs-CZ"/>
        </w:rPr>
        <w:t>STANOVISKO K PLNĚNÍ:</w:t>
      </w:r>
      <w:r w:rsidRPr="0071043E">
        <w:rPr>
          <w:rFonts w:eastAsia="Calibri" w:cs="Arial"/>
          <w:b/>
          <w:bCs/>
          <w:sz w:val="20"/>
          <w:szCs w:val="20"/>
        </w:rPr>
        <w:t xml:space="preserve"> </w:t>
      </w:r>
      <w:r w:rsidR="00B1583C" w:rsidRPr="0071043E">
        <w:rPr>
          <w:rFonts w:eastAsia="Calibri" w:cs="Arial"/>
          <w:b/>
          <w:bCs/>
          <w:sz w:val="20"/>
          <w:szCs w:val="20"/>
        </w:rPr>
        <w:t>Plněno.</w:t>
      </w:r>
    </w:p>
    <w:p w14:paraId="61FF16C9" w14:textId="093A4637" w:rsidR="00257F9C" w:rsidRDefault="00257F9C" w:rsidP="0006404A">
      <w:pPr>
        <w:spacing w:after="480"/>
        <w:rPr>
          <w:rFonts w:cs="Arial"/>
          <w:szCs w:val="20"/>
        </w:rPr>
      </w:pPr>
    </w:p>
    <w:p w14:paraId="05EE3014" w14:textId="17B7BBB1" w:rsidR="00F17E74" w:rsidRPr="005F11C5" w:rsidRDefault="005F11C5" w:rsidP="005F17AA">
      <w:pPr>
        <w:pStyle w:val="Nadpis1"/>
      </w:pPr>
      <w:r>
        <w:br w:type="page"/>
      </w:r>
    </w:p>
    <w:p w14:paraId="1CBD1D54" w14:textId="77777777" w:rsidR="0082239E" w:rsidRPr="0082239E" w:rsidRDefault="0082239E" w:rsidP="00FE53C5">
      <w:pPr>
        <w:pStyle w:val="Nadpis1"/>
        <w:numPr>
          <w:ilvl w:val="0"/>
          <w:numId w:val="3"/>
        </w:numPr>
      </w:pPr>
      <w:bookmarkStart w:id="65" w:name="_Toc101957906"/>
      <w:r w:rsidRPr="0082239E">
        <w:lastRenderedPageBreak/>
        <w:t xml:space="preserve">Seznam </w:t>
      </w:r>
      <w:r w:rsidRPr="00255F35">
        <w:t>použitých</w:t>
      </w:r>
      <w:r w:rsidRPr="0082239E">
        <w:t xml:space="preserve"> zkratek</w:t>
      </w:r>
      <w:bookmarkEnd w:id="65"/>
    </w:p>
    <w:p w14:paraId="1E1AF157" w14:textId="77777777" w:rsidR="0082239E" w:rsidRPr="0082239E" w:rsidRDefault="0082239E" w:rsidP="0082239E">
      <w:pPr>
        <w:spacing w:after="0"/>
        <w:rPr>
          <w:rFonts w:cs="Arial"/>
          <w:szCs w:val="20"/>
        </w:rPr>
      </w:pPr>
      <w:r w:rsidRPr="0082239E">
        <w:rPr>
          <w:rFonts w:cs="Arial"/>
          <w:szCs w:val="20"/>
        </w:rPr>
        <w:t>ČAS</w:t>
      </w:r>
      <w:r w:rsidRPr="0082239E">
        <w:rPr>
          <w:rFonts w:cs="Arial"/>
          <w:szCs w:val="20"/>
        </w:rPr>
        <w:tab/>
      </w:r>
      <w:r w:rsidRPr="0082239E">
        <w:rPr>
          <w:rFonts w:cs="Arial"/>
          <w:szCs w:val="20"/>
        </w:rPr>
        <w:tab/>
      </w:r>
      <w:r w:rsidRPr="0082239E">
        <w:rPr>
          <w:rFonts w:cs="Arial"/>
          <w:szCs w:val="20"/>
        </w:rPr>
        <w:tab/>
        <w:t>Česká agentura pro standardizaci</w:t>
      </w:r>
    </w:p>
    <w:p w14:paraId="0AA95792" w14:textId="77777777" w:rsidR="0082239E" w:rsidRPr="0082239E" w:rsidRDefault="0082239E" w:rsidP="0082239E">
      <w:pPr>
        <w:spacing w:after="0"/>
        <w:rPr>
          <w:rFonts w:cs="Arial"/>
          <w:szCs w:val="20"/>
        </w:rPr>
      </w:pPr>
      <w:r w:rsidRPr="0082239E">
        <w:rPr>
          <w:rFonts w:cs="Arial"/>
          <w:szCs w:val="20"/>
        </w:rPr>
        <w:t>ČOI</w:t>
      </w:r>
      <w:r w:rsidRPr="0082239E">
        <w:rPr>
          <w:rFonts w:cs="Arial"/>
          <w:szCs w:val="20"/>
        </w:rPr>
        <w:tab/>
      </w:r>
      <w:r w:rsidRPr="0082239E">
        <w:rPr>
          <w:rFonts w:cs="Arial"/>
          <w:szCs w:val="20"/>
        </w:rPr>
        <w:tab/>
      </w:r>
      <w:r w:rsidRPr="0082239E">
        <w:rPr>
          <w:rFonts w:cs="Arial"/>
          <w:szCs w:val="20"/>
        </w:rPr>
        <w:tab/>
        <w:t>Česká obchodní inspekce</w:t>
      </w:r>
    </w:p>
    <w:p w14:paraId="1D914206" w14:textId="77777777" w:rsidR="0082239E" w:rsidRPr="0082239E" w:rsidRDefault="0082239E" w:rsidP="0082239E">
      <w:pPr>
        <w:spacing w:after="0"/>
        <w:rPr>
          <w:rFonts w:cs="Arial"/>
          <w:szCs w:val="20"/>
        </w:rPr>
      </w:pPr>
      <w:r w:rsidRPr="0082239E">
        <w:rPr>
          <w:rFonts w:cs="Arial"/>
          <w:szCs w:val="20"/>
        </w:rPr>
        <w:t>ČNB</w:t>
      </w:r>
      <w:r w:rsidRPr="0082239E">
        <w:rPr>
          <w:rFonts w:cs="Arial"/>
          <w:szCs w:val="20"/>
        </w:rPr>
        <w:tab/>
      </w:r>
      <w:r w:rsidRPr="0082239E">
        <w:rPr>
          <w:rFonts w:cs="Arial"/>
          <w:szCs w:val="20"/>
        </w:rPr>
        <w:tab/>
      </w:r>
      <w:r w:rsidRPr="0082239E">
        <w:rPr>
          <w:rFonts w:cs="Arial"/>
          <w:szCs w:val="20"/>
        </w:rPr>
        <w:tab/>
        <w:t>Česká národní banka</w:t>
      </w:r>
    </w:p>
    <w:p w14:paraId="689EACAE" w14:textId="77777777" w:rsidR="0082239E" w:rsidRPr="0082239E" w:rsidRDefault="0082239E" w:rsidP="0082239E">
      <w:pPr>
        <w:spacing w:after="0"/>
        <w:rPr>
          <w:rFonts w:cs="Arial"/>
          <w:szCs w:val="20"/>
        </w:rPr>
      </w:pPr>
      <w:r w:rsidRPr="0082239E">
        <w:rPr>
          <w:rFonts w:cs="Arial"/>
          <w:szCs w:val="20"/>
        </w:rPr>
        <w:t>ČSN</w:t>
      </w:r>
      <w:r w:rsidRPr="0082239E">
        <w:rPr>
          <w:rFonts w:cs="Arial"/>
          <w:szCs w:val="20"/>
        </w:rPr>
        <w:tab/>
      </w:r>
      <w:r w:rsidRPr="0082239E">
        <w:rPr>
          <w:rFonts w:cs="Arial"/>
          <w:szCs w:val="20"/>
        </w:rPr>
        <w:tab/>
      </w:r>
      <w:r w:rsidRPr="0082239E">
        <w:rPr>
          <w:rFonts w:cs="Arial"/>
          <w:szCs w:val="20"/>
        </w:rPr>
        <w:tab/>
        <w:t>Česká technická norma</w:t>
      </w:r>
    </w:p>
    <w:p w14:paraId="2A537A83" w14:textId="77777777" w:rsidR="0082239E" w:rsidRPr="0082239E" w:rsidRDefault="0082239E" w:rsidP="0082239E">
      <w:pPr>
        <w:spacing w:after="0"/>
        <w:rPr>
          <w:rFonts w:cs="Arial"/>
          <w:szCs w:val="20"/>
        </w:rPr>
      </w:pPr>
      <w:r w:rsidRPr="0082239E">
        <w:rPr>
          <w:rFonts w:cs="Arial"/>
          <w:szCs w:val="20"/>
        </w:rPr>
        <w:t>ČSSZ</w:t>
      </w:r>
      <w:r w:rsidRPr="0082239E">
        <w:rPr>
          <w:rFonts w:cs="Arial"/>
          <w:szCs w:val="20"/>
        </w:rPr>
        <w:tab/>
      </w:r>
      <w:r w:rsidRPr="0082239E">
        <w:rPr>
          <w:rFonts w:cs="Arial"/>
          <w:szCs w:val="20"/>
        </w:rPr>
        <w:tab/>
      </w:r>
      <w:r w:rsidRPr="0082239E">
        <w:rPr>
          <w:rFonts w:cs="Arial"/>
          <w:szCs w:val="20"/>
        </w:rPr>
        <w:tab/>
        <w:t>Česká správa sociálního zabezpečení</w:t>
      </w:r>
    </w:p>
    <w:p w14:paraId="5F8FAB43" w14:textId="77777777" w:rsidR="0082239E" w:rsidRPr="0082239E" w:rsidRDefault="0082239E" w:rsidP="0082239E">
      <w:pPr>
        <w:spacing w:after="0"/>
        <w:rPr>
          <w:rFonts w:cs="Arial"/>
          <w:szCs w:val="20"/>
        </w:rPr>
      </w:pPr>
      <w:r w:rsidRPr="0082239E">
        <w:rPr>
          <w:rFonts w:cs="Arial"/>
          <w:szCs w:val="20"/>
        </w:rPr>
        <w:t>ČSÚ</w:t>
      </w:r>
      <w:r w:rsidRPr="0082239E">
        <w:rPr>
          <w:rFonts w:cs="Arial"/>
          <w:szCs w:val="20"/>
        </w:rPr>
        <w:tab/>
      </w:r>
      <w:r w:rsidRPr="0082239E">
        <w:rPr>
          <w:rFonts w:cs="Arial"/>
          <w:szCs w:val="20"/>
        </w:rPr>
        <w:tab/>
      </w:r>
      <w:r w:rsidRPr="0082239E">
        <w:rPr>
          <w:rFonts w:cs="Arial"/>
          <w:szCs w:val="20"/>
        </w:rPr>
        <w:tab/>
        <w:t>Český statistický úřad</w:t>
      </w:r>
    </w:p>
    <w:p w14:paraId="25AA019B" w14:textId="588B7692" w:rsidR="0082239E" w:rsidRDefault="0082239E" w:rsidP="0082239E">
      <w:pPr>
        <w:spacing w:after="0"/>
        <w:rPr>
          <w:rFonts w:cs="Arial"/>
          <w:szCs w:val="20"/>
        </w:rPr>
      </w:pPr>
      <w:r w:rsidRPr="0082239E">
        <w:rPr>
          <w:rFonts w:cs="Arial"/>
          <w:szCs w:val="20"/>
        </w:rPr>
        <w:t>ČŠI</w:t>
      </w:r>
      <w:r w:rsidRPr="0082239E">
        <w:rPr>
          <w:rFonts w:cs="Arial"/>
          <w:szCs w:val="20"/>
        </w:rPr>
        <w:tab/>
      </w:r>
      <w:r w:rsidRPr="0082239E">
        <w:rPr>
          <w:rFonts w:cs="Arial"/>
          <w:szCs w:val="20"/>
        </w:rPr>
        <w:tab/>
      </w:r>
      <w:r w:rsidRPr="0082239E">
        <w:rPr>
          <w:rFonts w:cs="Arial"/>
          <w:szCs w:val="20"/>
        </w:rPr>
        <w:tab/>
        <w:t>Česká školní inspekce</w:t>
      </w:r>
    </w:p>
    <w:p w14:paraId="7950A2EA" w14:textId="71E66ED1" w:rsidR="00941411" w:rsidRPr="0082239E" w:rsidRDefault="00941411" w:rsidP="0082239E">
      <w:pPr>
        <w:spacing w:after="0"/>
        <w:rPr>
          <w:rFonts w:cs="Arial"/>
          <w:szCs w:val="20"/>
        </w:rPr>
      </w:pPr>
      <w:r>
        <w:rPr>
          <w:rFonts w:cs="Arial"/>
          <w:szCs w:val="20"/>
        </w:rPr>
        <w:t>DIA</w:t>
      </w:r>
      <w:r>
        <w:rPr>
          <w:rFonts w:cs="Arial"/>
          <w:szCs w:val="20"/>
        </w:rPr>
        <w:tab/>
      </w:r>
      <w:r>
        <w:rPr>
          <w:rFonts w:cs="Arial"/>
          <w:szCs w:val="20"/>
        </w:rPr>
        <w:tab/>
      </w:r>
      <w:r>
        <w:rPr>
          <w:rFonts w:cs="Arial"/>
          <w:szCs w:val="20"/>
        </w:rPr>
        <w:tab/>
        <w:t>Digitální a informační agentura</w:t>
      </w:r>
    </w:p>
    <w:p w14:paraId="060C701A" w14:textId="77777777" w:rsidR="0082239E" w:rsidRPr="0082239E" w:rsidRDefault="0082239E" w:rsidP="0082239E">
      <w:pPr>
        <w:spacing w:after="0"/>
        <w:rPr>
          <w:rFonts w:cs="Arial"/>
          <w:szCs w:val="20"/>
        </w:rPr>
      </w:pPr>
      <w:r w:rsidRPr="0082239E">
        <w:rPr>
          <w:rFonts w:cs="Arial"/>
          <w:szCs w:val="20"/>
        </w:rPr>
        <w:t>EAA</w:t>
      </w:r>
      <w:r w:rsidRPr="0082239E">
        <w:rPr>
          <w:rFonts w:cs="Arial"/>
          <w:szCs w:val="20"/>
        </w:rPr>
        <w:tab/>
      </w:r>
      <w:r w:rsidRPr="0082239E">
        <w:rPr>
          <w:rFonts w:cs="Arial"/>
          <w:szCs w:val="20"/>
        </w:rPr>
        <w:tab/>
      </w:r>
      <w:r w:rsidRPr="0082239E">
        <w:rPr>
          <w:rFonts w:cs="Arial"/>
          <w:szCs w:val="20"/>
        </w:rPr>
        <w:tab/>
        <w:t>European Accessibility Act - Evropský akt přístupnosti</w:t>
      </w:r>
    </w:p>
    <w:p w14:paraId="2635524A" w14:textId="77777777" w:rsidR="0082239E" w:rsidRPr="0082239E" w:rsidRDefault="0082239E" w:rsidP="0082239E">
      <w:pPr>
        <w:spacing w:after="0"/>
        <w:rPr>
          <w:rFonts w:cs="Arial"/>
          <w:szCs w:val="20"/>
        </w:rPr>
      </w:pPr>
      <w:r w:rsidRPr="0082239E">
        <w:rPr>
          <w:rFonts w:cs="Arial"/>
          <w:szCs w:val="20"/>
        </w:rPr>
        <w:t>EU</w:t>
      </w:r>
      <w:r w:rsidRPr="0082239E">
        <w:rPr>
          <w:rFonts w:cs="Arial"/>
          <w:szCs w:val="20"/>
        </w:rPr>
        <w:tab/>
      </w:r>
      <w:r w:rsidRPr="0082239E">
        <w:rPr>
          <w:rFonts w:cs="Arial"/>
          <w:szCs w:val="20"/>
        </w:rPr>
        <w:tab/>
      </w:r>
      <w:r w:rsidRPr="0082239E">
        <w:rPr>
          <w:rFonts w:cs="Arial"/>
          <w:szCs w:val="20"/>
        </w:rPr>
        <w:tab/>
        <w:t>Evropská unie</w:t>
      </w:r>
    </w:p>
    <w:p w14:paraId="66A2A73D" w14:textId="77777777" w:rsidR="0082239E" w:rsidRPr="0082239E" w:rsidRDefault="0082239E" w:rsidP="0082239E">
      <w:pPr>
        <w:spacing w:after="0"/>
        <w:rPr>
          <w:rFonts w:cs="Arial"/>
          <w:szCs w:val="20"/>
        </w:rPr>
      </w:pPr>
      <w:r w:rsidRPr="0082239E">
        <w:rPr>
          <w:rFonts w:cs="Arial"/>
          <w:szCs w:val="20"/>
        </w:rPr>
        <w:t>ICF</w:t>
      </w:r>
      <w:r w:rsidRPr="0082239E">
        <w:rPr>
          <w:rFonts w:cs="Arial"/>
          <w:szCs w:val="20"/>
        </w:rPr>
        <w:tab/>
      </w:r>
      <w:r w:rsidRPr="0082239E">
        <w:rPr>
          <w:rFonts w:cs="Arial"/>
          <w:szCs w:val="20"/>
        </w:rPr>
        <w:tab/>
      </w:r>
      <w:r w:rsidRPr="0082239E">
        <w:rPr>
          <w:rFonts w:cs="Arial"/>
          <w:szCs w:val="20"/>
        </w:rPr>
        <w:tab/>
        <w:t xml:space="preserve">Mezinárodní klasifikace funkčních schopností, disability a zdraví </w:t>
      </w:r>
    </w:p>
    <w:p w14:paraId="08F6BE82" w14:textId="0095ACB7" w:rsidR="0082239E" w:rsidRDefault="0082239E" w:rsidP="0082239E">
      <w:pPr>
        <w:spacing w:after="0"/>
        <w:rPr>
          <w:rFonts w:cs="Arial"/>
          <w:szCs w:val="20"/>
        </w:rPr>
      </w:pPr>
      <w:r w:rsidRPr="0082239E">
        <w:rPr>
          <w:rFonts w:cs="Arial"/>
          <w:szCs w:val="20"/>
        </w:rPr>
        <w:t>MD</w:t>
      </w:r>
      <w:r w:rsidRPr="0082239E">
        <w:rPr>
          <w:rFonts w:cs="Arial"/>
          <w:szCs w:val="20"/>
        </w:rPr>
        <w:tab/>
      </w:r>
      <w:r w:rsidRPr="0082239E">
        <w:rPr>
          <w:rFonts w:cs="Arial"/>
          <w:szCs w:val="20"/>
        </w:rPr>
        <w:tab/>
      </w:r>
      <w:r w:rsidRPr="0082239E">
        <w:rPr>
          <w:rFonts w:cs="Arial"/>
          <w:szCs w:val="20"/>
        </w:rPr>
        <w:tab/>
        <w:t>Ministerstvo dopravy</w:t>
      </w:r>
    </w:p>
    <w:p w14:paraId="090F8D80" w14:textId="30E92202" w:rsidR="00C01932" w:rsidRPr="0082239E" w:rsidRDefault="00C01932" w:rsidP="0082239E">
      <w:pPr>
        <w:spacing w:after="0"/>
        <w:rPr>
          <w:rFonts w:cs="Arial"/>
          <w:szCs w:val="20"/>
        </w:rPr>
      </w:pPr>
      <w:r>
        <w:rPr>
          <w:rFonts w:cs="Arial"/>
          <w:szCs w:val="20"/>
        </w:rPr>
        <w:t>MF</w:t>
      </w:r>
      <w:r>
        <w:rPr>
          <w:rFonts w:cs="Arial"/>
          <w:szCs w:val="20"/>
        </w:rPr>
        <w:tab/>
      </w:r>
      <w:r>
        <w:rPr>
          <w:rFonts w:cs="Arial"/>
          <w:szCs w:val="20"/>
        </w:rPr>
        <w:tab/>
      </w:r>
      <w:r>
        <w:rPr>
          <w:rFonts w:cs="Arial"/>
          <w:szCs w:val="20"/>
        </w:rPr>
        <w:tab/>
        <w:t>Ministerstvo financí</w:t>
      </w:r>
    </w:p>
    <w:p w14:paraId="7CF7318D" w14:textId="77777777" w:rsidR="0082239E" w:rsidRPr="0082239E" w:rsidRDefault="0082239E" w:rsidP="0082239E">
      <w:pPr>
        <w:spacing w:after="0"/>
        <w:rPr>
          <w:rFonts w:cs="Arial"/>
          <w:szCs w:val="20"/>
        </w:rPr>
      </w:pPr>
      <w:r w:rsidRPr="0082239E">
        <w:rPr>
          <w:rFonts w:cs="Arial"/>
          <w:szCs w:val="20"/>
        </w:rPr>
        <w:t>MK</w:t>
      </w:r>
      <w:r w:rsidRPr="0082239E">
        <w:rPr>
          <w:rFonts w:cs="Arial"/>
          <w:szCs w:val="20"/>
        </w:rPr>
        <w:tab/>
      </w:r>
      <w:r w:rsidRPr="0082239E">
        <w:rPr>
          <w:rFonts w:cs="Arial"/>
          <w:szCs w:val="20"/>
        </w:rPr>
        <w:tab/>
      </w:r>
      <w:r w:rsidRPr="0082239E">
        <w:rPr>
          <w:rFonts w:cs="Arial"/>
          <w:szCs w:val="20"/>
        </w:rPr>
        <w:tab/>
        <w:t>Ministerstvo kultury</w:t>
      </w:r>
    </w:p>
    <w:p w14:paraId="3234F47F" w14:textId="5BDC8ABF" w:rsidR="0082239E" w:rsidRDefault="0082239E" w:rsidP="0082239E">
      <w:pPr>
        <w:spacing w:after="0"/>
        <w:rPr>
          <w:rFonts w:cs="Arial"/>
          <w:szCs w:val="20"/>
        </w:rPr>
      </w:pPr>
      <w:r w:rsidRPr="0082239E">
        <w:rPr>
          <w:rFonts w:cs="Arial"/>
          <w:szCs w:val="20"/>
        </w:rPr>
        <w:t>MMR</w:t>
      </w:r>
      <w:r w:rsidRPr="0082239E">
        <w:rPr>
          <w:rFonts w:cs="Arial"/>
          <w:szCs w:val="20"/>
        </w:rPr>
        <w:tab/>
      </w:r>
      <w:r w:rsidRPr="0082239E">
        <w:rPr>
          <w:rFonts w:cs="Arial"/>
          <w:szCs w:val="20"/>
        </w:rPr>
        <w:tab/>
      </w:r>
      <w:r w:rsidRPr="0082239E">
        <w:rPr>
          <w:rFonts w:cs="Arial"/>
          <w:szCs w:val="20"/>
        </w:rPr>
        <w:tab/>
        <w:t>Ministerstvo pro místní rozvoj</w:t>
      </w:r>
    </w:p>
    <w:p w14:paraId="36C3B7C6" w14:textId="02B05F88" w:rsidR="000B39BC" w:rsidRPr="0082239E" w:rsidRDefault="000B39BC" w:rsidP="0082239E">
      <w:pPr>
        <w:spacing w:after="0"/>
        <w:rPr>
          <w:rFonts w:cs="Arial"/>
          <w:szCs w:val="20"/>
        </w:rPr>
      </w:pPr>
      <w:r>
        <w:rPr>
          <w:rFonts w:cs="Arial"/>
          <w:szCs w:val="20"/>
        </w:rPr>
        <w:t>MO</w:t>
      </w:r>
      <w:r>
        <w:rPr>
          <w:rFonts w:cs="Arial"/>
          <w:szCs w:val="20"/>
        </w:rPr>
        <w:tab/>
      </w:r>
      <w:r>
        <w:rPr>
          <w:rFonts w:cs="Arial"/>
          <w:szCs w:val="20"/>
        </w:rPr>
        <w:tab/>
      </w:r>
      <w:r>
        <w:rPr>
          <w:rFonts w:cs="Arial"/>
          <w:szCs w:val="20"/>
        </w:rPr>
        <w:tab/>
        <w:t>Ministerstvo obrany</w:t>
      </w:r>
    </w:p>
    <w:p w14:paraId="349472CC" w14:textId="77777777" w:rsidR="0082239E" w:rsidRPr="0082239E" w:rsidRDefault="0082239E" w:rsidP="0082239E">
      <w:pPr>
        <w:spacing w:after="0"/>
        <w:rPr>
          <w:rFonts w:cs="Arial"/>
          <w:szCs w:val="20"/>
        </w:rPr>
      </w:pPr>
      <w:r w:rsidRPr="0082239E">
        <w:rPr>
          <w:rFonts w:cs="Arial"/>
          <w:szCs w:val="20"/>
        </w:rPr>
        <w:t>MPO</w:t>
      </w:r>
      <w:r w:rsidRPr="0082239E">
        <w:rPr>
          <w:rFonts w:cs="Arial"/>
          <w:szCs w:val="20"/>
        </w:rPr>
        <w:tab/>
      </w:r>
      <w:r w:rsidRPr="0082239E">
        <w:rPr>
          <w:rFonts w:cs="Arial"/>
          <w:szCs w:val="20"/>
        </w:rPr>
        <w:tab/>
      </w:r>
      <w:r w:rsidRPr="0082239E">
        <w:rPr>
          <w:rFonts w:cs="Arial"/>
          <w:szCs w:val="20"/>
        </w:rPr>
        <w:tab/>
        <w:t>Ministerstvo průmyslu a obchodu</w:t>
      </w:r>
    </w:p>
    <w:p w14:paraId="3E04BA9A" w14:textId="77777777" w:rsidR="0082239E" w:rsidRPr="0082239E" w:rsidRDefault="0082239E" w:rsidP="0082239E">
      <w:pPr>
        <w:spacing w:after="0"/>
        <w:rPr>
          <w:rFonts w:cs="Arial"/>
          <w:szCs w:val="20"/>
        </w:rPr>
      </w:pPr>
      <w:r w:rsidRPr="0082239E">
        <w:rPr>
          <w:rFonts w:cs="Arial"/>
          <w:szCs w:val="20"/>
        </w:rPr>
        <w:t>MPSV</w:t>
      </w:r>
      <w:r w:rsidRPr="0082239E">
        <w:rPr>
          <w:rFonts w:cs="Arial"/>
          <w:szCs w:val="20"/>
        </w:rPr>
        <w:tab/>
      </w:r>
      <w:r w:rsidRPr="0082239E">
        <w:rPr>
          <w:rFonts w:cs="Arial"/>
          <w:szCs w:val="20"/>
        </w:rPr>
        <w:tab/>
      </w:r>
      <w:r w:rsidRPr="0082239E">
        <w:rPr>
          <w:rFonts w:cs="Arial"/>
          <w:szCs w:val="20"/>
        </w:rPr>
        <w:tab/>
        <w:t>Ministerstvo práce a sociálních věcí</w:t>
      </w:r>
    </w:p>
    <w:p w14:paraId="56776C27" w14:textId="60234165" w:rsidR="0082239E" w:rsidRPr="0082239E" w:rsidRDefault="00893175" w:rsidP="0082239E">
      <w:pPr>
        <w:spacing w:after="0"/>
        <w:rPr>
          <w:rFonts w:cs="Arial"/>
          <w:szCs w:val="20"/>
        </w:rPr>
      </w:pPr>
      <w:r>
        <w:rPr>
          <w:rFonts w:cs="Arial"/>
          <w:szCs w:val="20"/>
        </w:rPr>
        <w:t>MSp</w:t>
      </w:r>
      <w:r w:rsidR="0082239E" w:rsidRPr="0082239E">
        <w:rPr>
          <w:rFonts w:cs="Arial"/>
          <w:szCs w:val="20"/>
        </w:rPr>
        <w:tab/>
      </w:r>
      <w:r w:rsidR="0082239E" w:rsidRPr="0082239E">
        <w:rPr>
          <w:rFonts w:cs="Arial"/>
          <w:szCs w:val="20"/>
        </w:rPr>
        <w:tab/>
      </w:r>
      <w:r w:rsidR="0082239E" w:rsidRPr="0082239E">
        <w:rPr>
          <w:rFonts w:cs="Arial"/>
          <w:szCs w:val="20"/>
        </w:rPr>
        <w:tab/>
        <w:t>Ministerstvo spravedlnosti</w:t>
      </w:r>
    </w:p>
    <w:p w14:paraId="3E7CF593" w14:textId="77777777" w:rsidR="0082239E" w:rsidRPr="0082239E" w:rsidRDefault="0082239E" w:rsidP="0082239E">
      <w:pPr>
        <w:spacing w:after="0"/>
        <w:rPr>
          <w:rFonts w:cs="Arial"/>
          <w:szCs w:val="20"/>
        </w:rPr>
      </w:pPr>
      <w:r w:rsidRPr="0082239E">
        <w:rPr>
          <w:rFonts w:cs="Arial"/>
          <w:szCs w:val="20"/>
        </w:rPr>
        <w:t>MŠMT</w:t>
      </w:r>
      <w:r w:rsidRPr="0082239E">
        <w:rPr>
          <w:rFonts w:cs="Arial"/>
          <w:szCs w:val="20"/>
        </w:rPr>
        <w:tab/>
      </w:r>
      <w:r w:rsidRPr="0082239E">
        <w:rPr>
          <w:rFonts w:cs="Arial"/>
          <w:szCs w:val="20"/>
        </w:rPr>
        <w:tab/>
      </w:r>
      <w:r w:rsidRPr="0082239E">
        <w:rPr>
          <w:rFonts w:cs="Arial"/>
          <w:szCs w:val="20"/>
        </w:rPr>
        <w:tab/>
        <w:t>Ministerstvo školství, mládeže a tělovýchovy</w:t>
      </w:r>
    </w:p>
    <w:p w14:paraId="5AE5E756" w14:textId="77777777" w:rsidR="0082239E" w:rsidRPr="0082239E" w:rsidRDefault="0082239E" w:rsidP="0082239E">
      <w:pPr>
        <w:spacing w:after="0"/>
        <w:rPr>
          <w:rFonts w:cs="Arial"/>
          <w:szCs w:val="20"/>
        </w:rPr>
      </w:pPr>
      <w:r w:rsidRPr="0082239E">
        <w:rPr>
          <w:rFonts w:cs="Arial"/>
          <w:szCs w:val="20"/>
        </w:rPr>
        <w:t>MV</w:t>
      </w:r>
      <w:r w:rsidRPr="0082239E">
        <w:rPr>
          <w:rFonts w:cs="Arial"/>
          <w:szCs w:val="20"/>
        </w:rPr>
        <w:tab/>
      </w:r>
      <w:r w:rsidRPr="0082239E">
        <w:rPr>
          <w:rFonts w:cs="Arial"/>
          <w:szCs w:val="20"/>
        </w:rPr>
        <w:tab/>
      </w:r>
      <w:r w:rsidRPr="0082239E">
        <w:rPr>
          <w:rFonts w:cs="Arial"/>
          <w:szCs w:val="20"/>
        </w:rPr>
        <w:tab/>
        <w:t>Ministerstvo vnitra</w:t>
      </w:r>
    </w:p>
    <w:p w14:paraId="40E8AD67" w14:textId="77777777" w:rsidR="0082239E" w:rsidRPr="0082239E" w:rsidRDefault="0082239E" w:rsidP="0082239E">
      <w:pPr>
        <w:spacing w:after="0"/>
        <w:rPr>
          <w:rFonts w:cs="Arial"/>
          <w:szCs w:val="20"/>
        </w:rPr>
      </w:pPr>
      <w:r w:rsidRPr="0082239E">
        <w:rPr>
          <w:rFonts w:cs="Arial"/>
          <w:szCs w:val="20"/>
        </w:rPr>
        <w:t>MZ</w:t>
      </w:r>
      <w:r w:rsidRPr="0082239E">
        <w:rPr>
          <w:rFonts w:cs="Arial"/>
          <w:szCs w:val="20"/>
        </w:rPr>
        <w:tab/>
      </w:r>
      <w:r w:rsidRPr="0082239E">
        <w:rPr>
          <w:rFonts w:cs="Arial"/>
          <w:szCs w:val="20"/>
        </w:rPr>
        <w:tab/>
      </w:r>
      <w:r w:rsidRPr="0082239E">
        <w:rPr>
          <w:rFonts w:cs="Arial"/>
          <w:szCs w:val="20"/>
        </w:rPr>
        <w:tab/>
        <w:t>Ministerstvo zdravotnictví</w:t>
      </w:r>
    </w:p>
    <w:p w14:paraId="3951161F" w14:textId="2618C4AF" w:rsidR="0082239E" w:rsidRDefault="0082239E" w:rsidP="0082239E">
      <w:pPr>
        <w:spacing w:after="0"/>
        <w:rPr>
          <w:rFonts w:cs="Arial"/>
          <w:szCs w:val="20"/>
        </w:rPr>
      </w:pPr>
      <w:r w:rsidRPr="0082239E">
        <w:rPr>
          <w:rFonts w:cs="Arial"/>
          <w:szCs w:val="20"/>
        </w:rPr>
        <w:t>MZe</w:t>
      </w:r>
      <w:r w:rsidRPr="0082239E">
        <w:rPr>
          <w:rFonts w:cs="Arial"/>
          <w:szCs w:val="20"/>
        </w:rPr>
        <w:tab/>
      </w:r>
      <w:r w:rsidRPr="0082239E">
        <w:rPr>
          <w:rFonts w:cs="Arial"/>
          <w:szCs w:val="20"/>
        </w:rPr>
        <w:tab/>
      </w:r>
      <w:r w:rsidRPr="0082239E">
        <w:rPr>
          <w:rFonts w:cs="Arial"/>
          <w:szCs w:val="20"/>
        </w:rPr>
        <w:tab/>
        <w:t>Ministerstvo zemědělství</w:t>
      </w:r>
    </w:p>
    <w:p w14:paraId="1F3E3762" w14:textId="001F6D27" w:rsidR="00C01932" w:rsidRDefault="00C01932" w:rsidP="0082239E">
      <w:pPr>
        <w:spacing w:after="0"/>
        <w:rPr>
          <w:rFonts w:cs="Arial"/>
          <w:szCs w:val="20"/>
        </w:rPr>
      </w:pPr>
      <w:r>
        <w:rPr>
          <w:rFonts w:cs="Arial"/>
          <w:szCs w:val="20"/>
        </w:rPr>
        <w:t>MZV</w:t>
      </w:r>
      <w:r>
        <w:rPr>
          <w:rFonts w:cs="Arial"/>
          <w:szCs w:val="20"/>
        </w:rPr>
        <w:tab/>
      </w:r>
      <w:r>
        <w:rPr>
          <w:rFonts w:cs="Arial"/>
          <w:szCs w:val="20"/>
        </w:rPr>
        <w:tab/>
      </w:r>
      <w:r>
        <w:rPr>
          <w:rFonts w:cs="Arial"/>
          <w:szCs w:val="20"/>
        </w:rPr>
        <w:tab/>
        <w:t>Ministerstvo zahraničních věcí</w:t>
      </w:r>
    </w:p>
    <w:p w14:paraId="50AB216C" w14:textId="5E80A8B0" w:rsidR="000B39BC" w:rsidRPr="0082239E" w:rsidRDefault="000B39BC" w:rsidP="0082239E">
      <w:pPr>
        <w:spacing w:after="0"/>
        <w:rPr>
          <w:rFonts w:cs="Arial"/>
          <w:szCs w:val="20"/>
        </w:rPr>
      </w:pPr>
      <w:r>
        <w:rPr>
          <w:rFonts w:cs="Arial"/>
          <w:szCs w:val="20"/>
        </w:rPr>
        <w:t>MŽP</w:t>
      </w:r>
      <w:r>
        <w:rPr>
          <w:rFonts w:cs="Arial"/>
          <w:szCs w:val="20"/>
        </w:rPr>
        <w:tab/>
      </w:r>
      <w:r>
        <w:rPr>
          <w:rFonts w:cs="Arial"/>
          <w:szCs w:val="20"/>
        </w:rPr>
        <w:tab/>
      </w:r>
      <w:r>
        <w:rPr>
          <w:rFonts w:cs="Arial"/>
          <w:szCs w:val="20"/>
        </w:rPr>
        <w:tab/>
        <w:t>Ministerstvo životního prostředí</w:t>
      </w:r>
    </w:p>
    <w:p w14:paraId="76CA6499" w14:textId="77777777" w:rsidR="0082239E" w:rsidRPr="0082239E" w:rsidRDefault="0082239E" w:rsidP="0082239E">
      <w:pPr>
        <w:spacing w:after="0"/>
        <w:ind w:left="2124" w:hanging="2124"/>
        <w:rPr>
          <w:rFonts w:cs="Arial"/>
          <w:szCs w:val="20"/>
        </w:rPr>
      </w:pPr>
      <w:r w:rsidRPr="0082239E">
        <w:rPr>
          <w:rFonts w:cs="Arial"/>
          <w:szCs w:val="20"/>
        </w:rPr>
        <w:t>Národní plán</w:t>
      </w:r>
      <w:r w:rsidRPr="0082239E">
        <w:rPr>
          <w:rFonts w:cs="Arial"/>
          <w:szCs w:val="20"/>
        </w:rPr>
        <w:tab/>
        <w:t>Národní plán podpory rovných příležitostí</w:t>
      </w:r>
      <w:r w:rsidRPr="0082239E">
        <w:rPr>
          <w:rFonts w:cs="Arial"/>
          <w:b/>
          <w:bCs/>
          <w:szCs w:val="20"/>
        </w:rPr>
        <w:t xml:space="preserve"> </w:t>
      </w:r>
      <w:r w:rsidRPr="0082239E">
        <w:rPr>
          <w:rFonts w:cs="Arial"/>
          <w:szCs w:val="20"/>
        </w:rPr>
        <w:t>pro osoby se zdravotním postižením na období 2021–2025</w:t>
      </w:r>
    </w:p>
    <w:p w14:paraId="4D822A68" w14:textId="77777777" w:rsidR="0082239E" w:rsidRPr="0082239E" w:rsidRDefault="0082239E" w:rsidP="0082239E">
      <w:pPr>
        <w:spacing w:after="0"/>
        <w:ind w:left="2124" w:hanging="2124"/>
        <w:rPr>
          <w:rFonts w:cs="Arial"/>
          <w:szCs w:val="20"/>
        </w:rPr>
      </w:pPr>
      <w:r w:rsidRPr="0082239E">
        <w:rPr>
          <w:rFonts w:cs="Arial"/>
          <w:szCs w:val="20"/>
        </w:rPr>
        <w:t>NAÚ</w:t>
      </w:r>
      <w:r w:rsidRPr="0082239E">
        <w:rPr>
          <w:rFonts w:cs="Arial"/>
          <w:szCs w:val="20"/>
        </w:rPr>
        <w:tab/>
        <w:t>Národní akreditační úřad pro vysoké školství</w:t>
      </w:r>
    </w:p>
    <w:p w14:paraId="15A1B61E" w14:textId="377796BB" w:rsidR="0082239E" w:rsidRPr="0082239E" w:rsidRDefault="0082239E" w:rsidP="0082239E">
      <w:pPr>
        <w:spacing w:after="0"/>
        <w:rPr>
          <w:rFonts w:cs="Arial"/>
          <w:szCs w:val="20"/>
        </w:rPr>
      </w:pPr>
      <w:r w:rsidRPr="0082239E">
        <w:rPr>
          <w:rFonts w:cs="Arial"/>
          <w:szCs w:val="20"/>
        </w:rPr>
        <w:t>NRZP ČR</w:t>
      </w:r>
      <w:r w:rsidRPr="0082239E">
        <w:rPr>
          <w:rFonts w:cs="Arial"/>
          <w:szCs w:val="20"/>
        </w:rPr>
        <w:tab/>
      </w:r>
      <w:r w:rsidRPr="0082239E">
        <w:rPr>
          <w:rFonts w:cs="Arial"/>
          <w:szCs w:val="20"/>
        </w:rPr>
        <w:tab/>
        <w:t>Národní rada osob se zdravotním postižením Č</w:t>
      </w:r>
      <w:r w:rsidR="00412B0E">
        <w:rPr>
          <w:rFonts w:cs="Arial"/>
          <w:szCs w:val="20"/>
        </w:rPr>
        <w:t xml:space="preserve">eské </w:t>
      </w:r>
      <w:proofErr w:type="gramStart"/>
      <w:r w:rsidR="00412B0E">
        <w:rPr>
          <w:rFonts w:cs="Arial"/>
          <w:szCs w:val="20"/>
        </w:rPr>
        <w:t xml:space="preserve">republiky, </w:t>
      </w:r>
      <w:r w:rsidRPr="0082239E">
        <w:rPr>
          <w:rFonts w:cs="Arial"/>
          <w:szCs w:val="20"/>
        </w:rPr>
        <w:t>z.s.</w:t>
      </w:r>
      <w:proofErr w:type="gramEnd"/>
    </w:p>
    <w:p w14:paraId="77D46AAC" w14:textId="77777777" w:rsidR="0082239E" w:rsidRPr="0082239E" w:rsidRDefault="0082239E" w:rsidP="0082239E">
      <w:pPr>
        <w:spacing w:after="0"/>
        <w:rPr>
          <w:rFonts w:cs="Arial"/>
          <w:szCs w:val="20"/>
        </w:rPr>
      </w:pPr>
      <w:r w:rsidRPr="0082239E">
        <w:rPr>
          <w:rFonts w:cs="Arial"/>
          <w:szCs w:val="20"/>
        </w:rPr>
        <w:t>NSA</w:t>
      </w:r>
      <w:r w:rsidRPr="0082239E">
        <w:rPr>
          <w:rFonts w:cs="Arial"/>
          <w:szCs w:val="20"/>
        </w:rPr>
        <w:tab/>
      </w:r>
      <w:r w:rsidRPr="0082239E">
        <w:rPr>
          <w:rFonts w:cs="Arial"/>
          <w:szCs w:val="20"/>
        </w:rPr>
        <w:tab/>
      </w:r>
      <w:r w:rsidRPr="0082239E">
        <w:rPr>
          <w:rFonts w:cs="Arial"/>
          <w:szCs w:val="20"/>
        </w:rPr>
        <w:tab/>
        <w:t>Národní sportovní agentura</w:t>
      </w:r>
    </w:p>
    <w:p w14:paraId="2B0D3728" w14:textId="77777777" w:rsidR="0082239E" w:rsidRPr="0082239E" w:rsidRDefault="0082239E" w:rsidP="0082239E">
      <w:pPr>
        <w:spacing w:after="0"/>
        <w:rPr>
          <w:rFonts w:cs="Arial"/>
          <w:szCs w:val="20"/>
        </w:rPr>
      </w:pPr>
      <w:r w:rsidRPr="0082239E">
        <w:rPr>
          <w:rFonts w:cs="Arial"/>
          <w:szCs w:val="20"/>
        </w:rPr>
        <w:t>OSN</w:t>
      </w:r>
      <w:r w:rsidRPr="0082239E">
        <w:rPr>
          <w:rFonts w:cs="Arial"/>
          <w:szCs w:val="20"/>
        </w:rPr>
        <w:tab/>
      </w:r>
      <w:r w:rsidRPr="0082239E">
        <w:rPr>
          <w:rFonts w:cs="Arial"/>
          <w:szCs w:val="20"/>
        </w:rPr>
        <w:tab/>
      </w:r>
      <w:r w:rsidRPr="0082239E">
        <w:rPr>
          <w:rFonts w:cs="Arial"/>
          <w:szCs w:val="20"/>
        </w:rPr>
        <w:tab/>
        <w:t>Organizace spojených národů</w:t>
      </w:r>
    </w:p>
    <w:p w14:paraId="3509B7F3" w14:textId="77777777" w:rsidR="0082239E" w:rsidRPr="0082239E" w:rsidRDefault="0082239E" w:rsidP="0082239E">
      <w:pPr>
        <w:spacing w:after="0"/>
        <w:ind w:left="2124" w:hanging="2124"/>
        <w:rPr>
          <w:rFonts w:cs="Arial"/>
          <w:szCs w:val="20"/>
        </w:rPr>
      </w:pPr>
      <w:r w:rsidRPr="0082239E">
        <w:rPr>
          <w:rFonts w:cs="Arial"/>
          <w:szCs w:val="20"/>
        </w:rPr>
        <w:t>SONS</w:t>
      </w:r>
      <w:r w:rsidRPr="0082239E">
        <w:rPr>
          <w:rFonts w:cs="Arial"/>
          <w:szCs w:val="20"/>
        </w:rPr>
        <w:tab/>
        <w:t>Sjednocená organizace nevidomých a slabozrakých České republiky, zapsaný spolek</w:t>
      </w:r>
      <w:r w:rsidRPr="0082239E">
        <w:rPr>
          <w:rFonts w:cs="Arial"/>
          <w:szCs w:val="20"/>
        </w:rPr>
        <w:tab/>
      </w:r>
    </w:p>
    <w:p w14:paraId="50E2A484" w14:textId="77777777" w:rsidR="0082239E" w:rsidRPr="0082239E" w:rsidRDefault="0082239E" w:rsidP="0082239E">
      <w:pPr>
        <w:spacing w:after="0"/>
        <w:ind w:left="2124" w:hanging="2124"/>
        <w:rPr>
          <w:rFonts w:cs="Arial"/>
          <w:szCs w:val="20"/>
        </w:rPr>
      </w:pPr>
      <w:r w:rsidRPr="0082239E">
        <w:rPr>
          <w:rFonts w:cs="Arial"/>
          <w:szCs w:val="20"/>
        </w:rPr>
        <w:t>ÚNMZ</w:t>
      </w:r>
      <w:r w:rsidRPr="0082239E">
        <w:rPr>
          <w:rFonts w:cs="Arial"/>
          <w:szCs w:val="20"/>
        </w:rPr>
        <w:tab/>
        <w:t>Úřad pro technickou normalizaci, metrologii a státní zkušebnictví</w:t>
      </w:r>
    </w:p>
    <w:p w14:paraId="21CE417C" w14:textId="77777777" w:rsidR="0082239E" w:rsidRPr="0082239E" w:rsidRDefault="0082239E" w:rsidP="0082239E">
      <w:pPr>
        <w:spacing w:after="0"/>
        <w:rPr>
          <w:rFonts w:cs="Arial"/>
          <w:szCs w:val="20"/>
        </w:rPr>
      </w:pPr>
      <w:r w:rsidRPr="0082239E">
        <w:rPr>
          <w:rFonts w:cs="Arial"/>
          <w:szCs w:val="20"/>
        </w:rPr>
        <w:t>Úmluva</w:t>
      </w:r>
      <w:r w:rsidRPr="0082239E">
        <w:rPr>
          <w:rFonts w:cs="Arial"/>
          <w:szCs w:val="20"/>
        </w:rPr>
        <w:tab/>
      </w:r>
      <w:r w:rsidRPr="0082239E">
        <w:rPr>
          <w:rFonts w:cs="Arial"/>
          <w:szCs w:val="20"/>
        </w:rPr>
        <w:tab/>
        <w:t>Úmluva o právech osob se zdravotním postižením</w:t>
      </w:r>
    </w:p>
    <w:p w14:paraId="00B2EA3F" w14:textId="77777777" w:rsidR="0082239E" w:rsidRPr="0082239E" w:rsidRDefault="0082239E" w:rsidP="0082239E">
      <w:pPr>
        <w:spacing w:after="0"/>
        <w:rPr>
          <w:rFonts w:cs="Arial"/>
          <w:szCs w:val="20"/>
        </w:rPr>
      </w:pPr>
      <w:r w:rsidRPr="0082239E">
        <w:rPr>
          <w:rFonts w:cs="Arial"/>
          <w:szCs w:val="20"/>
        </w:rPr>
        <w:t xml:space="preserve">ÚP </w:t>
      </w:r>
      <w:r w:rsidRPr="0082239E">
        <w:rPr>
          <w:rFonts w:cs="Arial"/>
          <w:szCs w:val="20"/>
        </w:rPr>
        <w:tab/>
      </w:r>
      <w:r w:rsidRPr="0082239E">
        <w:rPr>
          <w:rFonts w:cs="Arial"/>
          <w:szCs w:val="20"/>
        </w:rPr>
        <w:tab/>
      </w:r>
      <w:r w:rsidRPr="0082239E">
        <w:rPr>
          <w:rFonts w:cs="Arial"/>
          <w:szCs w:val="20"/>
        </w:rPr>
        <w:tab/>
        <w:t>Úřad práce České republiky</w:t>
      </w:r>
    </w:p>
    <w:p w14:paraId="6AD12F34" w14:textId="77777777" w:rsidR="0082239E" w:rsidRPr="0082239E" w:rsidRDefault="0082239E" w:rsidP="0082239E">
      <w:pPr>
        <w:spacing w:after="0"/>
        <w:rPr>
          <w:rFonts w:cs="Arial"/>
          <w:szCs w:val="20"/>
        </w:rPr>
      </w:pPr>
      <w:r w:rsidRPr="0082239E">
        <w:rPr>
          <w:rFonts w:cs="Arial"/>
          <w:szCs w:val="20"/>
        </w:rPr>
        <w:t>ÚV</w:t>
      </w:r>
      <w:r w:rsidRPr="0082239E">
        <w:rPr>
          <w:rFonts w:cs="Arial"/>
          <w:szCs w:val="20"/>
        </w:rPr>
        <w:tab/>
      </w:r>
      <w:r w:rsidRPr="0082239E">
        <w:rPr>
          <w:rFonts w:cs="Arial"/>
          <w:szCs w:val="20"/>
        </w:rPr>
        <w:tab/>
      </w:r>
      <w:r w:rsidRPr="0082239E">
        <w:rPr>
          <w:rFonts w:cs="Arial"/>
          <w:szCs w:val="20"/>
        </w:rPr>
        <w:tab/>
        <w:t>Úřad vlády České republiky</w:t>
      </w:r>
    </w:p>
    <w:p w14:paraId="760CC032" w14:textId="77777777" w:rsidR="0082239E" w:rsidRPr="0082239E" w:rsidRDefault="0082239E" w:rsidP="0082239E">
      <w:pPr>
        <w:spacing w:after="0"/>
        <w:rPr>
          <w:rFonts w:cs="Arial"/>
          <w:szCs w:val="20"/>
        </w:rPr>
      </w:pPr>
      <w:r w:rsidRPr="0082239E">
        <w:rPr>
          <w:rFonts w:cs="Arial"/>
          <w:szCs w:val="20"/>
        </w:rPr>
        <w:t>ÚZIS</w:t>
      </w:r>
      <w:r w:rsidRPr="0082239E">
        <w:rPr>
          <w:rFonts w:cs="Arial"/>
          <w:szCs w:val="20"/>
        </w:rPr>
        <w:tab/>
      </w:r>
      <w:r w:rsidRPr="0082239E">
        <w:rPr>
          <w:rFonts w:cs="Arial"/>
          <w:szCs w:val="20"/>
        </w:rPr>
        <w:tab/>
      </w:r>
      <w:r w:rsidRPr="0082239E">
        <w:rPr>
          <w:rFonts w:cs="Arial"/>
          <w:szCs w:val="20"/>
        </w:rPr>
        <w:tab/>
      </w:r>
      <w:r w:rsidRPr="0082239E">
        <w:rPr>
          <w:szCs w:val="20"/>
        </w:rPr>
        <w:t>Ústav zdravotnických informací a statistiky</w:t>
      </w:r>
      <w:r w:rsidRPr="0082239E">
        <w:rPr>
          <w:rFonts w:cs="Arial"/>
          <w:szCs w:val="20"/>
        </w:rPr>
        <w:t> ČR</w:t>
      </w:r>
    </w:p>
    <w:p w14:paraId="62362F87" w14:textId="77777777" w:rsidR="0082239E" w:rsidRPr="0082239E" w:rsidRDefault="0082239E" w:rsidP="0082239E">
      <w:pPr>
        <w:spacing w:after="0"/>
        <w:rPr>
          <w:rFonts w:cs="Arial"/>
          <w:szCs w:val="20"/>
        </w:rPr>
      </w:pPr>
      <w:r w:rsidRPr="0082239E">
        <w:rPr>
          <w:rFonts w:cs="Arial"/>
          <w:szCs w:val="20"/>
        </w:rPr>
        <w:t>VVOZP</w:t>
      </w:r>
      <w:r w:rsidRPr="0082239E">
        <w:rPr>
          <w:rFonts w:cs="Arial"/>
          <w:szCs w:val="20"/>
        </w:rPr>
        <w:tab/>
      </w:r>
      <w:r w:rsidRPr="0082239E">
        <w:rPr>
          <w:rFonts w:cs="Arial"/>
          <w:szCs w:val="20"/>
        </w:rPr>
        <w:tab/>
        <w:t>Vládní výbor pro osoby se zdravotním postižením</w:t>
      </w:r>
    </w:p>
    <w:p w14:paraId="6624617E" w14:textId="77777777" w:rsidR="0082239E" w:rsidRPr="008F3AA7" w:rsidRDefault="0082239E" w:rsidP="00B75562"/>
    <w:p w14:paraId="58FE2119" w14:textId="19A3A564" w:rsidR="00412B0E" w:rsidRDefault="00412B0E">
      <w:pPr>
        <w:spacing w:after="160" w:line="259" w:lineRule="auto"/>
        <w:jc w:val="left"/>
        <w:rPr>
          <w:rFonts w:ascii="Cambria" w:eastAsiaTheme="majorEastAsia" w:hAnsi="Cambria" w:cstheme="majorBidi"/>
          <w:b/>
          <w:bCs/>
          <w:color w:val="1F3864" w:themeColor="accent5" w:themeShade="80"/>
          <w:sz w:val="36"/>
          <w:szCs w:val="28"/>
        </w:rPr>
      </w:pPr>
    </w:p>
    <w:sectPr w:rsidR="00412B0E" w:rsidSect="009A6FAD">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60964" w14:textId="77777777" w:rsidR="007C49CB" w:rsidRDefault="007C49CB" w:rsidP="00F17E74">
      <w:pPr>
        <w:spacing w:after="0"/>
      </w:pPr>
      <w:r>
        <w:separator/>
      </w:r>
    </w:p>
    <w:p w14:paraId="49530BF5" w14:textId="77777777" w:rsidR="007C49CB" w:rsidRDefault="007C49CB"/>
  </w:endnote>
  <w:endnote w:type="continuationSeparator" w:id="0">
    <w:p w14:paraId="70D52120" w14:textId="77777777" w:rsidR="007C49CB" w:rsidRDefault="007C49CB" w:rsidP="00F17E74">
      <w:pPr>
        <w:spacing w:after="0"/>
      </w:pPr>
      <w:r>
        <w:continuationSeparator/>
      </w:r>
    </w:p>
    <w:p w14:paraId="3B64BEB6" w14:textId="77777777" w:rsidR="007C49CB" w:rsidRDefault="007C4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185FF" w14:textId="39525A57" w:rsidR="007C49CB" w:rsidRDefault="007C49CB">
    <w:pPr>
      <w:pStyle w:val="Zpat"/>
      <w:jc w:val="center"/>
    </w:pPr>
  </w:p>
  <w:p w14:paraId="2A2E7A34" w14:textId="77777777" w:rsidR="007C49CB" w:rsidRDefault="007C49CB">
    <w:pPr>
      <w:pStyle w:val="Zpat"/>
    </w:pPr>
  </w:p>
  <w:p w14:paraId="5412EC63" w14:textId="77777777" w:rsidR="007C49CB" w:rsidRDefault="007C49C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109435"/>
      <w:docPartObj>
        <w:docPartGallery w:val="Page Numbers (Bottom of Page)"/>
        <w:docPartUnique/>
      </w:docPartObj>
    </w:sdtPr>
    <w:sdtContent>
      <w:p w14:paraId="3048D551" w14:textId="2088169A" w:rsidR="007C49CB" w:rsidRDefault="007C49CB">
        <w:pPr>
          <w:pStyle w:val="Zpat"/>
          <w:jc w:val="center"/>
        </w:pPr>
        <w:r w:rsidRPr="001171EE">
          <w:rPr>
            <w:rFonts w:cs="Arial"/>
            <w:sz w:val="18"/>
            <w:szCs w:val="18"/>
          </w:rPr>
          <w:fldChar w:fldCharType="begin"/>
        </w:r>
        <w:r w:rsidRPr="001171EE">
          <w:rPr>
            <w:rFonts w:cs="Arial"/>
            <w:sz w:val="18"/>
            <w:szCs w:val="18"/>
          </w:rPr>
          <w:instrText>PAGE   \* MERGEFORMAT</w:instrText>
        </w:r>
        <w:r w:rsidRPr="001171EE">
          <w:rPr>
            <w:rFonts w:cs="Arial"/>
            <w:sz w:val="18"/>
            <w:szCs w:val="18"/>
          </w:rPr>
          <w:fldChar w:fldCharType="separate"/>
        </w:r>
        <w:r w:rsidR="003D2E69">
          <w:rPr>
            <w:rFonts w:cs="Arial"/>
            <w:noProof/>
            <w:sz w:val="18"/>
            <w:szCs w:val="18"/>
          </w:rPr>
          <w:t>21</w:t>
        </w:r>
        <w:r w:rsidRPr="001171EE">
          <w:rPr>
            <w:rFonts w:cs="Arial"/>
            <w:sz w:val="18"/>
            <w:szCs w:val="18"/>
          </w:rPr>
          <w:fldChar w:fldCharType="end"/>
        </w:r>
      </w:p>
    </w:sdtContent>
  </w:sdt>
  <w:p w14:paraId="752C5904" w14:textId="77777777" w:rsidR="007C49CB" w:rsidRDefault="007C49CB">
    <w:pPr>
      <w:pStyle w:val="Zpat"/>
    </w:pPr>
  </w:p>
  <w:p w14:paraId="415FF16E" w14:textId="77777777" w:rsidR="007C49CB" w:rsidRDefault="007C49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76BE2" w14:textId="77777777" w:rsidR="007C49CB" w:rsidRDefault="007C49CB" w:rsidP="002F6A8A">
      <w:pPr>
        <w:spacing w:after="0"/>
      </w:pPr>
      <w:r>
        <w:separator/>
      </w:r>
    </w:p>
  </w:footnote>
  <w:footnote w:type="continuationSeparator" w:id="0">
    <w:p w14:paraId="16CDF808" w14:textId="77777777" w:rsidR="007C49CB" w:rsidRDefault="007C49CB" w:rsidP="00F17E74">
      <w:pPr>
        <w:spacing w:after="0"/>
      </w:pPr>
      <w:r>
        <w:continuationSeparator/>
      </w:r>
    </w:p>
    <w:p w14:paraId="76B11349" w14:textId="77777777" w:rsidR="007C49CB" w:rsidRDefault="007C49CB"/>
  </w:footnote>
  <w:footnote w:id="1">
    <w:p w14:paraId="1F5ECB37" w14:textId="77777777" w:rsidR="007C49CB" w:rsidRPr="00E20A6C" w:rsidRDefault="007C49CB" w:rsidP="00B7200D">
      <w:pPr>
        <w:pStyle w:val="Textpoznpodarou"/>
        <w:rPr>
          <w:rFonts w:ascii="Times New Roman" w:hAnsi="Times New Roman" w:cs="Times New Roman"/>
          <w:sz w:val="18"/>
          <w:szCs w:val="18"/>
        </w:rPr>
      </w:pPr>
      <w:r w:rsidRPr="00E20A6C">
        <w:rPr>
          <w:rStyle w:val="Znakapoznpodarou"/>
          <w:rFonts w:ascii="Times New Roman" w:hAnsi="Times New Roman" w:cs="Times New Roman"/>
          <w:sz w:val="18"/>
          <w:szCs w:val="18"/>
        </w:rPr>
        <w:footnoteRef/>
      </w:r>
      <w:r w:rsidRPr="00E20A6C">
        <w:rPr>
          <w:rFonts w:ascii="Times New Roman" w:hAnsi="Times New Roman" w:cs="Times New Roman"/>
          <w:sz w:val="18"/>
          <w:szCs w:val="18"/>
        </w:rPr>
        <w:t xml:space="preserve"> Je uváděn </w:t>
      </w:r>
      <w:r>
        <w:rPr>
          <w:rFonts w:ascii="Times New Roman" w:hAnsi="Times New Roman" w:cs="Times New Roman"/>
          <w:sz w:val="18"/>
          <w:szCs w:val="18"/>
        </w:rPr>
        <w:t>marketingový</w:t>
      </w:r>
      <w:r w:rsidRPr="00E20A6C">
        <w:rPr>
          <w:rFonts w:ascii="Times New Roman" w:hAnsi="Times New Roman" w:cs="Times New Roman"/>
          <w:sz w:val="18"/>
          <w:szCs w:val="18"/>
        </w:rPr>
        <w:t xml:space="preserve"> název vozidel podle společnosti České dráhy a.s., aby čitatelům této analýzy bylo jasné, o jaká vozidla se jedná i bez znalosti číselného označení vozidlových řad. Tato informace však neznamená, že smlouvy byly uzavřeny s dopravcem České dráhy, a.s.</w:t>
      </w:r>
    </w:p>
  </w:footnote>
  <w:footnote w:id="2">
    <w:p w14:paraId="287AEC26" w14:textId="77777777" w:rsidR="007C49CB" w:rsidRPr="00503075" w:rsidRDefault="007C49CB" w:rsidP="00881580">
      <w:pPr>
        <w:pStyle w:val="FormtovanvHTML"/>
        <w:shd w:val="clear" w:color="auto" w:fill="FFFFFF" w:themeFill="background1"/>
        <w:rPr>
          <w:rFonts w:ascii="Arial" w:hAnsi="Arial" w:cs="Arial"/>
          <w:color w:val="222222"/>
          <w:sz w:val="18"/>
          <w:szCs w:val="18"/>
        </w:rPr>
      </w:pPr>
      <w:r w:rsidRPr="00881580">
        <w:rPr>
          <w:rStyle w:val="Znakapoznpodarou"/>
          <w:rFonts w:ascii="Arial" w:hAnsi="Arial" w:cs="Arial"/>
          <w:sz w:val="18"/>
          <w:szCs w:val="18"/>
        </w:rPr>
        <w:footnoteRef/>
      </w:r>
      <w:r w:rsidRPr="00881580">
        <w:rPr>
          <w:rFonts w:ascii="Arial" w:hAnsi="Arial" w:cs="Arial"/>
          <w:sz w:val="18"/>
          <w:szCs w:val="18"/>
        </w:rPr>
        <w:t xml:space="preserve"> Projekt zaměřený na</w:t>
      </w:r>
      <w:r w:rsidRPr="00881580">
        <w:rPr>
          <w:rFonts w:ascii="Arial" w:hAnsi="Arial" w:cs="Arial"/>
          <w:color w:val="222222"/>
          <w:sz w:val="18"/>
          <w:szCs w:val="18"/>
        </w:rPr>
        <w:t xml:space="preserve"> integraci osob s duševním onemocněním a posílení sociální soudržnosti spolufinancovaný Evropskou unií.</w:t>
      </w:r>
    </w:p>
  </w:footnote>
  <w:footnote w:id="3">
    <w:p w14:paraId="4E1558AF" w14:textId="77777777" w:rsidR="007C49CB" w:rsidRPr="00503075" w:rsidRDefault="007C49CB">
      <w:pPr>
        <w:pStyle w:val="Textpoznpodarou"/>
        <w:rPr>
          <w:rFonts w:cs="Arial"/>
          <w:sz w:val="18"/>
          <w:szCs w:val="18"/>
        </w:rPr>
      </w:pPr>
      <w:r w:rsidRPr="00503075">
        <w:rPr>
          <w:rStyle w:val="Znakapoznpodarou"/>
          <w:rFonts w:cs="Arial"/>
          <w:sz w:val="18"/>
          <w:szCs w:val="18"/>
        </w:rPr>
        <w:footnoteRef/>
      </w:r>
      <w:r w:rsidRPr="00503075">
        <w:rPr>
          <w:rFonts w:cs="Arial"/>
          <w:sz w:val="18"/>
          <w:szCs w:val="18"/>
        </w:rPr>
        <w:t xml:space="preserve"> Standard Handicap Friendly navrhuje vhodná opatření a stanoví kritéria, která by měla knihovna splňovat, aby byla k osobám se specifick</w:t>
      </w:r>
      <w:r w:rsidRPr="005C627B">
        <w:rPr>
          <w:rFonts w:cs="Arial"/>
          <w:color w:val="000000" w:themeColor="text1"/>
          <w:sz w:val="18"/>
          <w:szCs w:val="18"/>
        </w:rPr>
        <w:t xml:space="preserve">ými potřebami uživatelsky vstřícná a zajistila jim rovné podmínky. Národní knihovna České republiky. 2019. Dostupné z: </w:t>
      </w:r>
      <w:hyperlink r:id="rId1" w:history="1">
        <w:r w:rsidRPr="005C627B">
          <w:rPr>
            <w:rStyle w:val="Hypertextovodkaz"/>
            <w:rFonts w:cs="Arial"/>
            <w:color w:val="000000" w:themeColor="text1"/>
            <w:sz w:val="18"/>
            <w:szCs w:val="18"/>
          </w:rPr>
          <w:t>https://ipk.nkp.cz/docs/aktualizovana-verze-publikace-rovny-pristup.-standard-handicap-friendly-2019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7C49CB" w14:paraId="0F43C151" w14:textId="77777777" w:rsidTr="00221D99">
      <w:tc>
        <w:tcPr>
          <w:tcW w:w="6345" w:type="dxa"/>
        </w:tcPr>
        <w:p w14:paraId="23703FCA" w14:textId="4D6B974F" w:rsidR="007C49CB" w:rsidRDefault="007C49CB" w:rsidP="003E2469">
          <w:pPr>
            <w:tabs>
              <w:tab w:val="left" w:pos="1206"/>
            </w:tabs>
            <w:rPr>
              <w:rFonts w:ascii="Cambria" w:hAnsi="Cambria" w:cs="Arial"/>
              <w:sz w:val="44"/>
              <w:szCs w:val="40"/>
            </w:rPr>
          </w:pPr>
        </w:p>
      </w:tc>
      <w:tc>
        <w:tcPr>
          <w:tcW w:w="3544" w:type="dxa"/>
        </w:tcPr>
        <w:p w14:paraId="244BE959" w14:textId="77777777" w:rsidR="007C49CB" w:rsidRDefault="007C49CB" w:rsidP="003E2469">
          <w:pPr>
            <w:pStyle w:val="Zhlav"/>
            <w:jc w:val="right"/>
            <w:rPr>
              <w:rFonts w:cs="Times New Roman"/>
              <w:szCs w:val="24"/>
            </w:rPr>
          </w:pPr>
        </w:p>
      </w:tc>
    </w:tr>
  </w:tbl>
  <w:p w14:paraId="355C0CEE" w14:textId="77777777" w:rsidR="007C49CB" w:rsidRDefault="007C49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E8FC1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AF3B5D"/>
    <w:multiLevelType w:val="hybridMultilevel"/>
    <w:tmpl w:val="58121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9A7C4B"/>
    <w:multiLevelType w:val="hybridMultilevel"/>
    <w:tmpl w:val="17BC04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127029"/>
    <w:multiLevelType w:val="hybridMultilevel"/>
    <w:tmpl w:val="3ECEB1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31C85"/>
    <w:multiLevelType w:val="hybridMultilevel"/>
    <w:tmpl w:val="7DACA4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1E4221"/>
    <w:multiLevelType w:val="hybridMultilevel"/>
    <w:tmpl w:val="5ACA5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9D3F4E"/>
    <w:multiLevelType w:val="multilevel"/>
    <w:tmpl w:val="B24C9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356F8D"/>
    <w:multiLevelType w:val="hybridMultilevel"/>
    <w:tmpl w:val="A5486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411AFA"/>
    <w:multiLevelType w:val="hybridMultilevel"/>
    <w:tmpl w:val="4F027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3E0611"/>
    <w:multiLevelType w:val="hybridMultilevel"/>
    <w:tmpl w:val="F0DE01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F21609"/>
    <w:multiLevelType w:val="hybridMultilevel"/>
    <w:tmpl w:val="96A23F84"/>
    <w:lvl w:ilvl="0" w:tplc="3E3A84B8">
      <w:start w:val="1"/>
      <w:numFmt w:val="decimal"/>
      <w:lvlText w:val="%1)"/>
      <w:lvlJc w:val="left"/>
      <w:pPr>
        <w:ind w:left="720" w:hanging="360"/>
      </w:pPr>
      <w:rPr>
        <w:rFonts w:ascii="Arial" w:eastAsiaTheme="minorHAnsi"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7F6519"/>
    <w:multiLevelType w:val="hybridMultilevel"/>
    <w:tmpl w:val="9F2E2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283A89"/>
    <w:multiLevelType w:val="hybridMultilevel"/>
    <w:tmpl w:val="4A6EBCB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18A584D"/>
    <w:multiLevelType w:val="hybridMultilevel"/>
    <w:tmpl w:val="8918DA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BC2933"/>
    <w:multiLevelType w:val="hybridMultilevel"/>
    <w:tmpl w:val="7B784560"/>
    <w:lvl w:ilvl="0" w:tplc="B59CB9F6">
      <w:start w:val="1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7105C1"/>
    <w:multiLevelType w:val="hybridMultilevel"/>
    <w:tmpl w:val="EEA4CFCE"/>
    <w:lvl w:ilvl="0" w:tplc="C3BE0908">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6AB2034"/>
    <w:multiLevelType w:val="hybridMultilevel"/>
    <w:tmpl w:val="967691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2313A5"/>
    <w:multiLevelType w:val="hybridMultilevel"/>
    <w:tmpl w:val="E23CC4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ED1F29"/>
    <w:multiLevelType w:val="hybridMultilevel"/>
    <w:tmpl w:val="2A0C77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A3311C3"/>
    <w:multiLevelType w:val="hybridMultilevel"/>
    <w:tmpl w:val="853007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CC4896"/>
    <w:multiLevelType w:val="hybridMultilevel"/>
    <w:tmpl w:val="D93EDCC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270556"/>
    <w:multiLevelType w:val="hybridMultilevel"/>
    <w:tmpl w:val="F1000BD8"/>
    <w:lvl w:ilvl="0" w:tplc="903A718E">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38BE13AD"/>
    <w:multiLevelType w:val="multilevel"/>
    <w:tmpl w:val="B9E066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9012CEE"/>
    <w:multiLevelType w:val="hybridMultilevel"/>
    <w:tmpl w:val="E96EA7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43288C"/>
    <w:multiLevelType w:val="hybridMultilevel"/>
    <w:tmpl w:val="764008F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F2E05B4"/>
    <w:multiLevelType w:val="hybridMultilevel"/>
    <w:tmpl w:val="EB84BB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770618"/>
    <w:multiLevelType w:val="hybridMultilevel"/>
    <w:tmpl w:val="DE588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810C30"/>
    <w:multiLevelType w:val="hybridMultilevel"/>
    <w:tmpl w:val="ABB840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2B1C62"/>
    <w:multiLevelType w:val="hybridMultilevel"/>
    <w:tmpl w:val="47B07A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3CA67A1"/>
    <w:multiLevelType w:val="hybridMultilevel"/>
    <w:tmpl w:val="589A9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644C4E"/>
    <w:multiLevelType w:val="hybridMultilevel"/>
    <w:tmpl w:val="205A6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F0F256B"/>
    <w:multiLevelType w:val="hybridMultilevel"/>
    <w:tmpl w:val="8C3693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FFE16E2"/>
    <w:multiLevelType w:val="multilevel"/>
    <w:tmpl w:val="B6ECF9AA"/>
    <w:lvl w:ilvl="0">
      <w:start w:val="1"/>
      <w:numFmt w:val="decimal"/>
      <w:pStyle w:val="Nadpis1"/>
      <w:lvlText w:val="%1"/>
      <w:lvlJc w:val="left"/>
      <w:pPr>
        <w:ind w:left="2985" w:hanging="432"/>
      </w:pPr>
      <w:rPr>
        <w:rFonts w:hint="default"/>
        <w:i w:val="0"/>
        <w:iCs w:val="0"/>
        <w:caps w:val="0"/>
        <w:smallCaps w:val="0"/>
        <w:strike w:val="0"/>
        <w:dstrike w:val="0"/>
        <w:outline w:val="0"/>
        <w:shadow w:val="0"/>
        <w:emboss w:val="0"/>
        <w:imprint w:val="0"/>
        <w:noProof w:val="0"/>
        <w:vanish w:val="0"/>
        <w:color w:val="1F3864" w:themeColor="accent5"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3" w15:restartNumberingAfterBreak="0">
    <w:nsid w:val="51EC22D1"/>
    <w:multiLevelType w:val="hybridMultilevel"/>
    <w:tmpl w:val="C16E55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263756E"/>
    <w:multiLevelType w:val="hybridMultilevel"/>
    <w:tmpl w:val="959C2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527782E"/>
    <w:multiLevelType w:val="hybridMultilevel"/>
    <w:tmpl w:val="FC5E247C"/>
    <w:lvl w:ilvl="0" w:tplc="18943D22">
      <w:start w:val="1"/>
      <w:numFmt w:val="lowerLetter"/>
      <w:lvlText w:val="%1)"/>
      <w:lvlJc w:val="left"/>
      <w:pPr>
        <w:ind w:left="1080" w:hanging="360"/>
      </w:pPr>
      <w:rPr>
        <w:rFonts w:cstheme="minorHAnsi" w:hint="default"/>
        <w:sz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5B395B06"/>
    <w:multiLevelType w:val="hybridMultilevel"/>
    <w:tmpl w:val="EAC428A2"/>
    <w:lvl w:ilvl="0" w:tplc="AE64D4C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5C6A20AF"/>
    <w:multiLevelType w:val="hybridMultilevel"/>
    <w:tmpl w:val="139A5C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0B285C"/>
    <w:multiLevelType w:val="hybridMultilevel"/>
    <w:tmpl w:val="2CC008A4"/>
    <w:lvl w:ilvl="0" w:tplc="04050001">
      <w:start w:val="1"/>
      <w:numFmt w:val="bullet"/>
      <w:lvlText w:val=""/>
      <w:lvlJc w:val="left"/>
      <w:pPr>
        <w:ind w:left="720" w:hanging="360"/>
      </w:pPr>
      <w:rPr>
        <w:rFonts w:ascii="Symbol" w:hAnsi="Symbol" w:hint="default"/>
        <w:color w:val="2E74B5"/>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5E4E1046"/>
    <w:multiLevelType w:val="hybridMultilevel"/>
    <w:tmpl w:val="DCE87478"/>
    <w:lvl w:ilvl="0" w:tplc="C3BE0908">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0" w15:restartNumberingAfterBreak="0">
    <w:nsid w:val="624D6511"/>
    <w:multiLevelType w:val="hybridMultilevel"/>
    <w:tmpl w:val="08586E14"/>
    <w:lvl w:ilvl="0" w:tplc="C3BE0908">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63660E84"/>
    <w:multiLevelType w:val="hybridMultilevel"/>
    <w:tmpl w:val="34A045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60104DD"/>
    <w:multiLevelType w:val="hybridMultilevel"/>
    <w:tmpl w:val="3D9298E8"/>
    <w:lvl w:ilvl="0" w:tplc="040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B850D84"/>
    <w:multiLevelType w:val="hybridMultilevel"/>
    <w:tmpl w:val="C2D87492"/>
    <w:lvl w:ilvl="0" w:tplc="0405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1C325C1"/>
    <w:multiLevelType w:val="hybridMultilevel"/>
    <w:tmpl w:val="AD2E487A"/>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5" w15:restartNumberingAfterBreak="0">
    <w:nsid w:val="76C0085B"/>
    <w:multiLevelType w:val="hybridMultilevel"/>
    <w:tmpl w:val="05EA63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EA3E9F"/>
    <w:multiLevelType w:val="hybridMultilevel"/>
    <w:tmpl w:val="9CD41A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7001E94"/>
    <w:multiLevelType w:val="hybridMultilevel"/>
    <w:tmpl w:val="E2CEA826"/>
    <w:lvl w:ilvl="0" w:tplc="C3BE0908">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B345B5C"/>
    <w:multiLevelType w:val="hybridMultilevel"/>
    <w:tmpl w:val="536E3B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CFA542C"/>
    <w:multiLevelType w:val="hybridMultilevel"/>
    <w:tmpl w:val="B380E7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FAD6123"/>
    <w:multiLevelType w:val="hybridMultilevel"/>
    <w:tmpl w:val="87B0D2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2"/>
  </w:num>
  <w:num w:numId="2">
    <w:abstractNumId w:val="0"/>
  </w:num>
  <w:num w:numId="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5"/>
  </w:num>
  <w:num w:numId="6">
    <w:abstractNumId w:val="21"/>
  </w:num>
  <w:num w:numId="7">
    <w:abstractNumId w:val="14"/>
  </w:num>
  <w:num w:numId="8">
    <w:abstractNumId w:val="8"/>
  </w:num>
  <w:num w:numId="9">
    <w:abstractNumId w:val="18"/>
  </w:num>
  <w:num w:numId="10">
    <w:abstractNumId w:val="9"/>
  </w:num>
  <w:num w:numId="11">
    <w:abstractNumId w:val="28"/>
  </w:num>
  <w:num w:numId="12">
    <w:abstractNumId w:val="22"/>
  </w:num>
  <w:num w:numId="13">
    <w:abstractNumId w:val="36"/>
  </w:num>
  <w:num w:numId="14">
    <w:abstractNumId w:val="46"/>
  </w:num>
  <w:num w:numId="15">
    <w:abstractNumId w:val="1"/>
  </w:num>
  <w:num w:numId="16">
    <w:abstractNumId w:val="7"/>
  </w:num>
  <w:num w:numId="17">
    <w:abstractNumId w:val="50"/>
  </w:num>
  <w:num w:numId="18">
    <w:abstractNumId w:val="13"/>
  </w:num>
  <w:num w:numId="19">
    <w:abstractNumId w:val="30"/>
  </w:num>
  <w:num w:numId="20">
    <w:abstractNumId w:val="41"/>
  </w:num>
  <w:num w:numId="21">
    <w:abstractNumId w:val="10"/>
  </w:num>
  <w:num w:numId="22">
    <w:abstractNumId w:val="25"/>
  </w:num>
  <w:num w:numId="23">
    <w:abstractNumId w:val="33"/>
  </w:num>
  <w:num w:numId="24">
    <w:abstractNumId w:val="29"/>
  </w:num>
  <w:num w:numId="25">
    <w:abstractNumId w:val="31"/>
  </w:num>
  <w:num w:numId="26">
    <w:abstractNumId w:val="48"/>
  </w:num>
  <w:num w:numId="27">
    <w:abstractNumId w:val="4"/>
  </w:num>
  <w:num w:numId="28">
    <w:abstractNumId w:val="27"/>
  </w:num>
  <w:num w:numId="29">
    <w:abstractNumId w:val="12"/>
  </w:num>
  <w:num w:numId="30">
    <w:abstractNumId w:val="2"/>
  </w:num>
  <w:num w:numId="31">
    <w:abstractNumId w:val="3"/>
  </w:num>
  <w:num w:numId="32">
    <w:abstractNumId w:val="16"/>
  </w:num>
  <w:num w:numId="33">
    <w:abstractNumId w:val="49"/>
  </w:num>
  <w:num w:numId="34">
    <w:abstractNumId w:val="11"/>
  </w:num>
  <w:num w:numId="35">
    <w:abstractNumId w:val="43"/>
  </w:num>
  <w:num w:numId="36">
    <w:abstractNumId w:val="47"/>
  </w:num>
  <w:num w:numId="37">
    <w:abstractNumId w:val="23"/>
  </w:num>
  <w:num w:numId="38">
    <w:abstractNumId w:val="19"/>
  </w:num>
  <w:num w:numId="39">
    <w:abstractNumId w:val="45"/>
  </w:num>
  <w:num w:numId="40">
    <w:abstractNumId w:val="17"/>
  </w:num>
  <w:num w:numId="41">
    <w:abstractNumId w:val="24"/>
  </w:num>
  <w:num w:numId="42">
    <w:abstractNumId w:val="37"/>
  </w:num>
  <w:num w:numId="43">
    <w:abstractNumId w:val="42"/>
  </w:num>
  <w:num w:numId="44">
    <w:abstractNumId w:val="34"/>
  </w:num>
  <w:num w:numId="45">
    <w:abstractNumId w:val="26"/>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15"/>
  </w:num>
  <w:num w:numId="50">
    <w:abstractNumId w:val="6"/>
  </w:num>
  <w:num w:numId="51">
    <w:abstractNumId w:val="5"/>
  </w:num>
  <w:num w:numId="52">
    <w:abstractNumId w:val="38"/>
  </w:num>
  <w:num w:numId="53">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74"/>
    <w:rsid w:val="0000043A"/>
    <w:rsid w:val="000006F6"/>
    <w:rsid w:val="00000D04"/>
    <w:rsid w:val="000017CA"/>
    <w:rsid w:val="00002F7E"/>
    <w:rsid w:val="00003044"/>
    <w:rsid w:val="00003590"/>
    <w:rsid w:val="0000374A"/>
    <w:rsid w:val="00003BD9"/>
    <w:rsid w:val="00004472"/>
    <w:rsid w:val="000048CE"/>
    <w:rsid w:val="00004B9F"/>
    <w:rsid w:val="00004CCF"/>
    <w:rsid w:val="00004CE0"/>
    <w:rsid w:val="00004F2F"/>
    <w:rsid w:val="00005071"/>
    <w:rsid w:val="0000515E"/>
    <w:rsid w:val="00005251"/>
    <w:rsid w:val="00006EB7"/>
    <w:rsid w:val="00007085"/>
    <w:rsid w:val="000074CC"/>
    <w:rsid w:val="00007813"/>
    <w:rsid w:val="00010185"/>
    <w:rsid w:val="00010B46"/>
    <w:rsid w:val="00010EA6"/>
    <w:rsid w:val="000113DF"/>
    <w:rsid w:val="000115E8"/>
    <w:rsid w:val="000123FB"/>
    <w:rsid w:val="00012CB0"/>
    <w:rsid w:val="00013518"/>
    <w:rsid w:val="00013B24"/>
    <w:rsid w:val="000141C5"/>
    <w:rsid w:val="000148E3"/>
    <w:rsid w:val="00014BCC"/>
    <w:rsid w:val="00014E02"/>
    <w:rsid w:val="00014F2D"/>
    <w:rsid w:val="0001500A"/>
    <w:rsid w:val="000155AE"/>
    <w:rsid w:val="00015A5D"/>
    <w:rsid w:val="00015B4E"/>
    <w:rsid w:val="00016003"/>
    <w:rsid w:val="000164CE"/>
    <w:rsid w:val="000164CF"/>
    <w:rsid w:val="0001661C"/>
    <w:rsid w:val="00016AFD"/>
    <w:rsid w:val="0001764A"/>
    <w:rsid w:val="00020041"/>
    <w:rsid w:val="000203EE"/>
    <w:rsid w:val="0002060D"/>
    <w:rsid w:val="00020B84"/>
    <w:rsid w:val="00021303"/>
    <w:rsid w:val="00021F3D"/>
    <w:rsid w:val="00022337"/>
    <w:rsid w:val="000223A9"/>
    <w:rsid w:val="00022CB6"/>
    <w:rsid w:val="000232AC"/>
    <w:rsid w:val="000232C4"/>
    <w:rsid w:val="00023AA2"/>
    <w:rsid w:val="00024946"/>
    <w:rsid w:val="00024BF0"/>
    <w:rsid w:val="00025431"/>
    <w:rsid w:val="000263A3"/>
    <w:rsid w:val="000264A9"/>
    <w:rsid w:val="0002667F"/>
    <w:rsid w:val="00026BE6"/>
    <w:rsid w:val="000270A3"/>
    <w:rsid w:val="00027665"/>
    <w:rsid w:val="00030269"/>
    <w:rsid w:val="00030DCC"/>
    <w:rsid w:val="0003261D"/>
    <w:rsid w:val="000326E5"/>
    <w:rsid w:val="000334E7"/>
    <w:rsid w:val="000336D3"/>
    <w:rsid w:val="0003393C"/>
    <w:rsid w:val="000341CE"/>
    <w:rsid w:val="0003534F"/>
    <w:rsid w:val="00035446"/>
    <w:rsid w:val="00035817"/>
    <w:rsid w:val="000358BD"/>
    <w:rsid w:val="00035C20"/>
    <w:rsid w:val="00035D34"/>
    <w:rsid w:val="000360C9"/>
    <w:rsid w:val="00036271"/>
    <w:rsid w:val="000364A2"/>
    <w:rsid w:val="000365B5"/>
    <w:rsid w:val="000367E3"/>
    <w:rsid w:val="000368F9"/>
    <w:rsid w:val="00037454"/>
    <w:rsid w:val="00037925"/>
    <w:rsid w:val="000379A5"/>
    <w:rsid w:val="00037D96"/>
    <w:rsid w:val="00041874"/>
    <w:rsid w:val="0004241A"/>
    <w:rsid w:val="0004254C"/>
    <w:rsid w:val="000429E1"/>
    <w:rsid w:val="00042D73"/>
    <w:rsid w:val="000433C9"/>
    <w:rsid w:val="000434E3"/>
    <w:rsid w:val="000438AE"/>
    <w:rsid w:val="00043ABA"/>
    <w:rsid w:val="00043E3D"/>
    <w:rsid w:val="000442DF"/>
    <w:rsid w:val="000444E9"/>
    <w:rsid w:val="000445E5"/>
    <w:rsid w:val="00044A8B"/>
    <w:rsid w:val="00044FD9"/>
    <w:rsid w:val="000450DD"/>
    <w:rsid w:val="00045271"/>
    <w:rsid w:val="00045927"/>
    <w:rsid w:val="00045AF2"/>
    <w:rsid w:val="00045B2F"/>
    <w:rsid w:val="00046552"/>
    <w:rsid w:val="000466FC"/>
    <w:rsid w:val="00046ED9"/>
    <w:rsid w:val="00047FC2"/>
    <w:rsid w:val="00047FEA"/>
    <w:rsid w:val="0005054D"/>
    <w:rsid w:val="0005057A"/>
    <w:rsid w:val="000507A1"/>
    <w:rsid w:val="00050961"/>
    <w:rsid w:val="00050B07"/>
    <w:rsid w:val="00050B1E"/>
    <w:rsid w:val="00050C41"/>
    <w:rsid w:val="00051787"/>
    <w:rsid w:val="00051952"/>
    <w:rsid w:val="0005248B"/>
    <w:rsid w:val="00052D36"/>
    <w:rsid w:val="0005303C"/>
    <w:rsid w:val="000531F8"/>
    <w:rsid w:val="0005355B"/>
    <w:rsid w:val="000548EC"/>
    <w:rsid w:val="00055660"/>
    <w:rsid w:val="000557B8"/>
    <w:rsid w:val="00055D43"/>
    <w:rsid w:val="000560EA"/>
    <w:rsid w:val="00056BC8"/>
    <w:rsid w:val="00056EA6"/>
    <w:rsid w:val="000578F0"/>
    <w:rsid w:val="00057C4B"/>
    <w:rsid w:val="00057ED7"/>
    <w:rsid w:val="00060BF2"/>
    <w:rsid w:val="00060ED9"/>
    <w:rsid w:val="00061F9C"/>
    <w:rsid w:val="0006206B"/>
    <w:rsid w:val="0006222F"/>
    <w:rsid w:val="00062705"/>
    <w:rsid w:val="00062D3B"/>
    <w:rsid w:val="000635E6"/>
    <w:rsid w:val="000639FC"/>
    <w:rsid w:val="00063D7B"/>
    <w:rsid w:val="00063E01"/>
    <w:rsid w:val="0006404A"/>
    <w:rsid w:val="0006523B"/>
    <w:rsid w:val="0006548A"/>
    <w:rsid w:val="0006550F"/>
    <w:rsid w:val="0006557E"/>
    <w:rsid w:val="00065764"/>
    <w:rsid w:val="0006591C"/>
    <w:rsid w:val="00065950"/>
    <w:rsid w:val="00065B28"/>
    <w:rsid w:val="000665F1"/>
    <w:rsid w:val="000668D1"/>
    <w:rsid w:val="000669E3"/>
    <w:rsid w:val="00066EC8"/>
    <w:rsid w:val="00067139"/>
    <w:rsid w:val="000671F9"/>
    <w:rsid w:val="00067FD8"/>
    <w:rsid w:val="00067FE1"/>
    <w:rsid w:val="00070356"/>
    <w:rsid w:val="00070C71"/>
    <w:rsid w:val="0007188A"/>
    <w:rsid w:val="00071C3D"/>
    <w:rsid w:val="00071C63"/>
    <w:rsid w:val="0007250D"/>
    <w:rsid w:val="00072891"/>
    <w:rsid w:val="000732A5"/>
    <w:rsid w:val="00073B6F"/>
    <w:rsid w:val="00073B97"/>
    <w:rsid w:val="00073BEC"/>
    <w:rsid w:val="00073FEA"/>
    <w:rsid w:val="00074158"/>
    <w:rsid w:val="000742A5"/>
    <w:rsid w:val="00074537"/>
    <w:rsid w:val="00074BF4"/>
    <w:rsid w:val="000760C3"/>
    <w:rsid w:val="0007623E"/>
    <w:rsid w:val="00076925"/>
    <w:rsid w:val="000775E6"/>
    <w:rsid w:val="00077B56"/>
    <w:rsid w:val="00077C88"/>
    <w:rsid w:val="00077F95"/>
    <w:rsid w:val="000803B2"/>
    <w:rsid w:val="00080DB9"/>
    <w:rsid w:val="00080EE5"/>
    <w:rsid w:val="0008103A"/>
    <w:rsid w:val="000816D9"/>
    <w:rsid w:val="00081B54"/>
    <w:rsid w:val="00081BB5"/>
    <w:rsid w:val="00082299"/>
    <w:rsid w:val="000824D6"/>
    <w:rsid w:val="000826CF"/>
    <w:rsid w:val="00082A0A"/>
    <w:rsid w:val="00082A9C"/>
    <w:rsid w:val="00082AB5"/>
    <w:rsid w:val="00082FB5"/>
    <w:rsid w:val="00083AEB"/>
    <w:rsid w:val="00083B2F"/>
    <w:rsid w:val="00083C4B"/>
    <w:rsid w:val="00083DB7"/>
    <w:rsid w:val="00084297"/>
    <w:rsid w:val="00084854"/>
    <w:rsid w:val="00084BFA"/>
    <w:rsid w:val="00084FA0"/>
    <w:rsid w:val="000857B0"/>
    <w:rsid w:val="00085DFC"/>
    <w:rsid w:val="00086277"/>
    <w:rsid w:val="000862B7"/>
    <w:rsid w:val="000863B6"/>
    <w:rsid w:val="000868CF"/>
    <w:rsid w:val="00087F76"/>
    <w:rsid w:val="00090B72"/>
    <w:rsid w:val="00090B7A"/>
    <w:rsid w:val="000911EB"/>
    <w:rsid w:val="00091DE1"/>
    <w:rsid w:val="000920AC"/>
    <w:rsid w:val="000922FE"/>
    <w:rsid w:val="000923B4"/>
    <w:rsid w:val="00093030"/>
    <w:rsid w:val="000932A6"/>
    <w:rsid w:val="00093402"/>
    <w:rsid w:val="00093774"/>
    <w:rsid w:val="0009464C"/>
    <w:rsid w:val="00094AA9"/>
    <w:rsid w:val="00094B6C"/>
    <w:rsid w:val="00095283"/>
    <w:rsid w:val="00095A64"/>
    <w:rsid w:val="00095AA0"/>
    <w:rsid w:val="00096518"/>
    <w:rsid w:val="00096557"/>
    <w:rsid w:val="00096E3B"/>
    <w:rsid w:val="000A00C2"/>
    <w:rsid w:val="000A0445"/>
    <w:rsid w:val="000A0C1E"/>
    <w:rsid w:val="000A1011"/>
    <w:rsid w:val="000A14DB"/>
    <w:rsid w:val="000A1582"/>
    <w:rsid w:val="000A1C6B"/>
    <w:rsid w:val="000A1D8D"/>
    <w:rsid w:val="000A1EA8"/>
    <w:rsid w:val="000A1EDB"/>
    <w:rsid w:val="000A1FBD"/>
    <w:rsid w:val="000A2911"/>
    <w:rsid w:val="000A2994"/>
    <w:rsid w:val="000A2E99"/>
    <w:rsid w:val="000A3539"/>
    <w:rsid w:val="000A3639"/>
    <w:rsid w:val="000A37B3"/>
    <w:rsid w:val="000A412B"/>
    <w:rsid w:val="000A4547"/>
    <w:rsid w:val="000A4D1A"/>
    <w:rsid w:val="000A4EA1"/>
    <w:rsid w:val="000A4F19"/>
    <w:rsid w:val="000A5A80"/>
    <w:rsid w:val="000A6019"/>
    <w:rsid w:val="000A632A"/>
    <w:rsid w:val="000A6343"/>
    <w:rsid w:val="000A6390"/>
    <w:rsid w:val="000A660D"/>
    <w:rsid w:val="000A6E79"/>
    <w:rsid w:val="000A71E5"/>
    <w:rsid w:val="000A7237"/>
    <w:rsid w:val="000A7626"/>
    <w:rsid w:val="000B0DAC"/>
    <w:rsid w:val="000B0FC9"/>
    <w:rsid w:val="000B1910"/>
    <w:rsid w:val="000B1DC3"/>
    <w:rsid w:val="000B286D"/>
    <w:rsid w:val="000B2A0E"/>
    <w:rsid w:val="000B2B1B"/>
    <w:rsid w:val="000B2BC3"/>
    <w:rsid w:val="000B2C1D"/>
    <w:rsid w:val="000B3052"/>
    <w:rsid w:val="000B30AC"/>
    <w:rsid w:val="000B34AC"/>
    <w:rsid w:val="000B36C7"/>
    <w:rsid w:val="000B38D0"/>
    <w:rsid w:val="000B39BC"/>
    <w:rsid w:val="000B3ACB"/>
    <w:rsid w:val="000B3AF1"/>
    <w:rsid w:val="000B3C6B"/>
    <w:rsid w:val="000B4134"/>
    <w:rsid w:val="000B4FA9"/>
    <w:rsid w:val="000B5524"/>
    <w:rsid w:val="000B56C2"/>
    <w:rsid w:val="000B6608"/>
    <w:rsid w:val="000B79CA"/>
    <w:rsid w:val="000B79CF"/>
    <w:rsid w:val="000B7AA3"/>
    <w:rsid w:val="000B7C97"/>
    <w:rsid w:val="000B7CFB"/>
    <w:rsid w:val="000C1BCC"/>
    <w:rsid w:val="000C1BD3"/>
    <w:rsid w:val="000C1E9B"/>
    <w:rsid w:val="000C2293"/>
    <w:rsid w:val="000C2B3A"/>
    <w:rsid w:val="000C2D0F"/>
    <w:rsid w:val="000C2FE8"/>
    <w:rsid w:val="000C4478"/>
    <w:rsid w:val="000C45AD"/>
    <w:rsid w:val="000C4A77"/>
    <w:rsid w:val="000C4B22"/>
    <w:rsid w:val="000C514B"/>
    <w:rsid w:val="000C5888"/>
    <w:rsid w:val="000C58FA"/>
    <w:rsid w:val="000C6A53"/>
    <w:rsid w:val="000C7627"/>
    <w:rsid w:val="000C7AEA"/>
    <w:rsid w:val="000C7F3D"/>
    <w:rsid w:val="000D0385"/>
    <w:rsid w:val="000D03C4"/>
    <w:rsid w:val="000D043D"/>
    <w:rsid w:val="000D0721"/>
    <w:rsid w:val="000D0761"/>
    <w:rsid w:val="000D0D60"/>
    <w:rsid w:val="000D0F08"/>
    <w:rsid w:val="000D13D4"/>
    <w:rsid w:val="000D13D9"/>
    <w:rsid w:val="000D1B2F"/>
    <w:rsid w:val="000D238B"/>
    <w:rsid w:val="000D2BD6"/>
    <w:rsid w:val="000D2D15"/>
    <w:rsid w:val="000D3737"/>
    <w:rsid w:val="000D3B8B"/>
    <w:rsid w:val="000D3FB2"/>
    <w:rsid w:val="000D442F"/>
    <w:rsid w:val="000D4797"/>
    <w:rsid w:val="000D4BA7"/>
    <w:rsid w:val="000D4CD9"/>
    <w:rsid w:val="000D562B"/>
    <w:rsid w:val="000D576A"/>
    <w:rsid w:val="000D5860"/>
    <w:rsid w:val="000D5A25"/>
    <w:rsid w:val="000D5BAA"/>
    <w:rsid w:val="000D6F8C"/>
    <w:rsid w:val="000D706F"/>
    <w:rsid w:val="000D725C"/>
    <w:rsid w:val="000E0A25"/>
    <w:rsid w:val="000E1070"/>
    <w:rsid w:val="000E137C"/>
    <w:rsid w:val="000E195E"/>
    <w:rsid w:val="000E19AB"/>
    <w:rsid w:val="000E1CB8"/>
    <w:rsid w:val="000E212E"/>
    <w:rsid w:val="000E2F2C"/>
    <w:rsid w:val="000E3216"/>
    <w:rsid w:val="000E3AF8"/>
    <w:rsid w:val="000E3B0E"/>
    <w:rsid w:val="000E3CF5"/>
    <w:rsid w:val="000E3E8E"/>
    <w:rsid w:val="000E417E"/>
    <w:rsid w:val="000E44D4"/>
    <w:rsid w:val="000E4910"/>
    <w:rsid w:val="000E6DBD"/>
    <w:rsid w:val="000E7041"/>
    <w:rsid w:val="000E7339"/>
    <w:rsid w:val="000E73D9"/>
    <w:rsid w:val="000E758D"/>
    <w:rsid w:val="000E7B17"/>
    <w:rsid w:val="000E7B63"/>
    <w:rsid w:val="000F04D0"/>
    <w:rsid w:val="000F083B"/>
    <w:rsid w:val="000F0855"/>
    <w:rsid w:val="000F0889"/>
    <w:rsid w:val="000F0C18"/>
    <w:rsid w:val="000F1090"/>
    <w:rsid w:val="000F175B"/>
    <w:rsid w:val="000F19DC"/>
    <w:rsid w:val="000F2558"/>
    <w:rsid w:val="000F297D"/>
    <w:rsid w:val="000F2CB9"/>
    <w:rsid w:val="000F31FE"/>
    <w:rsid w:val="000F3435"/>
    <w:rsid w:val="000F4094"/>
    <w:rsid w:val="000F40E7"/>
    <w:rsid w:val="000F46CE"/>
    <w:rsid w:val="000F4CCC"/>
    <w:rsid w:val="000F4F7C"/>
    <w:rsid w:val="000F56C3"/>
    <w:rsid w:val="000F5FC3"/>
    <w:rsid w:val="000F603D"/>
    <w:rsid w:val="000F6582"/>
    <w:rsid w:val="000F6706"/>
    <w:rsid w:val="000F6928"/>
    <w:rsid w:val="000F73AD"/>
    <w:rsid w:val="000F7BD2"/>
    <w:rsid w:val="000F7C45"/>
    <w:rsid w:val="00101213"/>
    <w:rsid w:val="00101AC3"/>
    <w:rsid w:val="00102B6E"/>
    <w:rsid w:val="0010373F"/>
    <w:rsid w:val="00104462"/>
    <w:rsid w:val="00104B3E"/>
    <w:rsid w:val="00104CF0"/>
    <w:rsid w:val="00104D26"/>
    <w:rsid w:val="00105302"/>
    <w:rsid w:val="00105429"/>
    <w:rsid w:val="00105714"/>
    <w:rsid w:val="00105E23"/>
    <w:rsid w:val="001060EB"/>
    <w:rsid w:val="001060F1"/>
    <w:rsid w:val="001063C2"/>
    <w:rsid w:val="00106A37"/>
    <w:rsid w:val="00106D44"/>
    <w:rsid w:val="00107691"/>
    <w:rsid w:val="00107948"/>
    <w:rsid w:val="00110152"/>
    <w:rsid w:val="00110169"/>
    <w:rsid w:val="00110317"/>
    <w:rsid w:val="001103D7"/>
    <w:rsid w:val="0011066B"/>
    <w:rsid w:val="00110D83"/>
    <w:rsid w:val="0011107E"/>
    <w:rsid w:val="0011136E"/>
    <w:rsid w:val="00111710"/>
    <w:rsid w:val="001121FF"/>
    <w:rsid w:val="00112232"/>
    <w:rsid w:val="001124EE"/>
    <w:rsid w:val="001127FE"/>
    <w:rsid w:val="00112AE5"/>
    <w:rsid w:val="00112BC3"/>
    <w:rsid w:val="00112D48"/>
    <w:rsid w:val="00112ECF"/>
    <w:rsid w:val="001138F3"/>
    <w:rsid w:val="00113AEC"/>
    <w:rsid w:val="00115809"/>
    <w:rsid w:val="0011617E"/>
    <w:rsid w:val="00116763"/>
    <w:rsid w:val="00116A42"/>
    <w:rsid w:val="00116A93"/>
    <w:rsid w:val="0011707A"/>
    <w:rsid w:val="001172D4"/>
    <w:rsid w:val="00117985"/>
    <w:rsid w:val="00117C73"/>
    <w:rsid w:val="00117E55"/>
    <w:rsid w:val="0012127F"/>
    <w:rsid w:val="00121C8F"/>
    <w:rsid w:val="00122214"/>
    <w:rsid w:val="00122487"/>
    <w:rsid w:val="0012252C"/>
    <w:rsid w:val="00122C04"/>
    <w:rsid w:val="00122D1A"/>
    <w:rsid w:val="00122D46"/>
    <w:rsid w:val="00122DC1"/>
    <w:rsid w:val="0012322B"/>
    <w:rsid w:val="001236BB"/>
    <w:rsid w:val="00124538"/>
    <w:rsid w:val="00124FE1"/>
    <w:rsid w:val="00125B0F"/>
    <w:rsid w:val="0012684D"/>
    <w:rsid w:val="00126FD6"/>
    <w:rsid w:val="001272E6"/>
    <w:rsid w:val="001275B3"/>
    <w:rsid w:val="001276D7"/>
    <w:rsid w:val="00127DE8"/>
    <w:rsid w:val="0013052A"/>
    <w:rsid w:val="00130FD7"/>
    <w:rsid w:val="001316DB"/>
    <w:rsid w:val="00131E7C"/>
    <w:rsid w:val="001325E0"/>
    <w:rsid w:val="001329D0"/>
    <w:rsid w:val="00132C34"/>
    <w:rsid w:val="00132F04"/>
    <w:rsid w:val="00132F4F"/>
    <w:rsid w:val="001330C1"/>
    <w:rsid w:val="00133E98"/>
    <w:rsid w:val="00134292"/>
    <w:rsid w:val="0013450F"/>
    <w:rsid w:val="0013451C"/>
    <w:rsid w:val="00134AEC"/>
    <w:rsid w:val="00134FBB"/>
    <w:rsid w:val="00134FD3"/>
    <w:rsid w:val="00134FDF"/>
    <w:rsid w:val="00135441"/>
    <w:rsid w:val="001360D8"/>
    <w:rsid w:val="001364AC"/>
    <w:rsid w:val="00136BB9"/>
    <w:rsid w:val="00136D17"/>
    <w:rsid w:val="00137177"/>
    <w:rsid w:val="001372C4"/>
    <w:rsid w:val="00137C83"/>
    <w:rsid w:val="00137EEE"/>
    <w:rsid w:val="00137F81"/>
    <w:rsid w:val="00137F9D"/>
    <w:rsid w:val="00141093"/>
    <w:rsid w:val="00141AB9"/>
    <w:rsid w:val="00142587"/>
    <w:rsid w:val="00142B05"/>
    <w:rsid w:val="00142BFC"/>
    <w:rsid w:val="001431F9"/>
    <w:rsid w:val="00143261"/>
    <w:rsid w:val="001432F8"/>
    <w:rsid w:val="001433C9"/>
    <w:rsid w:val="0014364E"/>
    <w:rsid w:val="00143AE1"/>
    <w:rsid w:val="00143C03"/>
    <w:rsid w:val="00143ED9"/>
    <w:rsid w:val="00144D5E"/>
    <w:rsid w:val="0014552F"/>
    <w:rsid w:val="001455CF"/>
    <w:rsid w:val="00145AD6"/>
    <w:rsid w:val="00145B5E"/>
    <w:rsid w:val="0014605A"/>
    <w:rsid w:val="001468EC"/>
    <w:rsid w:val="00146B17"/>
    <w:rsid w:val="00146C23"/>
    <w:rsid w:val="00147134"/>
    <w:rsid w:val="0014749C"/>
    <w:rsid w:val="001474CB"/>
    <w:rsid w:val="00150802"/>
    <w:rsid w:val="00151D47"/>
    <w:rsid w:val="00152484"/>
    <w:rsid w:val="00152D55"/>
    <w:rsid w:val="00153B96"/>
    <w:rsid w:val="00153C80"/>
    <w:rsid w:val="00153F6B"/>
    <w:rsid w:val="00154C9D"/>
    <w:rsid w:val="00154DFB"/>
    <w:rsid w:val="00154F0F"/>
    <w:rsid w:val="00155158"/>
    <w:rsid w:val="001557C6"/>
    <w:rsid w:val="00155EE2"/>
    <w:rsid w:val="0015686A"/>
    <w:rsid w:val="00156DC4"/>
    <w:rsid w:val="00157078"/>
    <w:rsid w:val="001571CF"/>
    <w:rsid w:val="001572C4"/>
    <w:rsid w:val="00157575"/>
    <w:rsid w:val="0015759D"/>
    <w:rsid w:val="0015769B"/>
    <w:rsid w:val="00157DDE"/>
    <w:rsid w:val="00157EC7"/>
    <w:rsid w:val="00157F11"/>
    <w:rsid w:val="0016007E"/>
    <w:rsid w:val="0016026E"/>
    <w:rsid w:val="001602AE"/>
    <w:rsid w:val="0016108E"/>
    <w:rsid w:val="001617AB"/>
    <w:rsid w:val="00161D2C"/>
    <w:rsid w:val="0016200F"/>
    <w:rsid w:val="001623D8"/>
    <w:rsid w:val="001624BF"/>
    <w:rsid w:val="001625B0"/>
    <w:rsid w:val="0016260D"/>
    <w:rsid w:val="00162887"/>
    <w:rsid w:val="00162C5A"/>
    <w:rsid w:val="00162DC1"/>
    <w:rsid w:val="00162FA8"/>
    <w:rsid w:val="00163218"/>
    <w:rsid w:val="001635D2"/>
    <w:rsid w:val="00164457"/>
    <w:rsid w:val="00164640"/>
    <w:rsid w:val="0016544B"/>
    <w:rsid w:val="00165598"/>
    <w:rsid w:val="00165C77"/>
    <w:rsid w:val="00165D9B"/>
    <w:rsid w:val="00165ECD"/>
    <w:rsid w:val="00165F0E"/>
    <w:rsid w:val="00166050"/>
    <w:rsid w:val="00166391"/>
    <w:rsid w:val="001663D3"/>
    <w:rsid w:val="001665CD"/>
    <w:rsid w:val="00167012"/>
    <w:rsid w:val="0016724D"/>
    <w:rsid w:val="00167933"/>
    <w:rsid w:val="001679E4"/>
    <w:rsid w:val="00167C2D"/>
    <w:rsid w:val="001709CE"/>
    <w:rsid w:val="00171101"/>
    <w:rsid w:val="001718F1"/>
    <w:rsid w:val="00171B6A"/>
    <w:rsid w:val="00171EC0"/>
    <w:rsid w:val="001721AC"/>
    <w:rsid w:val="00172A27"/>
    <w:rsid w:val="00172A78"/>
    <w:rsid w:val="00172ADF"/>
    <w:rsid w:val="00172E7E"/>
    <w:rsid w:val="001736ED"/>
    <w:rsid w:val="0017408F"/>
    <w:rsid w:val="0017452A"/>
    <w:rsid w:val="001747CD"/>
    <w:rsid w:val="001748EC"/>
    <w:rsid w:val="00174984"/>
    <w:rsid w:val="00174A9B"/>
    <w:rsid w:val="00174EA7"/>
    <w:rsid w:val="00174EC7"/>
    <w:rsid w:val="00175650"/>
    <w:rsid w:val="001758A5"/>
    <w:rsid w:val="001759C0"/>
    <w:rsid w:val="00175C12"/>
    <w:rsid w:val="00176237"/>
    <w:rsid w:val="00176D92"/>
    <w:rsid w:val="0017716F"/>
    <w:rsid w:val="0017742C"/>
    <w:rsid w:val="00177432"/>
    <w:rsid w:val="00177434"/>
    <w:rsid w:val="00177AF8"/>
    <w:rsid w:val="00177B7D"/>
    <w:rsid w:val="00177F35"/>
    <w:rsid w:val="001805AC"/>
    <w:rsid w:val="00180CD5"/>
    <w:rsid w:val="00181243"/>
    <w:rsid w:val="0018153E"/>
    <w:rsid w:val="001819B9"/>
    <w:rsid w:val="00181AD3"/>
    <w:rsid w:val="00181DDD"/>
    <w:rsid w:val="00181EFC"/>
    <w:rsid w:val="0018270E"/>
    <w:rsid w:val="00182719"/>
    <w:rsid w:val="00182E35"/>
    <w:rsid w:val="00183172"/>
    <w:rsid w:val="001834AF"/>
    <w:rsid w:val="00183A6C"/>
    <w:rsid w:val="00183F96"/>
    <w:rsid w:val="001846AE"/>
    <w:rsid w:val="001846E1"/>
    <w:rsid w:val="00185400"/>
    <w:rsid w:val="0018551A"/>
    <w:rsid w:val="001859B6"/>
    <w:rsid w:val="00185A1D"/>
    <w:rsid w:val="00185A96"/>
    <w:rsid w:val="00185C03"/>
    <w:rsid w:val="00186C60"/>
    <w:rsid w:val="00190418"/>
    <w:rsid w:val="00190A80"/>
    <w:rsid w:val="00190BB0"/>
    <w:rsid w:val="00190DFF"/>
    <w:rsid w:val="001910EE"/>
    <w:rsid w:val="001919A0"/>
    <w:rsid w:val="00191A31"/>
    <w:rsid w:val="00191BD6"/>
    <w:rsid w:val="00191D8E"/>
    <w:rsid w:val="00191F33"/>
    <w:rsid w:val="00192164"/>
    <w:rsid w:val="0019237E"/>
    <w:rsid w:val="00192950"/>
    <w:rsid w:val="00192B10"/>
    <w:rsid w:val="00192F7E"/>
    <w:rsid w:val="0019305C"/>
    <w:rsid w:val="001938AA"/>
    <w:rsid w:val="00194401"/>
    <w:rsid w:val="00194F07"/>
    <w:rsid w:val="00195246"/>
    <w:rsid w:val="00195784"/>
    <w:rsid w:val="00195A7A"/>
    <w:rsid w:val="00195FE9"/>
    <w:rsid w:val="00196681"/>
    <w:rsid w:val="00196D4B"/>
    <w:rsid w:val="00196DFB"/>
    <w:rsid w:val="00197DF5"/>
    <w:rsid w:val="00197F0B"/>
    <w:rsid w:val="001A0104"/>
    <w:rsid w:val="001A04C2"/>
    <w:rsid w:val="001A1374"/>
    <w:rsid w:val="001A16A0"/>
    <w:rsid w:val="001A17B4"/>
    <w:rsid w:val="001A1B54"/>
    <w:rsid w:val="001A1F4E"/>
    <w:rsid w:val="001A2CB7"/>
    <w:rsid w:val="001A3E63"/>
    <w:rsid w:val="001A54EE"/>
    <w:rsid w:val="001A5E6F"/>
    <w:rsid w:val="001A6159"/>
    <w:rsid w:val="001A6D3C"/>
    <w:rsid w:val="001A74D6"/>
    <w:rsid w:val="001A7765"/>
    <w:rsid w:val="001A7CD5"/>
    <w:rsid w:val="001B03BD"/>
    <w:rsid w:val="001B0B86"/>
    <w:rsid w:val="001B110D"/>
    <w:rsid w:val="001B11B0"/>
    <w:rsid w:val="001B1461"/>
    <w:rsid w:val="001B152F"/>
    <w:rsid w:val="001B2440"/>
    <w:rsid w:val="001B2ED5"/>
    <w:rsid w:val="001B2EE3"/>
    <w:rsid w:val="001B300E"/>
    <w:rsid w:val="001B3C11"/>
    <w:rsid w:val="001B3C13"/>
    <w:rsid w:val="001B541A"/>
    <w:rsid w:val="001B5D15"/>
    <w:rsid w:val="001B734B"/>
    <w:rsid w:val="001B7B89"/>
    <w:rsid w:val="001B7BCD"/>
    <w:rsid w:val="001B7C88"/>
    <w:rsid w:val="001B7EAD"/>
    <w:rsid w:val="001C1231"/>
    <w:rsid w:val="001C1506"/>
    <w:rsid w:val="001C160D"/>
    <w:rsid w:val="001C161B"/>
    <w:rsid w:val="001C164E"/>
    <w:rsid w:val="001C1932"/>
    <w:rsid w:val="001C1C53"/>
    <w:rsid w:val="001C1F9A"/>
    <w:rsid w:val="001C2425"/>
    <w:rsid w:val="001C276B"/>
    <w:rsid w:val="001C41E9"/>
    <w:rsid w:val="001C43E3"/>
    <w:rsid w:val="001C74CB"/>
    <w:rsid w:val="001C7E45"/>
    <w:rsid w:val="001D1084"/>
    <w:rsid w:val="001D1591"/>
    <w:rsid w:val="001D205B"/>
    <w:rsid w:val="001D22D7"/>
    <w:rsid w:val="001D2456"/>
    <w:rsid w:val="001D3662"/>
    <w:rsid w:val="001D386C"/>
    <w:rsid w:val="001D3B39"/>
    <w:rsid w:val="001D3DCB"/>
    <w:rsid w:val="001D3DE4"/>
    <w:rsid w:val="001D42D0"/>
    <w:rsid w:val="001D43C8"/>
    <w:rsid w:val="001D4531"/>
    <w:rsid w:val="001D4DA9"/>
    <w:rsid w:val="001D5020"/>
    <w:rsid w:val="001D579B"/>
    <w:rsid w:val="001D589B"/>
    <w:rsid w:val="001D599C"/>
    <w:rsid w:val="001D5A80"/>
    <w:rsid w:val="001D6553"/>
    <w:rsid w:val="001D65B3"/>
    <w:rsid w:val="001D6E80"/>
    <w:rsid w:val="001D73CC"/>
    <w:rsid w:val="001D797C"/>
    <w:rsid w:val="001D7B08"/>
    <w:rsid w:val="001E005E"/>
    <w:rsid w:val="001E0538"/>
    <w:rsid w:val="001E061F"/>
    <w:rsid w:val="001E0D19"/>
    <w:rsid w:val="001E0FEC"/>
    <w:rsid w:val="001E1497"/>
    <w:rsid w:val="001E2E15"/>
    <w:rsid w:val="001E3E65"/>
    <w:rsid w:val="001E519F"/>
    <w:rsid w:val="001E5267"/>
    <w:rsid w:val="001E54F2"/>
    <w:rsid w:val="001E5C03"/>
    <w:rsid w:val="001E605A"/>
    <w:rsid w:val="001E624A"/>
    <w:rsid w:val="001E6E34"/>
    <w:rsid w:val="001E7104"/>
    <w:rsid w:val="001E72A6"/>
    <w:rsid w:val="001E7906"/>
    <w:rsid w:val="001E79A8"/>
    <w:rsid w:val="001E7C93"/>
    <w:rsid w:val="001F10A5"/>
    <w:rsid w:val="001F1385"/>
    <w:rsid w:val="001F148D"/>
    <w:rsid w:val="001F14B9"/>
    <w:rsid w:val="001F17E0"/>
    <w:rsid w:val="001F1BA7"/>
    <w:rsid w:val="001F1FEA"/>
    <w:rsid w:val="001F2D7E"/>
    <w:rsid w:val="001F3962"/>
    <w:rsid w:val="001F489A"/>
    <w:rsid w:val="001F4EBE"/>
    <w:rsid w:val="001F4FB3"/>
    <w:rsid w:val="001F513B"/>
    <w:rsid w:val="001F5A14"/>
    <w:rsid w:val="001F5AE6"/>
    <w:rsid w:val="001F68D4"/>
    <w:rsid w:val="001F6937"/>
    <w:rsid w:val="001F6B5B"/>
    <w:rsid w:val="001F78E4"/>
    <w:rsid w:val="001F7D85"/>
    <w:rsid w:val="002008F6"/>
    <w:rsid w:val="00200C2D"/>
    <w:rsid w:val="00200D63"/>
    <w:rsid w:val="0020120D"/>
    <w:rsid w:val="0020173C"/>
    <w:rsid w:val="00202429"/>
    <w:rsid w:val="002025C6"/>
    <w:rsid w:val="00202AEC"/>
    <w:rsid w:val="0020327E"/>
    <w:rsid w:val="0020451A"/>
    <w:rsid w:val="0020469E"/>
    <w:rsid w:val="00204835"/>
    <w:rsid w:val="002049B2"/>
    <w:rsid w:val="0020533E"/>
    <w:rsid w:val="00205407"/>
    <w:rsid w:val="00205596"/>
    <w:rsid w:val="00205646"/>
    <w:rsid w:val="00205833"/>
    <w:rsid w:val="002067F5"/>
    <w:rsid w:val="00206AF8"/>
    <w:rsid w:val="00206C3B"/>
    <w:rsid w:val="00206C5F"/>
    <w:rsid w:val="00206EBF"/>
    <w:rsid w:val="00207E0F"/>
    <w:rsid w:val="00210113"/>
    <w:rsid w:val="00211362"/>
    <w:rsid w:val="00211483"/>
    <w:rsid w:val="002119D5"/>
    <w:rsid w:val="00211F56"/>
    <w:rsid w:val="002122B5"/>
    <w:rsid w:val="002123F7"/>
    <w:rsid w:val="00212892"/>
    <w:rsid w:val="00212ADD"/>
    <w:rsid w:val="00212B1A"/>
    <w:rsid w:val="00212EF5"/>
    <w:rsid w:val="002130C4"/>
    <w:rsid w:val="00213156"/>
    <w:rsid w:val="0021365D"/>
    <w:rsid w:val="00213752"/>
    <w:rsid w:val="00213E5D"/>
    <w:rsid w:val="00213E93"/>
    <w:rsid w:val="00214428"/>
    <w:rsid w:val="002146E9"/>
    <w:rsid w:val="00214CF2"/>
    <w:rsid w:val="00214E0B"/>
    <w:rsid w:val="00215874"/>
    <w:rsid w:val="00215C00"/>
    <w:rsid w:val="00215C02"/>
    <w:rsid w:val="00217115"/>
    <w:rsid w:val="0021757B"/>
    <w:rsid w:val="0022140B"/>
    <w:rsid w:val="0022167F"/>
    <w:rsid w:val="00221A9B"/>
    <w:rsid w:val="00221B01"/>
    <w:rsid w:val="00221D99"/>
    <w:rsid w:val="0022289B"/>
    <w:rsid w:val="00222B38"/>
    <w:rsid w:val="00222D26"/>
    <w:rsid w:val="002236E6"/>
    <w:rsid w:val="00223C9E"/>
    <w:rsid w:val="00224412"/>
    <w:rsid w:val="002245EA"/>
    <w:rsid w:val="00225505"/>
    <w:rsid w:val="00225EB1"/>
    <w:rsid w:val="002266F2"/>
    <w:rsid w:val="00227524"/>
    <w:rsid w:val="00227B44"/>
    <w:rsid w:val="00230277"/>
    <w:rsid w:val="002304A7"/>
    <w:rsid w:val="002309FE"/>
    <w:rsid w:val="00230D4B"/>
    <w:rsid w:val="00231207"/>
    <w:rsid w:val="00232802"/>
    <w:rsid w:val="00232A13"/>
    <w:rsid w:val="00232A58"/>
    <w:rsid w:val="00232BE3"/>
    <w:rsid w:val="00233219"/>
    <w:rsid w:val="0023326C"/>
    <w:rsid w:val="00233480"/>
    <w:rsid w:val="00233A34"/>
    <w:rsid w:val="00233BB2"/>
    <w:rsid w:val="00234014"/>
    <w:rsid w:val="0023449E"/>
    <w:rsid w:val="0023484B"/>
    <w:rsid w:val="0023492D"/>
    <w:rsid w:val="00234A31"/>
    <w:rsid w:val="00234E3D"/>
    <w:rsid w:val="00235121"/>
    <w:rsid w:val="0023592C"/>
    <w:rsid w:val="0023689A"/>
    <w:rsid w:val="00236B64"/>
    <w:rsid w:val="00237067"/>
    <w:rsid w:val="00237392"/>
    <w:rsid w:val="00240474"/>
    <w:rsid w:val="00240875"/>
    <w:rsid w:val="00240C5F"/>
    <w:rsid w:val="00240F20"/>
    <w:rsid w:val="002415AC"/>
    <w:rsid w:val="0024244E"/>
    <w:rsid w:val="0024346B"/>
    <w:rsid w:val="00243512"/>
    <w:rsid w:val="00243C97"/>
    <w:rsid w:val="002445B1"/>
    <w:rsid w:val="00244BC4"/>
    <w:rsid w:val="00244E15"/>
    <w:rsid w:val="002455B4"/>
    <w:rsid w:val="00245A51"/>
    <w:rsid w:val="0024641B"/>
    <w:rsid w:val="00246632"/>
    <w:rsid w:val="00246947"/>
    <w:rsid w:val="00246A58"/>
    <w:rsid w:val="00246D05"/>
    <w:rsid w:val="00246DF8"/>
    <w:rsid w:val="00250071"/>
    <w:rsid w:val="00250494"/>
    <w:rsid w:val="002504D8"/>
    <w:rsid w:val="002518FC"/>
    <w:rsid w:val="00251C70"/>
    <w:rsid w:val="00251FA9"/>
    <w:rsid w:val="00252AAB"/>
    <w:rsid w:val="00253040"/>
    <w:rsid w:val="0025314F"/>
    <w:rsid w:val="0025349A"/>
    <w:rsid w:val="0025390C"/>
    <w:rsid w:val="00253A9B"/>
    <w:rsid w:val="00253FEE"/>
    <w:rsid w:val="002542EB"/>
    <w:rsid w:val="00254465"/>
    <w:rsid w:val="0025456A"/>
    <w:rsid w:val="002547A8"/>
    <w:rsid w:val="0025489C"/>
    <w:rsid w:val="00254D8C"/>
    <w:rsid w:val="0025570A"/>
    <w:rsid w:val="00255AB4"/>
    <w:rsid w:val="00255F35"/>
    <w:rsid w:val="00256603"/>
    <w:rsid w:val="002569D3"/>
    <w:rsid w:val="002571C5"/>
    <w:rsid w:val="002574FF"/>
    <w:rsid w:val="002579EF"/>
    <w:rsid w:val="00257B5F"/>
    <w:rsid w:val="00257E2F"/>
    <w:rsid w:val="00257F9C"/>
    <w:rsid w:val="00260078"/>
    <w:rsid w:val="0026010A"/>
    <w:rsid w:val="0026029F"/>
    <w:rsid w:val="002602B9"/>
    <w:rsid w:val="00260ABC"/>
    <w:rsid w:val="00261A54"/>
    <w:rsid w:val="00261D76"/>
    <w:rsid w:val="00261E1B"/>
    <w:rsid w:val="00261E67"/>
    <w:rsid w:val="00262545"/>
    <w:rsid w:val="00262574"/>
    <w:rsid w:val="00262790"/>
    <w:rsid w:val="00262D2B"/>
    <w:rsid w:val="0026329F"/>
    <w:rsid w:val="002633F5"/>
    <w:rsid w:val="00263F0E"/>
    <w:rsid w:val="00264246"/>
    <w:rsid w:val="0026437D"/>
    <w:rsid w:val="00264C88"/>
    <w:rsid w:val="0026531E"/>
    <w:rsid w:val="0026573F"/>
    <w:rsid w:val="00265B7F"/>
    <w:rsid w:val="00266907"/>
    <w:rsid w:val="00266A47"/>
    <w:rsid w:val="00266EB1"/>
    <w:rsid w:val="00266F5A"/>
    <w:rsid w:val="00267453"/>
    <w:rsid w:val="00267A1C"/>
    <w:rsid w:val="00267CB0"/>
    <w:rsid w:val="00267CBD"/>
    <w:rsid w:val="002700E8"/>
    <w:rsid w:val="00270368"/>
    <w:rsid w:val="00270888"/>
    <w:rsid w:val="002708FC"/>
    <w:rsid w:val="00270EE2"/>
    <w:rsid w:val="002713FF"/>
    <w:rsid w:val="0027142A"/>
    <w:rsid w:val="00271494"/>
    <w:rsid w:val="002719D8"/>
    <w:rsid w:val="002720ED"/>
    <w:rsid w:val="002723D0"/>
    <w:rsid w:val="002730F3"/>
    <w:rsid w:val="0027313A"/>
    <w:rsid w:val="002742C6"/>
    <w:rsid w:val="00274557"/>
    <w:rsid w:val="0027517B"/>
    <w:rsid w:val="00275230"/>
    <w:rsid w:val="00275839"/>
    <w:rsid w:val="002759D8"/>
    <w:rsid w:val="0027603E"/>
    <w:rsid w:val="00276FA5"/>
    <w:rsid w:val="0027741D"/>
    <w:rsid w:val="002778A9"/>
    <w:rsid w:val="002779F4"/>
    <w:rsid w:val="00277AF6"/>
    <w:rsid w:val="002800C7"/>
    <w:rsid w:val="00280B00"/>
    <w:rsid w:val="00280D54"/>
    <w:rsid w:val="00281208"/>
    <w:rsid w:val="00281701"/>
    <w:rsid w:val="00281868"/>
    <w:rsid w:val="00281CB9"/>
    <w:rsid w:val="00281CDC"/>
    <w:rsid w:val="00282602"/>
    <w:rsid w:val="0028279E"/>
    <w:rsid w:val="00282D52"/>
    <w:rsid w:val="00282E07"/>
    <w:rsid w:val="002831E8"/>
    <w:rsid w:val="00283333"/>
    <w:rsid w:val="00283817"/>
    <w:rsid w:val="00283E31"/>
    <w:rsid w:val="00283F99"/>
    <w:rsid w:val="002846F4"/>
    <w:rsid w:val="002848F3"/>
    <w:rsid w:val="00284F77"/>
    <w:rsid w:val="00285279"/>
    <w:rsid w:val="00285526"/>
    <w:rsid w:val="0028612D"/>
    <w:rsid w:val="00286898"/>
    <w:rsid w:val="00287150"/>
    <w:rsid w:val="00287511"/>
    <w:rsid w:val="00287AB0"/>
    <w:rsid w:val="00290429"/>
    <w:rsid w:val="00290CF5"/>
    <w:rsid w:val="00290D54"/>
    <w:rsid w:val="00290F57"/>
    <w:rsid w:val="00290F66"/>
    <w:rsid w:val="0029152D"/>
    <w:rsid w:val="002915A1"/>
    <w:rsid w:val="00291C00"/>
    <w:rsid w:val="00291C23"/>
    <w:rsid w:val="00292010"/>
    <w:rsid w:val="0029289C"/>
    <w:rsid w:val="00292C19"/>
    <w:rsid w:val="0029348D"/>
    <w:rsid w:val="00293DB9"/>
    <w:rsid w:val="00294B7E"/>
    <w:rsid w:val="00294CA8"/>
    <w:rsid w:val="00294E87"/>
    <w:rsid w:val="00294F17"/>
    <w:rsid w:val="002950D9"/>
    <w:rsid w:val="00295627"/>
    <w:rsid w:val="00295843"/>
    <w:rsid w:val="0029598E"/>
    <w:rsid w:val="00295A57"/>
    <w:rsid w:val="00295C04"/>
    <w:rsid w:val="00295E78"/>
    <w:rsid w:val="002960D7"/>
    <w:rsid w:val="00296114"/>
    <w:rsid w:val="00296146"/>
    <w:rsid w:val="002963E7"/>
    <w:rsid w:val="00296782"/>
    <w:rsid w:val="002969EF"/>
    <w:rsid w:val="00296ACC"/>
    <w:rsid w:val="00296E4B"/>
    <w:rsid w:val="0029791F"/>
    <w:rsid w:val="002A00D0"/>
    <w:rsid w:val="002A016B"/>
    <w:rsid w:val="002A044C"/>
    <w:rsid w:val="002A0720"/>
    <w:rsid w:val="002A07DD"/>
    <w:rsid w:val="002A07F6"/>
    <w:rsid w:val="002A0AD6"/>
    <w:rsid w:val="002A18DD"/>
    <w:rsid w:val="002A2C04"/>
    <w:rsid w:val="002A309E"/>
    <w:rsid w:val="002A3D5D"/>
    <w:rsid w:val="002A4384"/>
    <w:rsid w:val="002A4A70"/>
    <w:rsid w:val="002A4E8E"/>
    <w:rsid w:val="002A504A"/>
    <w:rsid w:val="002A5DD5"/>
    <w:rsid w:val="002A6139"/>
    <w:rsid w:val="002A678D"/>
    <w:rsid w:val="002A6923"/>
    <w:rsid w:val="002A6990"/>
    <w:rsid w:val="002A6C03"/>
    <w:rsid w:val="002A6C5C"/>
    <w:rsid w:val="002A6C86"/>
    <w:rsid w:val="002A7132"/>
    <w:rsid w:val="002A7887"/>
    <w:rsid w:val="002A7FE7"/>
    <w:rsid w:val="002B0160"/>
    <w:rsid w:val="002B05F2"/>
    <w:rsid w:val="002B110E"/>
    <w:rsid w:val="002B1574"/>
    <w:rsid w:val="002B1733"/>
    <w:rsid w:val="002B212A"/>
    <w:rsid w:val="002B2352"/>
    <w:rsid w:val="002B254B"/>
    <w:rsid w:val="002B2737"/>
    <w:rsid w:val="002B28B6"/>
    <w:rsid w:val="002B2CCD"/>
    <w:rsid w:val="002B315C"/>
    <w:rsid w:val="002B3314"/>
    <w:rsid w:val="002B3363"/>
    <w:rsid w:val="002B3403"/>
    <w:rsid w:val="002B391B"/>
    <w:rsid w:val="002B3E34"/>
    <w:rsid w:val="002B3E7C"/>
    <w:rsid w:val="002B4610"/>
    <w:rsid w:val="002B4710"/>
    <w:rsid w:val="002B483E"/>
    <w:rsid w:val="002B4CD6"/>
    <w:rsid w:val="002B517C"/>
    <w:rsid w:val="002B54B2"/>
    <w:rsid w:val="002B5733"/>
    <w:rsid w:val="002B5CF4"/>
    <w:rsid w:val="002B6232"/>
    <w:rsid w:val="002B6AE7"/>
    <w:rsid w:val="002B7682"/>
    <w:rsid w:val="002B7A17"/>
    <w:rsid w:val="002C0482"/>
    <w:rsid w:val="002C0952"/>
    <w:rsid w:val="002C0BCB"/>
    <w:rsid w:val="002C0D9C"/>
    <w:rsid w:val="002C1377"/>
    <w:rsid w:val="002C1DC8"/>
    <w:rsid w:val="002C1FEF"/>
    <w:rsid w:val="002C26C5"/>
    <w:rsid w:val="002C28C5"/>
    <w:rsid w:val="002C2D6C"/>
    <w:rsid w:val="002C3079"/>
    <w:rsid w:val="002C414C"/>
    <w:rsid w:val="002C436A"/>
    <w:rsid w:val="002C4433"/>
    <w:rsid w:val="002C4D6E"/>
    <w:rsid w:val="002C5377"/>
    <w:rsid w:val="002C5582"/>
    <w:rsid w:val="002C585F"/>
    <w:rsid w:val="002C5BC4"/>
    <w:rsid w:val="002C6192"/>
    <w:rsid w:val="002C62E2"/>
    <w:rsid w:val="002C6AB6"/>
    <w:rsid w:val="002C6E74"/>
    <w:rsid w:val="002C7C06"/>
    <w:rsid w:val="002C7CB8"/>
    <w:rsid w:val="002D009B"/>
    <w:rsid w:val="002D018E"/>
    <w:rsid w:val="002D0822"/>
    <w:rsid w:val="002D120B"/>
    <w:rsid w:val="002D167E"/>
    <w:rsid w:val="002D181A"/>
    <w:rsid w:val="002D1823"/>
    <w:rsid w:val="002D2025"/>
    <w:rsid w:val="002D312E"/>
    <w:rsid w:val="002D3324"/>
    <w:rsid w:val="002D34CC"/>
    <w:rsid w:val="002D3B01"/>
    <w:rsid w:val="002D4984"/>
    <w:rsid w:val="002D4C3B"/>
    <w:rsid w:val="002D5CBA"/>
    <w:rsid w:val="002D6161"/>
    <w:rsid w:val="002D61D8"/>
    <w:rsid w:val="002D6289"/>
    <w:rsid w:val="002D701E"/>
    <w:rsid w:val="002D7C02"/>
    <w:rsid w:val="002E03D1"/>
    <w:rsid w:val="002E05DB"/>
    <w:rsid w:val="002E0A96"/>
    <w:rsid w:val="002E11D8"/>
    <w:rsid w:val="002E2882"/>
    <w:rsid w:val="002E290F"/>
    <w:rsid w:val="002E29C5"/>
    <w:rsid w:val="002E2DCE"/>
    <w:rsid w:val="002E474B"/>
    <w:rsid w:val="002E48D6"/>
    <w:rsid w:val="002E49D8"/>
    <w:rsid w:val="002E49E0"/>
    <w:rsid w:val="002E4BCE"/>
    <w:rsid w:val="002E4DA7"/>
    <w:rsid w:val="002E5667"/>
    <w:rsid w:val="002E5A1C"/>
    <w:rsid w:val="002E69B5"/>
    <w:rsid w:val="002E6DCD"/>
    <w:rsid w:val="002F0771"/>
    <w:rsid w:val="002F0FEF"/>
    <w:rsid w:val="002F11A8"/>
    <w:rsid w:val="002F16FB"/>
    <w:rsid w:val="002F1766"/>
    <w:rsid w:val="002F1FC6"/>
    <w:rsid w:val="002F2868"/>
    <w:rsid w:val="002F2978"/>
    <w:rsid w:val="002F2D3A"/>
    <w:rsid w:val="002F334F"/>
    <w:rsid w:val="002F391A"/>
    <w:rsid w:val="002F3A6E"/>
    <w:rsid w:val="002F423D"/>
    <w:rsid w:val="002F44E2"/>
    <w:rsid w:val="002F459B"/>
    <w:rsid w:val="002F45F8"/>
    <w:rsid w:val="002F4C0E"/>
    <w:rsid w:val="002F5146"/>
    <w:rsid w:val="002F55DB"/>
    <w:rsid w:val="002F5BC6"/>
    <w:rsid w:val="002F5D9B"/>
    <w:rsid w:val="002F6914"/>
    <w:rsid w:val="002F6A8A"/>
    <w:rsid w:val="002F71FA"/>
    <w:rsid w:val="002F76E1"/>
    <w:rsid w:val="002F795C"/>
    <w:rsid w:val="002F7AB2"/>
    <w:rsid w:val="003000C0"/>
    <w:rsid w:val="003010E9"/>
    <w:rsid w:val="00301196"/>
    <w:rsid w:val="00301428"/>
    <w:rsid w:val="00301C22"/>
    <w:rsid w:val="00301CA7"/>
    <w:rsid w:val="00301E78"/>
    <w:rsid w:val="0030241B"/>
    <w:rsid w:val="00302982"/>
    <w:rsid w:val="00303A9E"/>
    <w:rsid w:val="00303AF0"/>
    <w:rsid w:val="00303C09"/>
    <w:rsid w:val="00303D64"/>
    <w:rsid w:val="0030419F"/>
    <w:rsid w:val="0030452D"/>
    <w:rsid w:val="003053BA"/>
    <w:rsid w:val="003059FF"/>
    <w:rsid w:val="00305B1C"/>
    <w:rsid w:val="00305FE6"/>
    <w:rsid w:val="00306328"/>
    <w:rsid w:val="003065B9"/>
    <w:rsid w:val="00306B63"/>
    <w:rsid w:val="00306C83"/>
    <w:rsid w:val="00307226"/>
    <w:rsid w:val="00307237"/>
    <w:rsid w:val="0030788E"/>
    <w:rsid w:val="003078EB"/>
    <w:rsid w:val="00307EC5"/>
    <w:rsid w:val="003100FF"/>
    <w:rsid w:val="00310AD2"/>
    <w:rsid w:val="00310C53"/>
    <w:rsid w:val="0031285A"/>
    <w:rsid w:val="003129E5"/>
    <w:rsid w:val="00312C60"/>
    <w:rsid w:val="00312EFE"/>
    <w:rsid w:val="00313B56"/>
    <w:rsid w:val="00313D28"/>
    <w:rsid w:val="00315084"/>
    <w:rsid w:val="003154E8"/>
    <w:rsid w:val="00316005"/>
    <w:rsid w:val="003162D1"/>
    <w:rsid w:val="00316A32"/>
    <w:rsid w:val="00317ED1"/>
    <w:rsid w:val="0032029C"/>
    <w:rsid w:val="0032073E"/>
    <w:rsid w:val="0032080D"/>
    <w:rsid w:val="00320DA1"/>
    <w:rsid w:val="00320E4F"/>
    <w:rsid w:val="003218AA"/>
    <w:rsid w:val="00321D83"/>
    <w:rsid w:val="00321DAC"/>
    <w:rsid w:val="00322270"/>
    <w:rsid w:val="00322456"/>
    <w:rsid w:val="00322507"/>
    <w:rsid w:val="003229E0"/>
    <w:rsid w:val="00322AF5"/>
    <w:rsid w:val="0032309B"/>
    <w:rsid w:val="003234DA"/>
    <w:rsid w:val="00323AFD"/>
    <w:rsid w:val="00324032"/>
    <w:rsid w:val="00324540"/>
    <w:rsid w:val="0032571F"/>
    <w:rsid w:val="00325C78"/>
    <w:rsid w:val="003266C5"/>
    <w:rsid w:val="00327357"/>
    <w:rsid w:val="003275BC"/>
    <w:rsid w:val="00327609"/>
    <w:rsid w:val="00327943"/>
    <w:rsid w:val="00330249"/>
    <w:rsid w:val="00330607"/>
    <w:rsid w:val="003308D4"/>
    <w:rsid w:val="00331542"/>
    <w:rsid w:val="00331635"/>
    <w:rsid w:val="00332043"/>
    <w:rsid w:val="0033281E"/>
    <w:rsid w:val="00332C23"/>
    <w:rsid w:val="00332D14"/>
    <w:rsid w:val="0033369B"/>
    <w:rsid w:val="0033374F"/>
    <w:rsid w:val="003338AC"/>
    <w:rsid w:val="0033411B"/>
    <w:rsid w:val="0033455D"/>
    <w:rsid w:val="00334A80"/>
    <w:rsid w:val="00334FE7"/>
    <w:rsid w:val="00336674"/>
    <w:rsid w:val="00337975"/>
    <w:rsid w:val="00340188"/>
    <w:rsid w:val="0034037D"/>
    <w:rsid w:val="0034042B"/>
    <w:rsid w:val="0034054E"/>
    <w:rsid w:val="003405EE"/>
    <w:rsid w:val="00340602"/>
    <w:rsid w:val="00340BF8"/>
    <w:rsid w:val="00341059"/>
    <w:rsid w:val="003412F8"/>
    <w:rsid w:val="003415E1"/>
    <w:rsid w:val="00342CAD"/>
    <w:rsid w:val="00342FA1"/>
    <w:rsid w:val="00343006"/>
    <w:rsid w:val="00343214"/>
    <w:rsid w:val="003437A7"/>
    <w:rsid w:val="00343F31"/>
    <w:rsid w:val="0034505A"/>
    <w:rsid w:val="003450C3"/>
    <w:rsid w:val="00345374"/>
    <w:rsid w:val="003453B2"/>
    <w:rsid w:val="00346278"/>
    <w:rsid w:val="003468C1"/>
    <w:rsid w:val="00347924"/>
    <w:rsid w:val="00347E63"/>
    <w:rsid w:val="00350BE9"/>
    <w:rsid w:val="00350E58"/>
    <w:rsid w:val="00350F02"/>
    <w:rsid w:val="003511BF"/>
    <w:rsid w:val="0035170B"/>
    <w:rsid w:val="003517C9"/>
    <w:rsid w:val="00351F5F"/>
    <w:rsid w:val="003521BF"/>
    <w:rsid w:val="0035357F"/>
    <w:rsid w:val="00353598"/>
    <w:rsid w:val="00353864"/>
    <w:rsid w:val="00353913"/>
    <w:rsid w:val="00353E80"/>
    <w:rsid w:val="00354976"/>
    <w:rsid w:val="00354BE4"/>
    <w:rsid w:val="00354C97"/>
    <w:rsid w:val="0035502C"/>
    <w:rsid w:val="003551A1"/>
    <w:rsid w:val="0035536E"/>
    <w:rsid w:val="003569E0"/>
    <w:rsid w:val="00356D96"/>
    <w:rsid w:val="00356FFE"/>
    <w:rsid w:val="003576DF"/>
    <w:rsid w:val="003579BA"/>
    <w:rsid w:val="00360838"/>
    <w:rsid w:val="00360917"/>
    <w:rsid w:val="00361376"/>
    <w:rsid w:val="0036237C"/>
    <w:rsid w:val="0036250D"/>
    <w:rsid w:val="00362BA0"/>
    <w:rsid w:val="003636D0"/>
    <w:rsid w:val="00363A99"/>
    <w:rsid w:val="00363F76"/>
    <w:rsid w:val="0036409B"/>
    <w:rsid w:val="003644C1"/>
    <w:rsid w:val="00364A5A"/>
    <w:rsid w:val="00364F92"/>
    <w:rsid w:val="00365122"/>
    <w:rsid w:val="00365369"/>
    <w:rsid w:val="00365C6B"/>
    <w:rsid w:val="00365D0F"/>
    <w:rsid w:val="003667B6"/>
    <w:rsid w:val="00366E37"/>
    <w:rsid w:val="0036711E"/>
    <w:rsid w:val="00367362"/>
    <w:rsid w:val="00367484"/>
    <w:rsid w:val="0036785F"/>
    <w:rsid w:val="003708B4"/>
    <w:rsid w:val="00371084"/>
    <w:rsid w:val="0037168C"/>
    <w:rsid w:val="003718D2"/>
    <w:rsid w:val="00371C52"/>
    <w:rsid w:val="0037286D"/>
    <w:rsid w:val="00372FE5"/>
    <w:rsid w:val="003736C6"/>
    <w:rsid w:val="00373E96"/>
    <w:rsid w:val="00373FA0"/>
    <w:rsid w:val="003745E7"/>
    <w:rsid w:val="003749D5"/>
    <w:rsid w:val="00374CE6"/>
    <w:rsid w:val="00375391"/>
    <w:rsid w:val="003753AA"/>
    <w:rsid w:val="00375CB7"/>
    <w:rsid w:val="00375EFE"/>
    <w:rsid w:val="003764A8"/>
    <w:rsid w:val="0037694C"/>
    <w:rsid w:val="00376FE4"/>
    <w:rsid w:val="00377314"/>
    <w:rsid w:val="003775F1"/>
    <w:rsid w:val="00377BB9"/>
    <w:rsid w:val="00377F54"/>
    <w:rsid w:val="00380259"/>
    <w:rsid w:val="00380E4D"/>
    <w:rsid w:val="003817F6"/>
    <w:rsid w:val="003818C2"/>
    <w:rsid w:val="0038196E"/>
    <w:rsid w:val="003819EA"/>
    <w:rsid w:val="0038233A"/>
    <w:rsid w:val="0038286D"/>
    <w:rsid w:val="00382D51"/>
    <w:rsid w:val="00382EAE"/>
    <w:rsid w:val="003843D3"/>
    <w:rsid w:val="0038495B"/>
    <w:rsid w:val="00384CF3"/>
    <w:rsid w:val="00384DB7"/>
    <w:rsid w:val="00384ED4"/>
    <w:rsid w:val="00385395"/>
    <w:rsid w:val="00385455"/>
    <w:rsid w:val="0038584C"/>
    <w:rsid w:val="003868E4"/>
    <w:rsid w:val="00387FF5"/>
    <w:rsid w:val="003906BF"/>
    <w:rsid w:val="00390AB9"/>
    <w:rsid w:val="00390FB6"/>
    <w:rsid w:val="003911A4"/>
    <w:rsid w:val="00391377"/>
    <w:rsid w:val="003923B9"/>
    <w:rsid w:val="0039347A"/>
    <w:rsid w:val="00393C96"/>
    <w:rsid w:val="00393DDA"/>
    <w:rsid w:val="00394BA0"/>
    <w:rsid w:val="003954F2"/>
    <w:rsid w:val="003963E9"/>
    <w:rsid w:val="00396DDA"/>
    <w:rsid w:val="003973C3"/>
    <w:rsid w:val="0039741D"/>
    <w:rsid w:val="003978B5"/>
    <w:rsid w:val="003A11E6"/>
    <w:rsid w:val="003A13C4"/>
    <w:rsid w:val="003A1419"/>
    <w:rsid w:val="003A15B6"/>
    <w:rsid w:val="003A16D5"/>
    <w:rsid w:val="003A2208"/>
    <w:rsid w:val="003A27DB"/>
    <w:rsid w:val="003A31EC"/>
    <w:rsid w:val="003A34E1"/>
    <w:rsid w:val="003A3DC0"/>
    <w:rsid w:val="003A3F47"/>
    <w:rsid w:val="003A42BD"/>
    <w:rsid w:val="003A45FD"/>
    <w:rsid w:val="003A5856"/>
    <w:rsid w:val="003A5F08"/>
    <w:rsid w:val="003A5FDF"/>
    <w:rsid w:val="003A6095"/>
    <w:rsid w:val="003A67B9"/>
    <w:rsid w:val="003A69C9"/>
    <w:rsid w:val="003A6CD3"/>
    <w:rsid w:val="003A7206"/>
    <w:rsid w:val="003A73E7"/>
    <w:rsid w:val="003A7C59"/>
    <w:rsid w:val="003A7DC9"/>
    <w:rsid w:val="003B047E"/>
    <w:rsid w:val="003B0BC6"/>
    <w:rsid w:val="003B100A"/>
    <w:rsid w:val="003B172C"/>
    <w:rsid w:val="003B180C"/>
    <w:rsid w:val="003B1C11"/>
    <w:rsid w:val="003B2870"/>
    <w:rsid w:val="003B2C76"/>
    <w:rsid w:val="003B2D5A"/>
    <w:rsid w:val="003B305F"/>
    <w:rsid w:val="003B315A"/>
    <w:rsid w:val="003B327A"/>
    <w:rsid w:val="003B33B3"/>
    <w:rsid w:val="003B3607"/>
    <w:rsid w:val="003B370B"/>
    <w:rsid w:val="003B3977"/>
    <w:rsid w:val="003B3DD9"/>
    <w:rsid w:val="003B4546"/>
    <w:rsid w:val="003B4694"/>
    <w:rsid w:val="003B46F5"/>
    <w:rsid w:val="003B4BCA"/>
    <w:rsid w:val="003B4C76"/>
    <w:rsid w:val="003B550C"/>
    <w:rsid w:val="003B58EA"/>
    <w:rsid w:val="003B5E9A"/>
    <w:rsid w:val="003B5FF5"/>
    <w:rsid w:val="003B6610"/>
    <w:rsid w:val="003B67E0"/>
    <w:rsid w:val="003B684A"/>
    <w:rsid w:val="003B7200"/>
    <w:rsid w:val="003B73CE"/>
    <w:rsid w:val="003B76FD"/>
    <w:rsid w:val="003B7C99"/>
    <w:rsid w:val="003C0873"/>
    <w:rsid w:val="003C087F"/>
    <w:rsid w:val="003C14F3"/>
    <w:rsid w:val="003C152F"/>
    <w:rsid w:val="003C1658"/>
    <w:rsid w:val="003C1B54"/>
    <w:rsid w:val="003C1D09"/>
    <w:rsid w:val="003C220D"/>
    <w:rsid w:val="003C22BE"/>
    <w:rsid w:val="003C22D8"/>
    <w:rsid w:val="003C2E02"/>
    <w:rsid w:val="003C32EF"/>
    <w:rsid w:val="003C37FB"/>
    <w:rsid w:val="003C3895"/>
    <w:rsid w:val="003C3E13"/>
    <w:rsid w:val="003C4D1C"/>
    <w:rsid w:val="003C5736"/>
    <w:rsid w:val="003C624D"/>
    <w:rsid w:val="003C6261"/>
    <w:rsid w:val="003C6317"/>
    <w:rsid w:val="003C661E"/>
    <w:rsid w:val="003C69DA"/>
    <w:rsid w:val="003C7FDC"/>
    <w:rsid w:val="003D002C"/>
    <w:rsid w:val="003D04E0"/>
    <w:rsid w:val="003D0757"/>
    <w:rsid w:val="003D0EB6"/>
    <w:rsid w:val="003D0F32"/>
    <w:rsid w:val="003D0F44"/>
    <w:rsid w:val="003D0FF7"/>
    <w:rsid w:val="003D1602"/>
    <w:rsid w:val="003D1853"/>
    <w:rsid w:val="003D1C21"/>
    <w:rsid w:val="003D1EB5"/>
    <w:rsid w:val="003D280F"/>
    <w:rsid w:val="003D2A1C"/>
    <w:rsid w:val="003D2DEC"/>
    <w:rsid w:val="003D2E69"/>
    <w:rsid w:val="003D2EF2"/>
    <w:rsid w:val="003D382A"/>
    <w:rsid w:val="003D3A67"/>
    <w:rsid w:val="003D3E20"/>
    <w:rsid w:val="003D4074"/>
    <w:rsid w:val="003D4238"/>
    <w:rsid w:val="003D4EC4"/>
    <w:rsid w:val="003D571F"/>
    <w:rsid w:val="003D6947"/>
    <w:rsid w:val="003D6DF4"/>
    <w:rsid w:val="003D72D6"/>
    <w:rsid w:val="003D7571"/>
    <w:rsid w:val="003D7A71"/>
    <w:rsid w:val="003D7CA6"/>
    <w:rsid w:val="003E0408"/>
    <w:rsid w:val="003E0D94"/>
    <w:rsid w:val="003E13BF"/>
    <w:rsid w:val="003E1B1E"/>
    <w:rsid w:val="003E1D90"/>
    <w:rsid w:val="003E20F8"/>
    <w:rsid w:val="003E2469"/>
    <w:rsid w:val="003E2D0F"/>
    <w:rsid w:val="003E2D54"/>
    <w:rsid w:val="003E2DA8"/>
    <w:rsid w:val="003E39C4"/>
    <w:rsid w:val="003E3C6C"/>
    <w:rsid w:val="003E3DAD"/>
    <w:rsid w:val="003E4194"/>
    <w:rsid w:val="003E470F"/>
    <w:rsid w:val="003E5809"/>
    <w:rsid w:val="003E5C1E"/>
    <w:rsid w:val="003E632A"/>
    <w:rsid w:val="003E657E"/>
    <w:rsid w:val="003E65D1"/>
    <w:rsid w:val="003E665D"/>
    <w:rsid w:val="003E670C"/>
    <w:rsid w:val="003E79CC"/>
    <w:rsid w:val="003E7C28"/>
    <w:rsid w:val="003E7F91"/>
    <w:rsid w:val="003F01E2"/>
    <w:rsid w:val="003F0888"/>
    <w:rsid w:val="003F141E"/>
    <w:rsid w:val="003F1637"/>
    <w:rsid w:val="003F1972"/>
    <w:rsid w:val="003F25B3"/>
    <w:rsid w:val="003F3032"/>
    <w:rsid w:val="003F4374"/>
    <w:rsid w:val="003F43F3"/>
    <w:rsid w:val="003F4639"/>
    <w:rsid w:val="003F46DB"/>
    <w:rsid w:val="003F48DE"/>
    <w:rsid w:val="003F4D06"/>
    <w:rsid w:val="003F4FEA"/>
    <w:rsid w:val="0040028B"/>
    <w:rsid w:val="00400B58"/>
    <w:rsid w:val="00400EB1"/>
    <w:rsid w:val="00401274"/>
    <w:rsid w:val="00401F1C"/>
    <w:rsid w:val="00401F7F"/>
    <w:rsid w:val="00402A03"/>
    <w:rsid w:val="00402A7F"/>
    <w:rsid w:val="00402CE9"/>
    <w:rsid w:val="0040371E"/>
    <w:rsid w:val="00403D89"/>
    <w:rsid w:val="004040B7"/>
    <w:rsid w:val="00404A79"/>
    <w:rsid w:val="0040521B"/>
    <w:rsid w:val="004054C3"/>
    <w:rsid w:val="00405947"/>
    <w:rsid w:val="004061EC"/>
    <w:rsid w:val="0040634B"/>
    <w:rsid w:val="00406A41"/>
    <w:rsid w:val="00406C27"/>
    <w:rsid w:val="004078D9"/>
    <w:rsid w:val="00407F54"/>
    <w:rsid w:val="004107AB"/>
    <w:rsid w:val="0041119D"/>
    <w:rsid w:val="0041147B"/>
    <w:rsid w:val="004116E8"/>
    <w:rsid w:val="0041171B"/>
    <w:rsid w:val="0041176E"/>
    <w:rsid w:val="0041199C"/>
    <w:rsid w:val="00411D65"/>
    <w:rsid w:val="0041262B"/>
    <w:rsid w:val="00412632"/>
    <w:rsid w:val="0041284B"/>
    <w:rsid w:val="00412B0E"/>
    <w:rsid w:val="00413CAD"/>
    <w:rsid w:val="00414363"/>
    <w:rsid w:val="00414381"/>
    <w:rsid w:val="0041453C"/>
    <w:rsid w:val="00414A1A"/>
    <w:rsid w:val="00414BD1"/>
    <w:rsid w:val="00414E06"/>
    <w:rsid w:val="00415338"/>
    <w:rsid w:val="0041586F"/>
    <w:rsid w:val="00415E15"/>
    <w:rsid w:val="00416148"/>
    <w:rsid w:val="00416194"/>
    <w:rsid w:val="00416A84"/>
    <w:rsid w:val="00416C46"/>
    <w:rsid w:val="00416E1B"/>
    <w:rsid w:val="00417252"/>
    <w:rsid w:val="00417415"/>
    <w:rsid w:val="00417F46"/>
    <w:rsid w:val="0042004C"/>
    <w:rsid w:val="0042007B"/>
    <w:rsid w:val="0042139B"/>
    <w:rsid w:val="00421659"/>
    <w:rsid w:val="004216D9"/>
    <w:rsid w:val="00421F66"/>
    <w:rsid w:val="00422996"/>
    <w:rsid w:val="00422F4F"/>
    <w:rsid w:val="00423AF7"/>
    <w:rsid w:val="0042450E"/>
    <w:rsid w:val="00424CF4"/>
    <w:rsid w:val="00424ED9"/>
    <w:rsid w:val="004254AC"/>
    <w:rsid w:val="00425A43"/>
    <w:rsid w:val="00425EAE"/>
    <w:rsid w:val="00426242"/>
    <w:rsid w:val="004263A7"/>
    <w:rsid w:val="004263B4"/>
    <w:rsid w:val="00426E9B"/>
    <w:rsid w:val="00427077"/>
    <w:rsid w:val="004279B5"/>
    <w:rsid w:val="00427C0C"/>
    <w:rsid w:val="004304E3"/>
    <w:rsid w:val="00430A00"/>
    <w:rsid w:val="00430A37"/>
    <w:rsid w:val="004314A4"/>
    <w:rsid w:val="004314B3"/>
    <w:rsid w:val="00431927"/>
    <w:rsid w:val="00431B08"/>
    <w:rsid w:val="00431FB4"/>
    <w:rsid w:val="00432156"/>
    <w:rsid w:val="00432281"/>
    <w:rsid w:val="0043229E"/>
    <w:rsid w:val="004325C0"/>
    <w:rsid w:val="0043272C"/>
    <w:rsid w:val="00432A86"/>
    <w:rsid w:val="00432CB5"/>
    <w:rsid w:val="004336D6"/>
    <w:rsid w:val="00433819"/>
    <w:rsid w:val="00433A09"/>
    <w:rsid w:val="00433DBC"/>
    <w:rsid w:val="00434343"/>
    <w:rsid w:val="004352FF"/>
    <w:rsid w:val="0043545A"/>
    <w:rsid w:val="00435E49"/>
    <w:rsid w:val="00435E9F"/>
    <w:rsid w:val="00436B4D"/>
    <w:rsid w:val="00436B89"/>
    <w:rsid w:val="00436FAA"/>
    <w:rsid w:val="004370C6"/>
    <w:rsid w:val="004370EC"/>
    <w:rsid w:val="0043727C"/>
    <w:rsid w:val="004374AD"/>
    <w:rsid w:val="00437614"/>
    <w:rsid w:val="00437949"/>
    <w:rsid w:val="00437ADF"/>
    <w:rsid w:val="00437BCE"/>
    <w:rsid w:val="00437C99"/>
    <w:rsid w:val="00440222"/>
    <w:rsid w:val="00440262"/>
    <w:rsid w:val="00440487"/>
    <w:rsid w:val="0044152C"/>
    <w:rsid w:val="0044195A"/>
    <w:rsid w:val="00442844"/>
    <w:rsid w:val="004439D6"/>
    <w:rsid w:val="00443C29"/>
    <w:rsid w:val="004443EC"/>
    <w:rsid w:val="00445066"/>
    <w:rsid w:val="00445131"/>
    <w:rsid w:val="004455FB"/>
    <w:rsid w:val="004458CC"/>
    <w:rsid w:val="00445C1B"/>
    <w:rsid w:val="0044691A"/>
    <w:rsid w:val="00446A99"/>
    <w:rsid w:val="00446D15"/>
    <w:rsid w:val="004475C9"/>
    <w:rsid w:val="00447A2B"/>
    <w:rsid w:val="00447B78"/>
    <w:rsid w:val="00450672"/>
    <w:rsid w:val="00451FF7"/>
    <w:rsid w:val="004525A3"/>
    <w:rsid w:val="00452B41"/>
    <w:rsid w:val="00452DAC"/>
    <w:rsid w:val="00452EB2"/>
    <w:rsid w:val="0045347A"/>
    <w:rsid w:val="00453502"/>
    <w:rsid w:val="004536BF"/>
    <w:rsid w:val="00453DC4"/>
    <w:rsid w:val="0045449F"/>
    <w:rsid w:val="004545EA"/>
    <w:rsid w:val="0045481B"/>
    <w:rsid w:val="004548D0"/>
    <w:rsid w:val="00454AFD"/>
    <w:rsid w:val="00454C10"/>
    <w:rsid w:val="00454DB4"/>
    <w:rsid w:val="00456137"/>
    <w:rsid w:val="004563F8"/>
    <w:rsid w:val="00456403"/>
    <w:rsid w:val="0045656D"/>
    <w:rsid w:val="00456CEF"/>
    <w:rsid w:val="00456E06"/>
    <w:rsid w:val="00456E71"/>
    <w:rsid w:val="0045711F"/>
    <w:rsid w:val="00457587"/>
    <w:rsid w:val="00457C50"/>
    <w:rsid w:val="00457F25"/>
    <w:rsid w:val="00457FBC"/>
    <w:rsid w:val="004611D2"/>
    <w:rsid w:val="00461715"/>
    <w:rsid w:val="0046272A"/>
    <w:rsid w:val="00462C3C"/>
    <w:rsid w:val="00463711"/>
    <w:rsid w:val="00463EA5"/>
    <w:rsid w:val="00463FB9"/>
    <w:rsid w:val="0046459A"/>
    <w:rsid w:val="00464846"/>
    <w:rsid w:val="00464896"/>
    <w:rsid w:val="00464AA9"/>
    <w:rsid w:val="0046521E"/>
    <w:rsid w:val="004665E3"/>
    <w:rsid w:val="00466E5A"/>
    <w:rsid w:val="00467111"/>
    <w:rsid w:val="004672CB"/>
    <w:rsid w:val="004673D4"/>
    <w:rsid w:val="004676DF"/>
    <w:rsid w:val="00467BBB"/>
    <w:rsid w:val="00467F11"/>
    <w:rsid w:val="00470D57"/>
    <w:rsid w:val="00471607"/>
    <w:rsid w:val="00471E6A"/>
    <w:rsid w:val="004720DF"/>
    <w:rsid w:val="004726EF"/>
    <w:rsid w:val="004727C3"/>
    <w:rsid w:val="00472842"/>
    <w:rsid w:val="004728EA"/>
    <w:rsid w:val="004737A3"/>
    <w:rsid w:val="004739CB"/>
    <w:rsid w:val="00473A01"/>
    <w:rsid w:val="00473F9C"/>
    <w:rsid w:val="00473FA1"/>
    <w:rsid w:val="004740A7"/>
    <w:rsid w:val="00474182"/>
    <w:rsid w:val="004742D4"/>
    <w:rsid w:val="0047440D"/>
    <w:rsid w:val="0047442B"/>
    <w:rsid w:val="00474F1D"/>
    <w:rsid w:val="00475F84"/>
    <w:rsid w:val="00476173"/>
    <w:rsid w:val="00476183"/>
    <w:rsid w:val="00476D6C"/>
    <w:rsid w:val="00477267"/>
    <w:rsid w:val="00477331"/>
    <w:rsid w:val="00480073"/>
    <w:rsid w:val="004803C8"/>
    <w:rsid w:val="0048051C"/>
    <w:rsid w:val="004808AB"/>
    <w:rsid w:val="0048128E"/>
    <w:rsid w:val="00481396"/>
    <w:rsid w:val="00481499"/>
    <w:rsid w:val="004816DF"/>
    <w:rsid w:val="00481854"/>
    <w:rsid w:val="00481A40"/>
    <w:rsid w:val="00481E5C"/>
    <w:rsid w:val="0048290B"/>
    <w:rsid w:val="0048376C"/>
    <w:rsid w:val="00483910"/>
    <w:rsid w:val="00483DE4"/>
    <w:rsid w:val="0048481B"/>
    <w:rsid w:val="00484929"/>
    <w:rsid w:val="00484A26"/>
    <w:rsid w:val="00484A82"/>
    <w:rsid w:val="00484CEA"/>
    <w:rsid w:val="0048513E"/>
    <w:rsid w:val="00485255"/>
    <w:rsid w:val="00485321"/>
    <w:rsid w:val="00485EAA"/>
    <w:rsid w:val="00486147"/>
    <w:rsid w:val="00486914"/>
    <w:rsid w:val="0048759B"/>
    <w:rsid w:val="004875DB"/>
    <w:rsid w:val="004875E6"/>
    <w:rsid w:val="00487961"/>
    <w:rsid w:val="00487AA1"/>
    <w:rsid w:val="00487D8C"/>
    <w:rsid w:val="00487F54"/>
    <w:rsid w:val="00490461"/>
    <w:rsid w:val="0049068A"/>
    <w:rsid w:val="00490D2B"/>
    <w:rsid w:val="00490E45"/>
    <w:rsid w:val="00490F49"/>
    <w:rsid w:val="004922F9"/>
    <w:rsid w:val="004924E7"/>
    <w:rsid w:val="00492F8A"/>
    <w:rsid w:val="0049363A"/>
    <w:rsid w:val="004936A8"/>
    <w:rsid w:val="00493789"/>
    <w:rsid w:val="00493937"/>
    <w:rsid w:val="00493A0B"/>
    <w:rsid w:val="00493E41"/>
    <w:rsid w:val="00493F9B"/>
    <w:rsid w:val="004942B7"/>
    <w:rsid w:val="00494338"/>
    <w:rsid w:val="0049454F"/>
    <w:rsid w:val="00494727"/>
    <w:rsid w:val="00494AFD"/>
    <w:rsid w:val="00494EA8"/>
    <w:rsid w:val="0049528F"/>
    <w:rsid w:val="004956AC"/>
    <w:rsid w:val="00495CD2"/>
    <w:rsid w:val="0049628A"/>
    <w:rsid w:val="00496419"/>
    <w:rsid w:val="00496473"/>
    <w:rsid w:val="00496737"/>
    <w:rsid w:val="0049695E"/>
    <w:rsid w:val="004971EE"/>
    <w:rsid w:val="00497508"/>
    <w:rsid w:val="00497C44"/>
    <w:rsid w:val="00497E0A"/>
    <w:rsid w:val="00497F09"/>
    <w:rsid w:val="004A02F3"/>
    <w:rsid w:val="004A03BA"/>
    <w:rsid w:val="004A05B1"/>
    <w:rsid w:val="004A0691"/>
    <w:rsid w:val="004A133B"/>
    <w:rsid w:val="004A1349"/>
    <w:rsid w:val="004A14C8"/>
    <w:rsid w:val="004A1F99"/>
    <w:rsid w:val="004A275C"/>
    <w:rsid w:val="004A2961"/>
    <w:rsid w:val="004A2ABF"/>
    <w:rsid w:val="004A2DBD"/>
    <w:rsid w:val="004A2F4A"/>
    <w:rsid w:val="004A31BB"/>
    <w:rsid w:val="004A3217"/>
    <w:rsid w:val="004A416A"/>
    <w:rsid w:val="004A49B9"/>
    <w:rsid w:val="004A4C0B"/>
    <w:rsid w:val="004A50B8"/>
    <w:rsid w:val="004A5146"/>
    <w:rsid w:val="004A5372"/>
    <w:rsid w:val="004A57C5"/>
    <w:rsid w:val="004A5EA2"/>
    <w:rsid w:val="004A7581"/>
    <w:rsid w:val="004A7BDA"/>
    <w:rsid w:val="004A7C51"/>
    <w:rsid w:val="004B01B3"/>
    <w:rsid w:val="004B0658"/>
    <w:rsid w:val="004B0A28"/>
    <w:rsid w:val="004B1E4F"/>
    <w:rsid w:val="004B2214"/>
    <w:rsid w:val="004B2226"/>
    <w:rsid w:val="004B2B25"/>
    <w:rsid w:val="004B36DC"/>
    <w:rsid w:val="004B3922"/>
    <w:rsid w:val="004B4596"/>
    <w:rsid w:val="004B525D"/>
    <w:rsid w:val="004B542B"/>
    <w:rsid w:val="004B5558"/>
    <w:rsid w:val="004B5934"/>
    <w:rsid w:val="004B5A15"/>
    <w:rsid w:val="004B5CAC"/>
    <w:rsid w:val="004B5FF0"/>
    <w:rsid w:val="004B683F"/>
    <w:rsid w:val="004B6A2B"/>
    <w:rsid w:val="004B6C9F"/>
    <w:rsid w:val="004B6F26"/>
    <w:rsid w:val="004B71F1"/>
    <w:rsid w:val="004C0482"/>
    <w:rsid w:val="004C05CC"/>
    <w:rsid w:val="004C179A"/>
    <w:rsid w:val="004C1C00"/>
    <w:rsid w:val="004C1F45"/>
    <w:rsid w:val="004C2641"/>
    <w:rsid w:val="004C278F"/>
    <w:rsid w:val="004C2869"/>
    <w:rsid w:val="004C2C28"/>
    <w:rsid w:val="004C2D92"/>
    <w:rsid w:val="004C3495"/>
    <w:rsid w:val="004C3935"/>
    <w:rsid w:val="004C3C3F"/>
    <w:rsid w:val="004C424A"/>
    <w:rsid w:val="004C4726"/>
    <w:rsid w:val="004C47C4"/>
    <w:rsid w:val="004C4CC0"/>
    <w:rsid w:val="004C4EBE"/>
    <w:rsid w:val="004C5557"/>
    <w:rsid w:val="004C5EBD"/>
    <w:rsid w:val="004C61AE"/>
    <w:rsid w:val="004C6426"/>
    <w:rsid w:val="004C6D7D"/>
    <w:rsid w:val="004C727F"/>
    <w:rsid w:val="004C73C6"/>
    <w:rsid w:val="004C7485"/>
    <w:rsid w:val="004C76E1"/>
    <w:rsid w:val="004C78E3"/>
    <w:rsid w:val="004C7960"/>
    <w:rsid w:val="004D0463"/>
    <w:rsid w:val="004D0937"/>
    <w:rsid w:val="004D0945"/>
    <w:rsid w:val="004D0AE4"/>
    <w:rsid w:val="004D12D0"/>
    <w:rsid w:val="004D13CD"/>
    <w:rsid w:val="004D1788"/>
    <w:rsid w:val="004D1841"/>
    <w:rsid w:val="004D21D5"/>
    <w:rsid w:val="004D270E"/>
    <w:rsid w:val="004D280D"/>
    <w:rsid w:val="004D2F1D"/>
    <w:rsid w:val="004D3204"/>
    <w:rsid w:val="004D3545"/>
    <w:rsid w:val="004D36F9"/>
    <w:rsid w:val="004D3B92"/>
    <w:rsid w:val="004D3F44"/>
    <w:rsid w:val="004D4A80"/>
    <w:rsid w:val="004D4AB9"/>
    <w:rsid w:val="004D51AB"/>
    <w:rsid w:val="004D5266"/>
    <w:rsid w:val="004D5882"/>
    <w:rsid w:val="004D5BFB"/>
    <w:rsid w:val="004D5CD1"/>
    <w:rsid w:val="004D6084"/>
    <w:rsid w:val="004D62C3"/>
    <w:rsid w:val="004D6527"/>
    <w:rsid w:val="004D6A9C"/>
    <w:rsid w:val="004D6E26"/>
    <w:rsid w:val="004D7239"/>
    <w:rsid w:val="004D7835"/>
    <w:rsid w:val="004D79A8"/>
    <w:rsid w:val="004D79BD"/>
    <w:rsid w:val="004D7C0D"/>
    <w:rsid w:val="004E098E"/>
    <w:rsid w:val="004E1644"/>
    <w:rsid w:val="004E1772"/>
    <w:rsid w:val="004E1C96"/>
    <w:rsid w:val="004E21D3"/>
    <w:rsid w:val="004E225A"/>
    <w:rsid w:val="004E2A4D"/>
    <w:rsid w:val="004E2DBE"/>
    <w:rsid w:val="004E31EE"/>
    <w:rsid w:val="004E3514"/>
    <w:rsid w:val="004E3E03"/>
    <w:rsid w:val="004E458C"/>
    <w:rsid w:val="004E54CE"/>
    <w:rsid w:val="004E5F3C"/>
    <w:rsid w:val="004E6643"/>
    <w:rsid w:val="004E6683"/>
    <w:rsid w:val="004E733C"/>
    <w:rsid w:val="004E74B8"/>
    <w:rsid w:val="004E7CB8"/>
    <w:rsid w:val="004E7CC7"/>
    <w:rsid w:val="004F0A6E"/>
    <w:rsid w:val="004F140B"/>
    <w:rsid w:val="004F1DA2"/>
    <w:rsid w:val="004F2179"/>
    <w:rsid w:val="004F2659"/>
    <w:rsid w:val="004F2B18"/>
    <w:rsid w:val="004F33FE"/>
    <w:rsid w:val="004F3685"/>
    <w:rsid w:val="004F3E47"/>
    <w:rsid w:val="004F45A6"/>
    <w:rsid w:val="004F46AA"/>
    <w:rsid w:val="004F5537"/>
    <w:rsid w:val="004F567B"/>
    <w:rsid w:val="004F59FD"/>
    <w:rsid w:val="004F65CB"/>
    <w:rsid w:val="004F660E"/>
    <w:rsid w:val="004F682A"/>
    <w:rsid w:val="004F711C"/>
    <w:rsid w:val="004F74A6"/>
    <w:rsid w:val="004F7D92"/>
    <w:rsid w:val="005000D6"/>
    <w:rsid w:val="00500520"/>
    <w:rsid w:val="00500541"/>
    <w:rsid w:val="005010E9"/>
    <w:rsid w:val="00501308"/>
    <w:rsid w:val="0050130C"/>
    <w:rsid w:val="005014D0"/>
    <w:rsid w:val="005018F1"/>
    <w:rsid w:val="00501AAF"/>
    <w:rsid w:val="00501DFF"/>
    <w:rsid w:val="00501ED3"/>
    <w:rsid w:val="00502073"/>
    <w:rsid w:val="005020DC"/>
    <w:rsid w:val="0050246A"/>
    <w:rsid w:val="00502DF2"/>
    <w:rsid w:val="00502FA4"/>
    <w:rsid w:val="00503030"/>
    <w:rsid w:val="00503052"/>
    <w:rsid w:val="00503075"/>
    <w:rsid w:val="005032C5"/>
    <w:rsid w:val="00503322"/>
    <w:rsid w:val="00503A7F"/>
    <w:rsid w:val="0050523A"/>
    <w:rsid w:val="00505397"/>
    <w:rsid w:val="00505EA2"/>
    <w:rsid w:val="005064CE"/>
    <w:rsid w:val="005065AD"/>
    <w:rsid w:val="0050665E"/>
    <w:rsid w:val="005068AE"/>
    <w:rsid w:val="00506AA0"/>
    <w:rsid w:val="00506FA8"/>
    <w:rsid w:val="00507235"/>
    <w:rsid w:val="00507685"/>
    <w:rsid w:val="00507F35"/>
    <w:rsid w:val="00511AF0"/>
    <w:rsid w:val="005121AD"/>
    <w:rsid w:val="0051226D"/>
    <w:rsid w:val="0051237F"/>
    <w:rsid w:val="0051272D"/>
    <w:rsid w:val="00512905"/>
    <w:rsid w:val="00513123"/>
    <w:rsid w:val="00513208"/>
    <w:rsid w:val="00513650"/>
    <w:rsid w:val="0051367C"/>
    <w:rsid w:val="00513B81"/>
    <w:rsid w:val="00513DDC"/>
    <w:rsid w:val="00514039"/>
    <w:rsid w:val="00515058"/>
    <w:rsid w:val="005151D9"/>
    <w:rsid w:val="00515594"/>
    <w:rsid w:val="00515641"/>
    <w:rsid w:val="00516130"/>
    <w:rsid w:val="0051665B"/>
    <w:rsid w:val="00516C5A"/>
    <w:rsid w:val="00517AAC"/>
    <w:rsid w:val="00520584"/>
    <w:rsid w:val="00520F1A"/>
    <w:rsid w:val="0052125E"/>
    <w:rsid w:val="00521FC3"/>
    <w:rsid w:val="005220AB"/>
    <w:rsid w:val="0052228A"/>
    <w:rsid w:val="005227EB"/>
    <w:rsid w:val="00522AE7"/>
    <w:rsid w:val="00522BD4"/>
    <w:rsid w:val="0052312D"/>
    <w:rsid w:val="00523130"/>
    <w:rsid w:val="00523460"/>
    <w:rsid w:val="005244E2"/>
    <w:rsid w:val="00524A3E"/>
    <w:rsid w:val="00524BB1"/>
    <w:rsid w:val="00525B2E"/>
    <w:rsid w:val="00525E12"/>
    <w:rsid w:val="00525FD2"/>
    <w:rsid w:val="00526BB6"/>
    <w:rsid w:val="005270BE"/>
    <w:rsid w:val="00527135"/>
    <w:rsid w:val="00527397"/>
    <w:rsid w:val="00527AFE"/>
    <w:rsid w:val="00527EBE"/>
    <w:rsid w:val="00530009"/>
    <w:rsid w:val="00531C16"/>
    <w:rsid w:val="00531C1C"/>
    <w:rsid w:val="00531E51"/>
    <w:rsid w:val="0053263C"/>
    <w:rsid w:val="0053282F"/>
    <w:rsid w:val="00532877"/>
    <w:rsid w:val="00533172"/>
    <w:rsid w:val="005333B3"/>
    <w:rsid w:val="00533B96"/>
    <w:rsid w:val="00533FB5"/>
    <w:rsid w:val="00534002"/>
    <w:rsid w:val="0053412D"/>
    <w:rsid w:val="005341D7"/>
    <w:rsid w:val="005347E4"/>
    <w:rsid w:val="00534B98"/>
    <w:rsid w:val="00535038"/>
    <w:rsid w:val="0053506A"/>
    <w:rsid w:val="00535092"/>
    <w:rsid w:val="005354D0"/>
    <w:rsid w:val="005355CE"/>
    <w:rsid w:val="0053651C"/>
    <w:rsid w:val="0053667C"/>
    <w:rsid w:val="005366A9"/>
    <w:rsid w:val="00536A8E"/>
    <w:rsid w:val="00536BB9"/>
    <w:rsid w:val="00536E78"/>
    <w:rsid w:val="005376A4"/>
    <w:rsid w:val="00537876"/>
    <w:rsid w:val="00537974"/>
    <w:rsid w:val="005413AE"/>
    <w:rsid w:val="00541612"/>
    <w:rsid w:val="005419F7"/>
    <w:rsid w:val="00541DA6"/>
    <w:rsid w:val="0054264F"/>
    <w:rsid w:val="00542898"/>
    <w:rsid w:val="00542BCF"/>
    <w:rsid w:val="00542CB3"/>
    <w:rsid w:val="00543142"/>
    <w:rsid w:val="005433AA"/>
    <w:rsid w:val="00543466"/>
    <w:rsid w:val="00543CD0"/>
    <w:rsid w:val="00544214"/>
    <w:rsid w:val="0054422B"/>
    <w:rsid w:val="005445E3"/>
    <w:rsid w:val="00544A27"/>
    <w:rsid w:val="00545052"/>
    <w:rsid w:val="00545DA5"/>
    <w:rsid w:val="0054658A"/>
    <w:rsid w:val="00546E81"/>
    <w:rsid w:val="00547595"/>
    <w:rsid w:val="005500D1"/>
    <w:rsid w:val="00550495"/>
    <w:rsid w:val="00550B41"/>
    <w:rsid w:val="00551199"/>
    <w:rsid w:val="00551624"/>
    <w:rsid w:val="00551999"/>
    <w:rsid w:val="00551A83"/>
    <w:rsid w:val="00551BE5"/>
    <w:rsid w:val="00551FFA"/>
    <w:rsid w:val="00552129"/>
    <w:rsid w:val="005521AB"/>
    <w:rsid w:val="0055303A"/>
    <w:rsid w:val="0055333A"/>
    <w:rsid w:val="00553362"/>
    <w:rsid w:val="00553793"/>
    <w:rsid w:val="00554089"/>
    <w:rsid w:val="00554193"/>
    <w:rsid w:val="00554197"/>
    <w:rsid w:val="00554530"/>
    <w:rsid w:val="005549C3"/>
    <w:rsid w:val="00554FCB"/>
    <w:rsid w:val="00554FE4"/>
    <w:rsid w:val="005552EC"/>
    <w:rsid w:val="0055586E"/>
    <w:rsid w:val="0055589F"/>
    <w:rsid w:val="00555A52"/>
    <w:rsid w:val="00555AC9"/>
    <w:rsid w:val="0055628C"/>
    <w:rsid w:val="005562E9"/>
    <w:rsid w:val="00556E58"/>
    <w:rsid w:val="00556EAB"/>
    <w:rsid w:val="00557A35"/>
    <w:rsid w:val="00557A55"/>
    <w:rsid w:val="00560323"/>
    <w:rsid w:val="00560805"/>
    <w:rsid w:val="00560911"/>
    <w:rsid w:val="00560A2F"/>
    <w:rsid w:val="00560C68"/>
    <w:rsid w:val="00562017"/>
    <w:rsid w:val="005626AE"/>
    <w:rsid w:val="0056298F"/>
    <w:rsid w:val="005632FC"/>
    <w:rsid w:val="005635CD"/>
    <w:rsid w:val="00563A16"/>
    <w:rsid w:val="00563B96"/>
    <w:rsid w:val="00563F2E"/>
    <w:rsid w:val="005646B5"/>
    <w:rsid w:val="00564809"/>
    <w:rsid w:val="00564905"/>
    <w:rsid w:val="00564C3F"/>
    <w:rsid w:val="00564EF3"/>
    <w:rsid w:val="00565A75"/>
    <w:rsid w:val="00565D12"/>
    <w:rsid w:val="00565F6F"/>
    <w:rsid w:val="0056620A"/>
    <w:rsid w:val="00566AA3"/>
    <w:rsid w:val="00567FC7"/>
    <w:rsid w:val="00570085"/>
    <w:rsid w:val="005701C2"/>
    <w:rsid w:val="00570CF7"/>
    <w:rsid w:val="005713B8"/>
    <w:rsid w:val="00571765"/>
    <w:rsid w:val="005718C4"/>
    <w:rsid w:val="00571A5C"/>
    <w:rsid w:val="00571C1B"/>
    <w:rsid w:val="00572547"/>
    <w:rsid w:val="00572B11"/>
    <w:rsid w:val="0057376B"/>
    <w:rsid w:val="00573B31"/>
    <w:rsid w:val="00573BC9"/>
    <w:rsid w:val="00573E17"/>
    <w:rsid w:val="005741C3"/>
    <w:rsid w:val="005741EE"/>
    <w:rsid w:val="005743E5"/>
    <w:rsid w:val="0057483A"/>
    <w:rsid w:val="00574C28"/>
    <w:rsid w:val="0057581F"/>
    <w:rsid w:val="005768D1"/>
    <w:rsid w:val="00576C38"/>
    <w:rsid w:val="00576CEC"/>
    <w:rsid w:val="00576FD2"/>
    <w:rsid w:val="00577055"/>
    <w:rsid w:val="005770D5"/>
    <w:rsid w:val="0057791F"/>
    <w:rsid w:val="005802ED"/>
    <w:rsid w:val="00580529"/>
    <w:rsid w:val="0058075B"/>
    <w:rsid w:val="00580FB6"/>
    <w:rsid w:val="005816F8"/>
    <w:rsid w:val="00581BDE"/>
    <w:rsid w:val="00581E9F"/>
    <w:rsid w:val="00582096"/>
    <w:rsid w:val="005829BC"/>
    <w:rsid w:val="00582DC5"/>
    <w:rsid w:val="005830EE"/>
    <w:rsid w:val="00585C44"/>
    <w:rsid w:val="005862DE"/>
    <w:rsid w:val="00586543"/>
    <w:rsid w:val="005870AB"/>
    <w:rsid w:val="00587ACA"/>
    <w:rsid w:val="00587FA0"/>
    <w:rsid w:val="00590085"/>
    <w:rsid w:val="00590C48"/>
    <w:rsid w:val="00590E4A"/>
    <w:rsid w:val="00591373"/>
    <w:rsid w:val="005913DA"/>
    <w:rsid w:val="00591666"/>
    <w:rsid w:val="00591AFE"/>
    <w:rsid w:val="00591E05"/>
    <w:rsid w:val="00592272"/>
    <w:rsid w:val="005923BE"/>
    <w:rsid w:val="00592614"/>
    <w:rsid w:val="005927F9"/>
    <w:rsid w:val="00592EE6"/>
    <w:rsid w:val="00593041"/>
    <w:rsid w:val="00593815"/>
    <w:rsid w:val="005938BB"/>
    <w:rsid w:val="0059400A"/>
    <w:rsid w:val="005947B5"/>
    <w:rsid w:val="00594C7F"/>
    <w:rsid w:val="00594F43"/>
    <w:rsid w:val="0059578E"/>
    <w:rsid w:val="00595BE8"/>
    <w:rsid w:val="00595E66"/>
    <w:rsid w:val="00595FB1"/>
    <w:rsid w:val="0059632F"/>
    <w:rsid w:val="00596991"/>
    <w:rsid w:val="00596C40"/>
    <w:rsid w:val="00596D73"/>
    <w:rsid w:val="005974D1"/>
    <w:rsid w:val="0059766E"/>
    <w:rsid w:val="00597783"/>
    <w:rsid w:val="00597ADF"/>
    <w:rsid w:val="00597CAC"/>
    <w:rsid w:val="005A098D"/>
    <w:rsid w:val="005A0F4C"/>
    <w:rsid w:val="005A0FC0"/>
    <w:rsid w:val="005A139F"/>
    <w:rsid w:val="005A1970"/>
    <w:rsid w:val="005A1B88"/>
    <w:rsid w:val="005A2704"/>
    <w:rsid w:val="005A2B3D"/>
    <w:rsid w:val="005A3553"/>
    <w:rsid w:val="005A3B4A"/>
    <w:rsid w:val="005A4913"/>
    <w:rsid w:val="005A4E4E"/>
    <w:rsid w:val="005A4F3F"/>
    <w:rsid w:val="005A510F"/>
    <w:rsid w:val="005A5A91"/>
    <w:rsid w:val="005A6084"/>
    <w:rsid w:val="005A70A6"/>
    <w:rsid w:val="005A730A"/>
    <w:rsid w:val="005A7822"/>
    <w:rsid w:val="005A7827"/>
    <w:rsid w:val="005B0094"/>
    <w:rsid w:val="005B00BA"/>
    <w:rsid w:val="005B02D9"/>
    <w:rsid w:val="005B09C8"/>
    <w:rsid w:val="005B0D9E"/>
    <w:rsid w:val="005B184A"/>
    <w:rsid w:val="005B1EB7"/>
    <w:rsid w:val="005B2296"/>
    <w:rsid w:val="005B2A24"/>
    <w:rsid w:val="005B325E"/>
    <w:rsid w:val="005B3A2B"/>
    <w:rsid w:val="005B3E2D"/>
    <w:rsid w:val="005B403E"/>
    <w:rsid w:val="005B433B"/>
    <w:rsid w:val="005B46B6"/>
    <w:rsid w:val="005B543B"/>
    <w:rsid w:val="005B6279"/>
    <w:rsid w:val="005B694D"/>
    <w:rsid w:val="005C0084"/>
    <w:rsid w:val="005C05D0"/>
    <w:rsid w:val="005C09D5"/>
    <w:rsid w:val="005C0B2D"/>
    <w:rsid w:val="005C0D50"/>
    <w:rsid w:val="005C1064"/>
    <w:rsid w:val="005C1743"/>
    <w:rsid w:val="005C38FF"/>
    <w:rsid w:val="005C4A19"/>
    <w:rsid w:val="005C4DD4"/>
    <w:rsid w:val="005C627B"/>
    <w:rsid w:val="005C6722"/>
    <w:rsid w:val="005D0697"/>
    <w:rsid w:val="005D0B08"/>
    <w:rsid w:val="005D1F99"/>
    <w:rsid w:val="005D1FF9"/>
    <w:rsid w:val="005D2198"/>
    <w:rsid w:val="005D2584"/>
    <w:rsid w:val="005D2D2D"/>
    <w:rsid w:val="005D3650"/>
    <w:rsid w:val="005D3BDC"/>
    <w:rsid w:val="005D3F46"/>
    <w:rsid w:val="005D440F"/>
    <w:rsid w:val="005D470E"/>
    <w:rsid w:val="005D4DA8"/>
    <w:rsid w:val="005D5505"/>
    <w:rsid w:val="005D77C3"/>
    <w:rsid w:val="005E0943"/>
    <w:rsid w:val="005E0ECD"/>
    <w:rsid w:val="005E0FD7"/>
    <w:rsid w:val="005E1D1D"/>
    <w:rsid w:val="005E3085"/>
    <w:rsid w:val="005E33A7"/>
    <w:rsid w:val="005E4186"/>
    <w:rsid w:val="005E4845"/>
    <w:rsid w:val="005E48AE"/>
    <w:rsid w:val="005E4FD9"/>
    <w:rsid w:val="005E50FF"/>
    <w:rsid w:val="005E5A9F"/>
    <w:rsid w:val="005E5E11"/>
    <w:rsid w:val="005E5F84"/>
    <w:rsid w:val="005E618D"/>
    <w:rsid w:val="005E6446"/>
    <w:rsid w:val="005E6B85"/>
    <w:rsid w:val="005E71EF"/>
    <w:rsid w:val="005E726A"/>
    <w:rsid w:val="005E732C"/>
    <w:rsid w:val="005E75EF"/>
    <w:rsid w:val="005E76CF"/>
    <w:rsid w:val="005E7E34"/>
    <w:rsid w:val="005F0260"/>
    <w:rsid w:val="005F0C7A"/>
    <w:rsid w:val="005F0C91"/>
    <w:rsid w:val="005F0C92"/>
    <w:rsid w:val="005F0CDC"/>
    <w:rsid w:val="005F0D8F"/>
    <w:rsid w:val="005F11C5"/>
    <w:rsid w:val="005F13CB"/>
    <w:rsid w:val="005F17AA"/>
    <w:rsid w:val="005F1B64"/>
    <w:rsid w:val="005F1EB6"/>
    <w:rsid w:val="005F260C"/>
    <w:rsid w:val="005F2862"/>
    <w:rsid w:val="005F2D98"/>
    <w:rsid w:val="005F2E4B"/>
    <w:rsid w:val="005F2E75"/>
    <w:rsid w:val="005F3BB9"/>
    <w:rsid w:val="005F3FA6"/>
    <w:rsid w:val="005F43FC"/>
    <w:rsid w:val="005F489F"/>
    <w:rsid w:val="005F5113"/>
    <w:rsid w:val="005F5163"/>
    <w:rsid w:val="005F5899"/>
    <w:rsid w:val="005F5C53"/>
    <w:rsid w:val="005F624B"/>
    <w:rsid w:val="005F63F8"/>
    <w:rsid w:val="005F6539"/>
    <w:rsid w:val="005F6C49"/>
    <w:rsid w:val="005F6D6C"/>
    <w:rsid w:val="005F7338"/>
    <w:rsid w:val="005F73D9"/>
    <w:rsid w:val="005F7612"/>
    <w:rsid w:val="005F765E"/>
    <w:rsid w:val="005F7BEE"/>
    <w:rsid w:val="0060035B"/>
    <w:rsid w:val="00600AAE"/>
    <w:rsid w:val="00600FEE"/>
    <w:rsid w:val="0060106A"/>
    <w:rsid w:val="0060167F"/>
    <w:rsid w:val="00601765"/>
    <w:rsid w:val="006017E1"/>
    <w:rsid w:val="00601859"/>
    <w:rsid w:val="00601D43"/>
    <w:rsid w:val="006025E2"/>
    <w:rsid w:val="00602CBB"/>
    <w:rsid w:val="0060331B"/>
    <w:rsid w:val="0060333F"/>
    <w:rsid w:val="00603734"/>
    <w:rsid w:val="00603804"/>
    <w:rsid w:val="00603AE4"/>
    <w:rsid w:val="00603BD6"/>
    <w:rsid w:val="00603F55"/>
    <w:rsid w:val="006042C5"/>
    <w:rsid w:val="00604329"/>
    <w:rsid w:val="006045F6"/>
    <w:rsid w:val="00604881"/>
    <w:rsid w:val="00604ABB"/>
    <w:rsid w:val="00604BB4"/>
    <w:rsid w:val="006050BD"/>
    <w:rsid w:val="00605611"/>
    <w:rsid w:val="00605830"/>
    <w:rsid w:val="00605ACA"/>
    <w:rsid w:val="00605CC2"/>
    <w:rsid w:val="00606804"/>
    <w:rsid w:val="00606ADD"/>
    <w:rsid w:val="00606D58"/>
    <w:rsid w:val="00607502"/>
    <w:rsid w:val="00607F1E"/>
    <w:rsid w:val="006107A4"/>
    <w:rsid w:val="00610CEE"/>
    <w:rsid w:val="006116CA"/>
    <w:rsid w:val="00611AC3"/>
    <w:rsid w:val="00611BF2"/>
    <w:rsid w:val="00611DFC"/>
    <w:rsid w:val="006128C0"/>
    <w:rsid w:val="00612979"/>
    <w:rsid w:val="00613250"/>
    <w:rsid w:val="0061437D"/>
    <w:rsid w:val="006146BE"/>
    <w:rsid w:val="00614762"/>
    <w:rsid w:val="00614906"/>
    <w:rsid w:val="00614B83"/>
    <w:rsid w:val="00614D1F"/>
    <w:rsid w:val="0061546B"/>
    <w:rsid w:val="006155AC"/>
    <w:rsid w:val="00615696"/>
    <w:rsid w:val="006159D8"/>
    <w:rsid w:val="00615A9A"/>
    <w:rsid w:val="00615E64"/>
    <w:rsid w:val="00615F02"/>
    <w:rsid w:val="006162AA"/>
    <w:rsid w:val="00617541"/>
    <w:rsid w:val="0061770E"/>
    <w:rsid w:val="006177CE"/>
    <w:rsid w:val="00617D66"/>
    <w:rsid w:val="0062067B"/>
    <w:rsid w:val="00620FEF"/>
    <w:rsid w:val="0062198A"/>
    <w:rsid w:val="00622186"/>
    <w:rsid w:val="0062252C"/>
    <w:rsid w:val="00622597"/>
    <w:rsid w:val="00622BC0"/>
    <w:rsid w:val="006230DC"/>
    <w:rsid w:val="006232D1"/>
    <w:rsid w:val="0062411C"/>
    <w:rsid w:val="00624859"/>
    <w:rsid w:val="006249ED"/>
    <w:rsid w:val="00624A1B"/>
    <w:rsid w:val="00624DF0"/>
    <w:rsid w:val="00624E71"/>
    <w:rsid w:val="00625363"/>
    <w:rsid w:val="00625E6D"/>
    <w:rsid w:val="00626257"/>
    <w:rsid w:val="00626AA9"/>
    <w:rsid w:val="00626B38"/>
    <w:rsid w:val="006271C5"/>
    <w:rsid w:val="00627695"/>
    <w:rsid w:val="00627D39"/>
    <w:rsid w:val="006301F5"/>
    <w:rsid w:val="00630396"/>
    <w:rsid w:val="006303B0"/>
    <w:rsid w:val="00630D20"/>
    <w:rsid w:val="00631277"/>
    <w:rsid w:val="00631C21"/>
    <w:rsid w:val="00631ECD"/>
    <w:rsid w:val="006320FD"/>
    <w:rsid w:val="006322D8"/>
    <w:rsid w:val="00632625"/>
    <w:rsid w:val="006329A2"/>
    <w:rsid w:val="00632CA2"/>
    <w:rsid w:val="00632E71"/>
    <w:rsid w:val="0063334C"/>
    <w:rsid w:val="00633825"/>
    <w:rsid w:val="00633897"/>
    <w:rsid w:val="0063495F"/>
    <w:rsid w:val="00634D56"/>
    <w:rsid w:val="00636430"/>
    <w:rsid w:val="00636432"/>
    <w:rsid w:val="00636469"/>
    <w:rsid w:val="0063697A"/>
    <w:rsid w:val="00636B39"/>
    <w:rsid w:val="00636C2A"/>
    <w:rsid w:val="00637531"/>
    <w:rsid w:val="00637EC3"/>
    <w:rsid w:val="006403CA"/>
    <w:rsid w:val="006407DE"/>
    <w:rsid w:val="00640D89"/>
    <w:rsid w:val="0064206E"/>
    <w:rsid w:val="0064214B"/>
    <w:rsid w:val="00642909"/>
    <w:rsid w:val="00642ADC"/>
    <w:rsid w:val="0064307A"/>
    <w:rsid w:val="0064465E"/>
    <w:rsid w:val="006447B2"/>
    <w:rsid w:val="00644886"/>
    <w:rsid w:val="00644EFC"/>
    <w:rsid w:val="00645016"/>
    <w:rsid w:val="006451DF"/>
    <w:rsid w:val="0064553E"/>
    <w:rsid w:val="00645956"/>
    <w:rsid w:val="00645D1F"/>
    <w:rsid w:val="00646343"/>
    <w:rsid w:val="006478C9"/>
    <w:rsid w:val="00647B2D"/>
    <w:rsid w:val="00647F70"/>
    <w:rsid w:val="0065053B"/>
    <w:rsid w:val="00650CF8"/>
    <w:rsid w:val="006523D6"/>
    <w:rsid w:val="00652AB8"/>
    <w:rsid w:val="00652FD9"/>
    <w:rsid w:val="006540BA"/>
    <w:rsid w:val="0065494F"/>
    <w:rsid w:val="00654A7A"/>
    <w:rsid w:val="00654B55"/>
    <w:rsid w:val="00654C1A"/>
    <w:rsid w:val="00654ED2"/>
    <w:rsid w:val="006550C7"/>
    <w:rsid w:val="00655743"/>
    <w:rsid w:val="00655879"/>
    <w:rsid w:val="006558BB"/>
    <w:rsid w:val="006564B3"/>
    <w:rsid w:val="0065651C"/>
    <w:rsid w:val="00656573"/>
    <w:rsid w:val="006572D6"/>
    <w:rsid w:val="00657340"/>
    <w:rsid w:val="006573B1"/>
    <w:rsid w:val="00657984"/>
    <w:rsid w:val="00657E3F"/>
    <w:rsid w:val="006604CC"/>
    <w:rsid w:val="006610D5"/>
    <w:rsid w:val="00661831"/>
    <w:rsid w:val="00661AB0"/>
    <w:rsid w:val="00661CD3"/>
    <w:rsid w:val="0066209A"/>
    <w:rsid w:val="00662D4A"/>
    <w:rsid w:val="00662F99"/>
    <w:rsid w:val="0066338F"/>
    <w:rsid w:val="0066344A"/>
    <w:rsid w:val="00664407"/>
    <w:rsid w:val="0066499D"/>
    <w:rsid w:val="006649A6"/>
    <w:rsid w:val="006650E1"/>
    <w:rsid w:val="0066519B"/>
    <w:rsid w:val="00665EFC"/>
    <w:rsid w:val="00666712"/>
    <w:rsid w:val="00666D3C"/>
    <w:rsid w:val="006674D1"/>
    <w:rsid w:val="0067010F"/>
    <w:rsid w:val="006705C3"/>
    <w:rsid w:val="0067082B"/>
    <w:rsid w:val="00670A78"/>
    <w:rsid w:val="00670EB8"/>
    <w:rsid w:val="00671528"/>
    <w:rsid w:val="006719DE"/>
    <w:rsid w:val="00671C7E"/>
    <w:rsid w:val="00671DAB"/>
    <w:rsid w:val="006723C0"/>
    <w:rsid w:val="006726D0"/>
    <w:rsid w:val="0067296F"/>
    <w:rsid w:val="00672B20"/>
    <w:rsid w:val="00672DFD"/>
    <w:rsid w:val="00672F01"/>
    <w:rsid w:val="00672F74"/>
    <w:rsid w:val="0067377D"/>
    <w:rsid w:val="00673877"/>
    <w:rsid w:val="00673B42"/>
    <w:rsid w:val="00673D5F"/>
    <w:rsid w:val="006747AE"/>
    <w:rsid w:val="006747EF"/>
    <w:rsid w:val="00674EAA"/>
    <w:rsid w:val="006757E8"/>
    <w:rsid w:val="00675D95"/>
    <w:rsid w:val="00677077"/>
    <w:rsid w:val="0067718A"/>
    <w:rsid w:val="0067729D"/>
    <w:rsid w:val="00677315"/>
    <w:rsid w:val="0067777F"/>
    <w:rsid w:val="00677AF1"/>
    <w:rsid w:val="00677EC3"/>
    <w:rsid w:val="00680B3B"/>
    <w:rsid w:val="00680C8A"/>
    <w:rsid w:val="00680C99"/>
    <w:rsid w:val="00681206"/>
    <w:rsid w:val="006815CE"/>
    <w:rsid w:val="00681981"/>
    <w:rsid w:val="0068223A"/>
    <w:rsid w:val="0068245D"/>
    <w:rsid w:val="00682705"/>
    <w:rsid w:val="00682830"/>
    <w:rsid w:val="006832F8"/>
    <w:rsid w:val="00683A5A"/>
    <w:rsid w:val="00683EB5"/>
    <w:rsid w:val="00683F48"/>
    <w:rsid w:val="00683F9E"/>
    <w:rsid w:val="0068403A"/>
    <w:rsid w:val="006845A4"/>
    <w:rsid w:val="00684AD1"/>
    <w:rsid w:val="006854A4"/>
    <w:rsid w:val="006855C7"/>
    <w:rsid w:val="0068567D"/>
    <w:rsid w:val="00685721"/>
    <w:rsid w:val="00685BA5"/>
    <w:rsid w:val="00685FB2"/>
    <w:rsid w:val="00686084"/>
    <w:rsid w:val="00686B95"/>
    <w:rsid w:val="00686E0A"/>
    <w:rsid w:val="00687529"/>
    <w:rsid w:val="00690063"/>
    <w:rsid w:val="006902EE"/>
    <w:rsid w:val="0069099F"/>
    <w:rsid w:val="00690B38"/>
    <w:rsid w:val="006910B7"/>
    <w:rsid w:val="006910F6"/>
    <w:rsid w:val="00691326"/>
    <w:rsid w:val="006941D9"/>
    <w:rsid w:val="00694EEF"/>
    <w:rsid w:val="0069522C"/>
    <w:rsid w:val="00695604"/>
    <w:rsid w:val="00695890"/>
    <w:rsid w:val="00695BB1"/>
    <w:rsid w:val="00695E5C"/>
    <w:rsid w:val="00696A18"/>
    <w:rsid w:val="006974E7"/>
    <w:rsid w:val="0069789F"/>
    <w:rsid w:val="00697A94"/>
    <w:rsid w:val="00697C19"/>
    <w:rsid w:val="00697FF2"/>
    <w:rsid w:val="006A057F"/>
    <w:rsid w:val="006A0690"/>
    <w:rsid w:val="006A0ABD"/>
    <w:rsid w:val="006A0EE2"/>
    <w:rsid w:val="006A1BDD"/>
    <w:rsid w:val="006A1E1C"/>
    <w:rsid w:val="006A2B12"/>
    <w:rsid w:val="006A2BCD"/>
    <w:rsid w:val="006A3471"/>
    <w:rsid w:val="006A361E"/>
    <w:rsid w:val="006A368E"/>
    <w:rsid w:val="006A36A7"/>
    <w:rsid w:val="006A36E2"/>
    <w:rsid w:val="006A41B7"/>
    <w:rsid w:val="006A4CF7"/>
    <w:rsid w:val="006A5556"/>
    <w:rsid w:val="006A57C6"/>
    <w:rsid w:val="006A5A42"/>
    <w:rsid w:val="006A5B03"/>
    <w:rsid w:val="006A694B"/>
    <w:rsid w:val="006A6B80"/>
    <w:rsid w:val="006A7962"/>
    <w:rsid w:val="006A7C07"/>
    <w:rsid w:val="006A7D1F"/>
    <w:rsid w:val="006A7E8D"/>
    <w:rsid w:val="006B02EC"/>
    <w:rsid w:val="006B0424"/>
    <w:rsid w:val="006B064A"/>
    <w:rsid w:val="006B0C14"/>
    <w:rsid w:val="006B0DC2"/>
    <w:rsid w:val="006B10F5"/>
    <w:rsid w:val="006B1231"/>
    <w:rsid w:val="006B1368"/>
    <w:rsid w:val="006B1927"/>
    <w:rsid w:val="006B24C8"/>
    <w:rsid w:val="006B286E"/>
    <w:rsid w:val="006B2C0F"/>
    <w:rsid w:val="006B3285"/>
    <w:rsid w:val="006B33BB"/>
    <w:rsid w:val="006B347A"/>
    <w:rsid w:val="006B3806"/>
    <w:rsid w:val="006B3A9D"/>
    <w:rsid w:val="006B4114"/>
    <w:rsid w:val="006B417F"/>
    <w:rsid w:val="006B4233"/>
    <w:rsid w:val="006B4509"/>
    <w:rsid w:val="006B4931"/>
    <w:rsid w:val="006B5117"/>
    <w:rsid w:val="006B52B5"/>
    <w:rsid w:val="006B5330"/>
    <w:rsid w:val="006B5543"/>
    <w:rsid w:val="006B5C5C"/>
    <w:rsid w:val="006B6144"/>
    <w:rsid w:val="006B6BBC"/>
    <w:rsid w:val="006B6E17"/>
    <w:rsid w:val="006B6F88"/>
    <w:rsid w:val="006B76BF"/>
    <w:rsid w:val="006B79A3"/>
    <w:rsid w:val="006C04A1"/>
    <w:rsid w:val="006C0902"/>
    <w:rsid w:val="006C091A"/>
    <w:rsid w:val="006C1252"/>
    <w:rsid w:val="006C1944"/>
    <w:rsid w:val="006C1A4F"/>
    <w:rsid w:val="006C1EB9"/>
    <w:rsid w:val="006C207C"/>
    <w:rsid w:val="006C3982"/>
    <w:rsid w:val="006C3C23"/>
    <w:rsid w:val="006C419C"/>
    <w:rsid w:val="006C449F"/>
    <w:rsid w:val="006C46CB"/>
    <w:rsid w:val="006C4BC0"/>
    <w:rsid w:val="006C4C23"/>
    <w:rsid w:val="006C4C8F"/>
    <w:rsid w:val="006C4D94"/>
    <w:rsid w:val="006C502D"/>
    <w:rsid w:val="006C52A7"/>
    <w:rsid w:val="006C55F5"/>
    <w:rsid w:val="006C58C3"/>
    <w:rsid w:val="006C5A1F"/>
    <w:rsid w:val="006C5E57"/>
    <w:rsid w:val="006C61E6"/>
    <w:rsid w:val="006C64F9"/>
    <w:rsid w:val="006C684E"/>
    <w:rsid w:val="006C6966"/>
    <w:rsid w:val="006C6A9A"/>
    <w:rsid w:val="006C7508"/>
    <w:rsid w:val="006C7FB2"/>
    <w:rsid w:val="006D0076"/>
    <w:rsid w:val="006D00B9"/>
    <w:rsid w:val="006D011E"/>
    <w:rsid w:val="006D069E"/>
    <w:rsid w:val="006D094B"/>
    <w:rsid w:val="006D1C1C"/>
    <w:rsid w:val="006D1DAF"/>
    <w:rsid w:val="006D2AA7"/>
    <w:rsid w:val="006D3031"/>
    <w:rsid w:val="006D3A12"/>
    <w:rsid w:val="006D41FF"/>
    <w:rsid w:val="006D489F"/>
    <w:rsid w:val="006D4D6C"/>
    <w:rsid w:val="006D5616"/>
    <w:rsid w:val="006D5ED1"/>
    <w:rsid w:val="006D5F99"/>
    <w:rsid w:val="006D6426"/>
    <w:rsid w:val="006D6658"/>
    <w:rsid w:val="006D6699"/>
    <w:rsid w:val="006D6BA1"/>
    <w:rsid w:val="006D6DBE"/>
    <w:rsid w:val="006D6E7E"/>
    <w:rsid w:val="006D6F68"/>
    <w:rsid w:val="006D78FF"/>
    <w:rsid w:val="006E019A"/>
    <w:rsid w:val="006E03FF"/>
    <w:rsid w:val="006E0597"/>
    <w:rsid w:val="006E0C21"/>
    <w:rsid w:val="006E10EF"/>
    <w:rsid w:val="006E1C52"/>
    <w:rsid w:val="006E237B"/>
    <w:rsid w:val="006E26A3"/>
    <w:rsid w:val="006E2706"/>
    <w:rsid w:val="006E282A"/>
    <w:rsid w:val="006E2AE8"/>
    <w:rsid w:val="006E3832"/>
    <w:rsid w:val="006E399C"/>
    <w:rsid w:val="006E3C47"/>
    <w:rsid w:val="006E42B5"/>
    <w:rsid w:val="006E4813"/>
    <w:rsid w:val="006E4B8A"/>
    <w:rsid w:val="006E5437"/>
    <w:rsid w:val="006E5458"/>
    <w:rsid w:val="006E6594"/>
    <w:rsid w:val="006E65FA"/>
    <w:rsid w:val="006E6BA6"/>
    <w:rsid w:val="006E6C0F"/>
    <w:rsid w:val="006E6C75"/>
    <w:rsid w:val="006E6F93"/>
    <w:rsid w:val="006E7098"/>
    <w:rsid w:val="006E7400"/>
    <w:rsid w:val="006E75BD"/>
    <w:rsid w:val="006E795B"/>
    <w:rsid w:val="006F061A"/>
    <w:rsid w:val="006F07B2"/>
    <w:rsid w:val="006F0A84"/>
    <w:rsid w:val="006F0D3E"/>
    <w:rsid w:val="006F1137"/>
    <w:rsid w:val="006F1962"/>
    <w:rsid w:val="006F1C4D"/>
    <w:rsid w:val="006F1C52"/>
    <w:rsid w:val="006F1D0D"/>
    <w:rsid w:val="006F2629"/>
    <w:rsid w:val="006F2985"/>
    <w:rsid w:val="006F3304"/>
    <w:rsid w:val="006F3449"/>
    <w:rsid w:val="006F3623"/>
    <w:rsid w:val="006F39B7"/>
    <w:rsid w:val="006F6E2B"/>
    <w:rsid w:val="006F6E8C"/>
    <w:rsid w:val="006F718F"/>
    <w:rsid w:val="006F7990"/>
    <w:rsid w:val="006F7CA1"/>
    <w:rsid w:val="007006D4"/>
    <w:rsid w:val="00700A85"/>
    <w:rsid w:val="00700B46"/>
    <w:rsid w:val="007019BC"/>
    <w:rsid w:val="00701DAA"/>
    <w:rsid w:val="00701E78"/>
    <w:rsid w:val="007023C4"/>
    <w:rsid w:val="0070266C"/>
    <w:rsid w:val="00703572"/>
    <w:rsid w:val="00703916"/>
    <w:rsid w:val="00703B40"/>
    <w:rsid w:val="0070402D"/>
    <w:rsid w:val="00704305"/>
    <w:rsid w:val="00704441"/>
    <w:rsid w:val="007044B7"/>
    <w:rsid w:val="00705025"/>
    <w:rsid w:val="00705167"/>
    <w:rsid w:val="00706185"/>
    <w:rsid w:val="0070756F"/>
    <w:rsid w:val="00707A3A"/>
    <w:rsid w:val="00707B03"/>
    <w:rsid w:val="0071022A"/>
    <w:rsid w:val="00710398"/>
    <w:rsid w:val="0071043E"/>
    <w:rsid w:val="00710B16"/>
    <w:rsid w:val="007112A4"/>
    <w:rsid w:val="00711409"/>
    <w:rsid w:val="007116B5"/>
    <w:rsid w:val="00711CA1"/>
    <w:rsid w:val="00712126"/>
    <w:rsid w:val="0071292C"/>
    <w:rsid w:val="00712CBD"/>
    <w:rsid w:val="0071330B"/>
    <w:rsid w:val="007134D2"/>
    <w:rsid w:val="00713AD1"/>
    <w:rsid w:val="00714CB0"/>
    <w:rsid w:val="00714EC1"/>
    <w:rsid w:val="00714F2A"/>
    <w:rsid w:val="00715E90"/>
    <w:rsid w:val="007160E8"/>
    <w:rsid w:val="00716499"/>
    <w:rsid w:val="00717013"/>
    <w:rsid w:val="007178A2"/>
    <w:rsid w:val="00717B81"/>
    <w:rsid w:val="007200DD"/>
    <w:rsid w:val="007202AB"/>
    <w:rsid w:val="00721220"/>
    <w:rsid w:val="00721749"/>
    <w:rsid w:val="00721B3E"/>
    <w:rsid w:val="00721E5E"/>
    <w:rsid w:val="00721ED8"/>
    <w:rsid w:val="00722099"/>
    <w:rsid w:val="00722B71"/>
    <w:rsid w:val="00722C68"/>
    <w:rsid w:val="00723120"/>
    <w:rsid w:val="0072343D"/>
    <w:rsid w:val="0072375D"/>
    <w:rsid w:val="0072379B"/>
    <w:rsid w:val="00723B08"/>
    <w:rsid w:val="00723B0F"/>
    <w:rsid w:val="00724108"/>
    <w:rsid w:val="0072430E"/>
    <w:rsid w:val="00724599"/>
    <w:rsid w:val="00724C55"/>
    <w:rsid w:val="00724E58"/>
    <w:rsid w:val="00725037"/>
    <w:rsid w:val="00725068"/>
    <w:rsid w:val="00725483"/>
    <w:rsid w:val="0072558B"/>
    <w:rsid w:val="007255CF"/>
    <w:rsid w:val="00726135"/>
    <w:rsid w:val="0072623A"/>
    <w:rsid w:val="00726395"/>
    <w:rsid w:val="00726B99"/>
    <w:rsid w:val="00726D31"/>
    <w:rsid w:val="00726EF0"/>
    <w:rsid w:val="00727E72"/>
    <w:rsid w:val="00730109"/>
    <w:rsid w:val="00730C05"/>
    <w:rsid w:val="00730C5C"/>
    <w:rsid w:val="00731441"/>
    <w:rsid w:val="00731AFB"/>
    <w:rsid w:val="00731C3B"/>
    <w:rsid w:val="00732546"/>
    <w:rsid w:val="00732D22"/>
    <w:rsid w:val="00732FBB"/>
    <w:rsid w:val="00732FDA"/>
    <w:rsid w:val="007335BE"/>
    <w:rsid w:val="007337F2"/>
    <w:rsid w:val="007339AC"/>
    <w:rsid w:val="007339F7"/>
    <w:rsid w:val="00733A4A"/>
    <w:rsid w:val="00734BCE"/>
    <w:rsid w:val="00734DBC"/>
    <w:rsid w:val="007350C3"/>
    <w:rsid w:val="007350D2"/>
    <w:rsid w:val="00735438"/>
    <w:rsid w:val="0073599F"/>
    <w:rsid w:val="00735A07"/>
    <w:rsid w:val="00735F26"/>
    <w:rsid w:val="0073722F"/>
    <w:rsid w:val="00737378"/>
    <w:rsid w:val="007377A4"/>
    <w:rsid w:val="0073785E"/>
    <w:rsid w:val="00737968"/>
    <w:rsid w:val="007400C2"/>
    <w:rsid w:val="007404B9"/>
    <w:rsid w:val="00740C42"/>
    <w:rsid w:val="00740F0F"/>
    <w:rsid w:val="007410C6"/>
    <w:rsid w:val="00741449"/>
    <w:rsid w:val="007417C8"/>
    <w:rsid w:val="007418A8"/>
    <w:rsid w:val="007419C8"/>
    <w:rsid w:val="00742368"/>
    <w:rsid w:val="00742DD7"/>
    <w:rsid w:val="00743628"/>
    <w:rsid w:val="007437BA"/>
    <w:rsid w:val="00743CE3"/>
    <w:rsid w:val="00743D9A"/>
    <w:rsid w:val="00743DB5"/>
    <w:rsid w:val="00743F26"/>
    <w:rsid w:val="00744B64"/>
    <w:rsid w:val="00744C13"/>
    <w:rsid w:val="00744ED0"/>
    <w:rsid w:val="00744F31"/>
    <w:rsid w:val="00746F46"/>
    <w:rsid w:val="007477D0"/>
    <w:rsid w:val="00750078"/>
    <w:rsid w:val="00750852"/>
    <w:rsid w:val="007508A8"/>
    <w:rsid w:val="00751119"/>
    <w:rsid w:val="00751922"/>
    <w:rsid w:val="00752713"/>
    <w:rsid w:val="00752D49"/>
    <w:rsid w:val="00752E9C"/>
    <w:rsid w:val="00753B02"/>
    <w:rsid w:val="007540D0"/>
    <w:rsid w:val="00754C21"/>
    <w:rsid w:val="00754C23"/>
    <w:rsid w:val="00755D6F"/>
    <w:rsid w:val="007561DB"/>
    <w:rsid w:val="0075688B"/>
    <w:rsid w:val="00756D92"/>
    <w:rsid w:val="00757328"/>
    <w:rsid w:val="0075734A"/>
    <w:rsid w:val="007578D7"/>
    <w:rsid w:val="00757C70"/>
    <w:rsid w:val="007600E2"/>
    <w:rsid w:val="007600EE"/>
    <w:rsid w:val="00761184"/>
    <w:rsid w:val="00761418"/>
    <w:rsid w:val="007618DE"/>
    <w:rsid w:val="007619FD"/>
    <w:rsid w:val="00761B05"/>
    <w:rsid w:val="00762783"/>
    <w:rsid w:val="00762C09"/>
    <w:rsid w:val="00762D38"/>
    <w:rsid w:val="00763594"/>
    <w:rsid w:val="00763597"/>
    <w:rsid w:val="00763EB9"/>
    <w:rsid w:val="0076438F"/>
    <w:rsid w:val="007643BE"/>
    <w:rsid w:val="0076540E"/>
    <w:rsid w:val="00765721"/>
    <w:rsid w:val="007657B2"/>
    <w:rsid w:val="00765B9C"/>
    <w:rsid w:val="00766491"/>
    <w:rsid w:val="00766691"/>
    <w:rsid w:val="00766EEB"/>
    <w:rsid w:val="007671C6"/>
    <w:rsid w:val="007674FF"/>
    <w:rsid w:val="00767C29"/>
    <w:rsid w:val="007715BE"/>
    <w:rsid w:val="00771C8A"/>
    <w:rsid w:val="00771ED0"/>
    <w:rsid w:val="00772A48"/>
    <w:rsid w:val="007730A7"/>
    <w:rsid w:val="0077386F"/>
    <w:rsid w:val="007747D2"/>
    <w:rsid w:val="0077487D"/>
    <w:rsid w:val="00774C8C"/>
    <w:rsid w:val="00774E6C"/>
    <w:rsid w:val="00775084"/>
    <w:rsid w:val="007750EF"/>
    <w:rsid w:val="00775639"/>
    <w:rsid w:val="00775D4C"/>
    <w:rsid w:val="00775D6A"/>
    <w:rsid w:val="00775FC2"/>
    <w:rsid w:val="00776884"/>
    <w:rsid w:val="00776C8F"/>
    <w:rsid w:val="0077729B"/>
    <w:rsid w:val="00777AC2"/>
    <w:rsid w:val="00777FE7"/>
    <w:rsid w:val="0078072C"/>
    <w:rsid w:val="00781235"/>
    <w:rsid w:val="007813C8"/>
    <w:rsid w:val="00781B92"/>
    <w:rsid w:val="007833D2"/>
    <w:rsid w:val="0078343F"/>
    <w:rsid w:val="00783641"/>
    <w:rsid w:val="007836C1"/>
    <w:rsid w:val="00783765"/>
    <w:rsid w:val="00783D39"/>
    <w:rsid w:val="00784932"/>
    <w:rsid w:val="00784AA1"/>
    <w:rsid w:val="00784BB3"/>
    <w:rsid w:val="00784FE1"/>
    <w:rsid w:val="00785CBC"/>
    <w:rsid w:val="00785E18"/>
    <w:rsid w:val="00785E38"/>
    <w:rsid w:val="0078602D"/>
    <w:rsid w:val="0078608A"/>
    <w:rsid w:val="00786120"/>
    <w:rsid w:val="007861BF"/>
    <w:rsid w:val="00787D6D"/>
    <w:rsid w:val="0079012A"/>
    <w:rsid w:val="0079013C"/>
    <w:rsid w:val="00790489"/>
    <w:rsid w:val="00790EA6"/>
    <w:rsid w:val="0079159A"/>
    <w:rsid w:val="00791AAF"/>
    <w:rsid w:val="0079208B"/>
    <w:rsid w:val="00792390"/>
    <w:rsid w:val="00792430"/>
    <w:rsid w:val="007925F9"/>
    <w:rsid w:val="0079275C"/>
    <w:rsid w:val="00792C6C"/>
    <w:rsid w:val="007935DC"/>
    <w:rsid w:val="00793AA0"/>
    <w:rsid w:val="00793E09"/>
    <w:rsid w:val="00794144"/>
    <w:rsid w:val="0079477F"/>
    <w:rsid w:val="00794E24"/>
    <w:rsid w:val="00795C40"/>
    <w:rsid w:val="00795E68"/>
    <w:rsid w:val="007969C4"/>
    <w:rsid w:val="007970D4"/>
    <w:rsid w:val="007975F4"/>
    <w:rsid w:val="007979A6"/>
    <w:rsid w:val="007A047B"/>
    <w:rsid w:val="007A056A"/>
    <w:rsid w:val="007A0FA0"/>
    <w:rsid w:val="007A1C01"/>
    <w:rsid w:val="007A1D51"/>
    <w:rsid w:val="007A2041"/>
    <w:rsid w:val="007A23E3"/>
    <w:rsid w:val="007A26AF"/>
    <w:rsid w:val="007A2E90"/>
    <w:rsid w:val="007A2EB7"/>
    <w:rsid w:val="007A35FC"/>
    <w:rsid w:val="007A3960"/>
    <w:rsid w:val="007A3980"/>
    <w:rsid w:val="007A3ADB"/>
    <w:rsid w:val="007A3C62"/>
    <w:rsid w:val="007A4464"/>
    <w:rsid w:val="007A475D"/>
    <w:rsid w:val="007A49F0"/>
    <w:rsid w:val="007A5077"/>
    <w:rsid w:val="007A517D"/>
    <w:rsid w:val="007A53B7"/>
    <w:rsid w:val="007A584C"/>
    <w:rsid w:val="007A5949"/>
    <w:rsid w:val="007A6080"/>
    <w:rsid w:val="007A62EB"/>
    <w:rsid w:val="007A666D"/>
    <w:rsid w:val="007A66F1"/>
    <w:rsid w:val="007A6BF9"/>
    <w:rsid w:val="007A77A9"/>
    <w:rsid w:val="007A784B"/>
    <w:rsid w:val="007A78F1"/>
    <w:rsid w:val="007A7B98"/>
    <w:rsid w:val="007B0050"/>
    <w:rsid w:val="007B0BE7"/>
    <w:rsid w:val="007B0CDC"/>
    <w:rsid w:val="007B13B2"/>
    <w:rsid w:val="007B15BA"/>
    <w:rsid w:val="007B1737"/>
    <w:rsid w:val="007B1A2B"/>
    <w:rsid w:val="007B1A5A"/>
    <w:rsid w:val="007B2D2F"/>
    <w:rsid w:val="007B2F15"/>
    <w:rsid w:val="007B3030"/>
    <w:rsid w:val="007B3541"/>
    <w:rsid w:val="007B3631"/>
    <w:rsid w:val="007B3637"/>
    <w:rsid w:val="007B3BD2"/>
    <w:rsid w:val="007B3DCC"/>
    <w:rsid w:val="007B43E2"/>
    <w:rsid w:val="007B599F"/>
    <w:rsid w:val="007B6823"/>
    <w:rsid w:val="007B6A23"/>
    <w:rsid w:val="007B6AD0"/>
    <w:rsid w:val="007B723C"/>
    <w:rsid w:val="007B7273"/>
    <w:rsid w:val="007B75E6"/>
    <w:rsid w:val="007B7D86"/>
    <w:rsid w:val="007C074F"/>
    <w:rsid w:val="007C127B"/>
    <w:rsid w:val="007C12AC"/>
    <w:rsid w:val="007C13EA"/>
    <w:rsid w:val="007C16EA"/>
    <w:rsid w:val="007C18E5"/>
    <w:rsid w:val="007C1B72"/>
    <w:rsid w:val="007C219C"/>
    <w:rsid w:val="007C2BD9"/>
    <w:rsid w:val="007C49CB"/>
    <w:rsid w:val="007C4B82"/>
    <w:rsid w:val="007C51B5"/>
    <w:rsid w:val="007C525D"/>
    <w:rsid w:val="007C5578"/>
    <w:rsid w:val="007C5D8F"/>
    <w:rsid w:val="007C5DED"/>
    <w:rsid w:val="007C5E73"/>
    <w:rsid w:val="007C6872"/>
    <w:rsid w:val="007C6B1F"/>
    <w:rsid w:val="007C6C37"/>
    <w:rsid w:val="007C6F15"/>
    <w:rsid w:val="007C70CA"/>
    <w:rsid w:val="007D00DA"/>
    <w:rsid w:val="007D02D6"/>
    <w:rsid w:val="007D0B16"/>
    <w:rsid w:val="007D0EA3"/>
    <w:rsid w:val="007D10B7"/>
    <w:rsid w:val="007D1519"/>
    <w:rsid w:val="007D3742"/>
    <w:rsid w:val="007D3C1F"/>
    <w:rsid w:val="007D4140"/>
    <w:rsid w:val="007D4B94"/>
    <w:rsid w:val="007D4E28"/>
    <w:rsid w:val="007D5192"/>
    <w:rsid w:val="007D52CE"/>
    <w:rsid w:val="007D5331"/>
    <w:rsid w:val="007D5CFC"/>
    <w:rsid w:val="007D732E"/>
    <w:rsid w:val="007E0278"/>
    <w:rsid w:val="007E04FF"/>
    <w:rsid w:val="007E0800"/>
    <w:rsid w:val="007E0946"/>
    <w:rsid w:val="007E110F"/>
    <w:rsid w:val="007E1391"/>
    <w:rsid w:val="007E152C"/>
    <w:rsid w:val="007E20D4"/>
    <w:rsid w:val="007E211E"/>
    <w:rsid w:val="007E2CBD"/>
    <w:rsid w:val="007E2F65"/>
    <w:rsid w:val="007E3069"/>
    <w:rsid w:val="007E38B7"/>
    <w:rsid w:val="007E3BFC"/>
    <w:rsid w:val="007E3E30"/>
    <w:rsid w:val="007E4287"/>
    <w:rsid w:val="007E4475"/>
    <w:rsid w:val="007E4594"/>
    <w:rsid w:val="007E4DCB"/>
    <w:rsid w:val="007E57CC"/>
    <w:rsid w:val="007E5910"/>
    <w:rsid w:val="007E5E08"/>
    <w:rsid w:val="007E5F4E"/>
    <w:rsid w:val="007E6015"/>
    <w:rsid w:val="007E6630"/>
    <w:rsid w:val="007E6836"/>
    <w:rsid w:val="007E697A"/>
    <w:rsid w:val="007E6EF9"/>
    <w:rsid w:val="007F07D7"/>
    <w:rsid w:val="007F1181"/>
    <w:rsid w:val="007F1A4E"/>
    <w:rsid w:val="007F1F3F"/>
    <w:rsid w:val="007F1F97"/>
    <w:rsid w:val="007F2BF9"/>
    <w:rsid w:val="007F3097"/>
    <w:rsid w:val="007F3C43"/>
    <w:rsid w:val="007F40CC"/>
    <w:rsid w:val="007F43B1"/>
    <w:rsid w:val="007F43BB"/>
    <w:rsid w:val="007F4642"/>
    <w:rsid w:val="007F47FC"/>
    <w:rsid w:val="007F4C1D"/>
    <w:rsid w:val="007F4D43"/>
    <w:rsid w:val="007F4EB7"/>
    <w:rsid w:val="007F56FA"/>
    <w:rsid w:val="007F5877"/>
    <w:rsid w:val="007F5931"/>
    <w:rsid w:val="007F6828"/>
    <w:rsid w:val="007F6AD0"/>
    <w:rsid w:val="007F709C"/>
    <w:rsid w:val="007F7737"/>
    <w:rsid w:val="007F7E75"/>
    <w:rsid w:val="008001DC"/>
    <w:rsid w:val="00800926"/>
    <w:rsid w:val="00800CC5"/>
    <w:rsid w:val="00800E21"/>
    <w:rsid w:val="0080219B"/>
    <w:rsid w:val="0080230B"/>
    <w:rsid w:val="008023F2"/>
    <w:rsid w:val="00802639"/>
    <w:rsid w:val="0080277C"/>
    <w:rsid w:val="00803A1D"/>
    <w:rsid w:val="00803A43"/>
    <w:rsid w:val="0080458E"/>
    <w:rsid w:val="00804F48"/>
    <w:rsid w:val="0080563D"/>
    <w:rsid w:val="00805B83"/>
    <w:rsid w:val="00805FBF"/>
    <w:rsid w:val="008060AA"/>
    <w:rsid w:val="00807976"/>
    <w:rsid w:val="00807C97"/>
    <w:rsid w:val="00807E8B"/>
    <w:rsid w:val="00810502"/>
    <w:rsid w:val="00810654"/>
    <w:rsid w:val="00811607"/>
    <w:rsid w:val="008117FF"/>
    <w:rsid w:val="00811B2A"/>
    <w:rsid w:val="00811F5D"/>
    <w:rsid w:val="008122C4"/>
    <w:rsid w:val="00812552"/>
    <w:rsid w:val="00812B6E"/>
    <w:rsid w:val="008135D9"/>
    <w:rsid w:val="00813C20"/>
    <w:rsid w:val="0081494D"/>
    <w:rsid w:val="00814992"/>
    <w:rsid w:val="008149CF"/>
    <w:rsid w:val="00815353"/>
    <w:rsid w:val="00815657"/>
    <w:rsid w:val="008168CA"/>
    <w:rsid w:val="00816F6E"/>
    <w:rsid w:val="008172AF"/>
    <w:rsid w:val="00817F1F"/>
    <w:rsid w:val="00820256"/>
    <w:rsid w:val="008207B9"/>
    <w:rsid w:val="00820857"/>
    <w:rsid w:val="0082099E"/>
    <w:rsid w:val="00820C97"/>
    <w:rsid w:val="00820CC2"/>
    <w:rsid w:val="00821A64"/>
    <w:rsid w:val="00821AD3"/>
    <w:rsid w:val="0082229C"/>
    <w:rsid w:val="0082239E"/>
    <w:rsid w:val="00822539"/>
    <w:rsid w:val="008228C0"/>
    <w:rsid w:val="008231B2"/>
    <w:rsid w:val="008236F9"/>
    <w:rsid w:val="00824066"/>
    <w:rsid w:val="008245BE"/>
    <w:rsid w:val="008247BF"/>
    <w:rsid w:val="00824EDC"/>
    <w:rsid w:val="00824EFA"/>
    <w:rsid w:val="008252CB"/>
    <w:rsid w:val="008255FE"/>
    <w:rsid w:val="00825680"/>
    <w:rsid w:val="00825CD7"/>
    <w:rsid w:val="008263CB"/>
    <w:rsid w:val="00826833"/>
    <w:rsid w:val="00826EE2"/>
    <w:rsid w:val="008276D7"/>
    <w:rsid w:val="008300C4"/>
    <w:rsid w:val="00830A5D"/>
    <w:rsid w:val="00830C81"/>
    <w:rsid w:val="008313E0"/>
    <w:rsid w:val="0083159E"/>
    <w:rsid w:val="008317BF"/>
    <w:rsid w:val="00832172"/>
    <w:rsid w:val="00832534"/>
    <w:rsid w:val="008326AD"/>
    <w:rsid w:val="008326E2"/>
    <w:rsid w:val="00832938"/>
    <w:rsid w:val="008329D0"/>
    <w:rsid w:val="008335DE"/>
    <w:rsid w:val="00833985"/>
    <w:rsid w:val="00833CD2"/>
    <w:rsid w:val="00834B19"/>
    <w:rsid w:val="00834B5C"/>
    <w:rsid w:val="00834E5D"/>
    <w:rsid w:val="0083566D"/>
    <w:rsid w:val="00835982"/>
    <w:rsid w:val="008359D1"/>
    <w:rsid w:val="00836120"/>
    <w:rsid w:val="00837C8F"/>
    <w:rsid w:val="0084033A"/>
    <w:rsid w:val="00840A3C"/>
    <w:rsid w:val="00840F8D"/>
    <w:rsid w:val="00841390"/>
    <w:rsid w:val="00842383"/>
    <w:rsid w:val="008423FA"/>
    <w:rsid w:val="008428E2"/>
    <w:rsid w:val="00842AC8"/>
    <w:rsid w:val="00842B18"/>
    <w:rsid w:val="00842B62"/>
    <w:rsid w:val="00842B63"/>
    <w:rsid w:val="00842C9F"/>
    <w:rsid w:val="00842EC4"/>
    <w:rsid w:val="00843366"/>
    <w:rsid w:val="00843C2F"/>
    <w:rsid w:val="00844452"/>
    <w:rsid w:val="00844888"/>
    <w:rsid w:val="00844B2D"/>
    <w:rsid w:val="00844E17"/>
    <w:rsid w:val="0084549C"/>
    <w:rsid w:val="00845643"/>
    <w:rsid w:val="00845826"/>
    <w:rsid w:val="00846F2C"/>
    <w:rsid w:val="00847432"/>
    <w:rsid w:val="00847E7A"/>
    <w:rsid w:val="00850612"/>
    <w:rsid w:val="008521D6"/>
    <w:rsid w:val="008522BC"/>
    <w:rsid w:val="00852D9B"/>
    <w:rsid w:val="00853695"/>
    <w:rsid w:val="008538FD"/>
    <w:rsid w:val="0085448E"/>
    <w:rsid w:val="00854B7B"/>
    <w:rsid w:val="0085545C"/>
    <w:rsid w:val="0085557B"/>
    <w:rsid w:val="00855D00"/>
    <w:rsid w:val="00857ED1"/>
    <w:rsid w:val="00857F1A"/>
    <w:rsid w:val="00857F78"/>
    <w:rsid w:val="00860469"/>
    <w:rsid w:val="008607D2"/>
    <w:rsid w:val="00860A3E"/>
    <w:rsid w:val="00860E1A"/>
    <w:rsid w:val="00861571"/>
    <w:rsid w:val="008620F7"/>
    <w:rsid w:val="00862D55"/>
    <w:rsid w:val="00862F23"/>
    <w:rsid w:val="00863EAE"/>
    <w:rsid w:val="00864454"/>
    <w:rsid w:val="008646AD"/>
    <w:rsid w:val="008646E3"/>
    <w:rsid w:val="00864796"/>
    <w:rsid w:val="00864B05"/>
    <w:rsid w:val="00864C0D"/>
    <w:rsid w:val="00864C2A"/>
    <w:rsid w:val="00864EF3"/>
    <w:rsid w:val="00864F38"/>
    <w:rsid w:val="008652D0"/>
    <w:rsid w:val="00865BC1"/>
    <w:rsid w:val="00865D1F"/>
    <w:rsid w:val="0086663A"/>
    <w:rsid w:val="008667F8"/>
    <w:rsid w:val="00866D05"/>
    <w:rsid w:val="0086700D"/>
    <w:rsid w:val="008672B4"/>
    <w:rsid w:val="0086748C"/>
    <w:rsid w:val="00867746"/>
    <w:rsid w:val="00867829"/>
    <w:rsid w:val="00867F10"/>
    <w:rsid w:val="00870547"/>
    <w:rsid w:val="008713E6"/>
    <w:rsid w:val="00872494"/>
    <w:rsid w:val="00872F9B"/>
    <w:rsid w:val="008738A5"/>
    <w:rsid w:val="00873BB1"/>
    <w:rsid w:val="00873DCD"/>
    <w:rsid w:val="00873DEF"/>
    <w:rsid w:val="00874480"/>
    <w:rsid w:val="00874909"/>
    <w:rsid w:val="00874D93"/>
    <w:rsid w:val="00874ED7"/>
    <w:rsid w:val="0087516C"/>
    <w:rsid w:val="008752C1"/>
    <w:rsid w:val="0087679A"/>
    <w:rsid w:val="00877794"/>
    <w:rsid w:val="00877ABE"/>
    <w:rsid w:val="00880943"/>
    <w:rsid w:val="00880B20"/>
    <w:rsid w:val="00880D08"/>
    <w:rsid w:val="00881580"/>
    <w:rsid w:val="00881815"/>
    <w:rsid w:val="00881BC6"/>
    <w:rsid w:val="00881CEF"/>
    <w:rsid w:val="00881E70"/>
    <w:rsid w:val="00882264"/>
    <w:rsid w:val="00882F55"/>
    <w:rsid w:val="008838DF"/>
    <w:rsid w:val="00883C62"/>
    <w:rsid w:val="0088416B"/>
    <w:rsid w:val="00884609"/>
    <w:rsid w:val="008846D0"/>
    <w:rsid w:val="00885396"/>
    <w:rsid w:val="008854B0"/>
    <w:rsid w:val="008854B8"/>
    <w:rsid w:val="00885564"/>
    <w:rsid w:val="00886246"/>
    <w:rsid w:val="00886545"/>
    <w:rsid w:val="00886561"/>
    <w:rsid w:val="008866D1"/>
    <w:rsid w:val="00886ABF"/>
    <w:rsid w:val="00887C70"/>
    <w:rsid w:val="00887E7E"/>
    <w:rsid w:val="00890654"/>
    <w:rsid w:val="00890860"/>
    <w:rsid w:val="008911FB"/>
    <w:rsid w:val="0089140C"/>
    <w:rsid w:val="00891A85"/>
    <w:rsid w:val="00892806"/>
    <w:rsid w:val="0089293C"/>
    <w:rsid w:val="00892A94"/>
    <w:rsid w:val="00893175"/>
    <w:rsid w:val="0089318B"/>
    <w:rsid w:val="008932D2"/>
    <w:rsid w:val="008938F3"/>
    <w:rsid w:val="008948AA"/>
    <w:rsid w:val="00894AA9"/>
    <w:rsid w:val="00894AD0"/>
    <w:rsid w:val="00894EA4"/>
    <w:rsid w:val="0089533D"/>
    <w:rsid w:val="00895C65"/>
    <w:rsid w:val="008962A4"/>
    <w:rsid w:val="008965B3"/>
    <w:rsid w:val="00896C73"/>
    <w:rsid w:val="008972C7"/>
    <w:rsid w:val="00897641"/>
    <w:rsid w:val="008977B3"/>
    <w:rsid w:val="008A0540"/>
    <w:rsid w:val="008A0734"/>
    <w:rsid w:val="008A0940"/>
    <w:rsid w:val="008A0B9C"/>
    <w:rsid w:val="008A0CC5"/>
    <w:rsid w:val="008A17B0"/>
    <w:rsid w:val="008A1E23"/>
    <w:rsid w:val="008A1F4E"/>
    <w:rsid w:val="008A2504"/>
    <w:rsid w:val="008A2FF5"/>
    <w:rsid w:val="008A317C"/>
    <w:rsid w:val="008A369E"/>
    <w:rsid w:val="008A4A95"/>
    <w:rsid w:val="008A4D27"/>
    <w:rsid w:val="008A4DF1"/>
    <w:rsid w:val="008A65B6"/>
    <w:rsid w:val="008A693F"/>
    <w:rsid w:val="008A6F42"/>
    <w:rsid w:val="008A752E"/>
    <w:rsid w:val="008A7728"/>
    <w:rsid w:val="008A7836"/>
    <w:rsid w:val="008B003C"/>
    <w:rsid w:val="008B0DFE"/>
    <w:rsid w:val="008B0F6C"/>
    <w:rsid w:val="008B1258"/>
    <w:rsid w:val="008B1443"/>
    <w:rsid w:val="008B1736"/>
    <w:rsid w:val="008B180E"/>
    <w:rsid w:val="008B1B3B"/>
    <w:rsid w:val="008B2905"/>
    <w:rsid w:val="008B2AF0"/>
    <w:rsid w:val="008B2B9D"/>
    <w:rsid w:val="008B2CAE"/>
    <w:rsid w:val="008B3499"/>
    <w:rsid w:val="008B39CA"/>
    <w:rsid w:val="008B405F"/>
    <w:rsid w:val="008B4B3F"/>
    <w:rsid w:val="008B535A"/>
    <w:rsid w:val="008B5F5A"/>
    <w:rsid w:val="008B65A2"/>
    <w:rsid w:val="008B748F"/>
    <w:rsid w:val="008B7787"/>
    <w:rsid w:val="008C03D7"/>
    <w:rsid w:val="008C0961"/>
    <w:rsid w:val="008C0EA3"/>
    <w:rsid w:val="008C0EBF"/>
    <w:rsid w:val="008C0F86"/>
    <w:rsid w:val="008C1403"/>
    <w:rsid w:val="008C1764"/>
    <w:rsid w:val="008C2143"/>
    <w:rsid w:val="008C299A"/>
    <w:rsid w:val="008C2D86"/>
    <w:rsid w:val="008C365B"/>
    <w:rsid w:val="008C45B5"/>
    <w:rsid w:val="008C47FE"/>
    <w:rsid w:val="008C4DCF"/>
    <w:rsid w:val="008C4EA1"/>
    <w:rsid w:val="008C50E7"/>
    <w:rsid w:val="008C522B"/>
    <w:rsid w:val="008C63AD"/>
    <w:rsid w:val="008C6747"/>
    <w:rsid w:val="008C6CE6"/>
    <w:rsid w:val="008C6F08"/>
    <w:rsid w:val="008C6F23"/>
    <w:rsid w:val="008C7732"/>
    <w:rsid w:val="008D027F"/>
    <w:rsid w:val="008D033E"/>
    <w:rsid w:val="008D03A4"/>
    <w:rsid w:val="008D04F0"/>
    <w:rsid w:val="008D0765"/>
    <w:rsid w:val="008D0B91"/>
    <w:rsid w:val="008D1586"/>
    <w:rsid w:val="008D25B7"/>
    <w:rsid w:val="008D277A"/>
    <w:rsid w:val="008D37F5"/>
    <w:rsid w:val="008D40A0"/>
    <w:rsid w:val="008D4657"/>
    <w:rsid w:val="008D4BD4"/>
    <w:rsid w:val="008D51A6"/>
    <w:rsid w:val="008D5314"/>
    <w:rsid w:val="008D53CB"/>
    <w:rsid w:val="008D55E2"/>
    <w:rsid w:val="008D57F2"/>
    <w:rsid w:val="008D5B4B"/>
    <w:rsid w:val="008D7354"/>
    <w:rsid w:val="008D7BF9"/>
    <w:rsid w:val="008E0896"/>
    <w:rsid w:val="008E0DE5"/>
    <w:rsid w:val="008E0E01"/>
    <w:rsid w:val="008E1156"/>
    <w:rsid w:val="008E1973"/>
    <w:rsid w:val="008E1FD5"/>
    <w:rsid w:val="008E25EC"/>
    <w:rsid w:val="008E28D6"/>
    <w:rsid w:val="008E2BDA"/>
    <w:rsid w:val="008E4132"/>
    <w:rsid w:val="008E4440"/>
    <w:rsid w:val="008E4546"/>
    <w:rsid w:val="008E45F7"/>
    <w:rsid w:val="008E4957"/>
    <w:rsid w:val="008E4AB3"/>
    <w:rsid w:val="008E4BAC"/>
    <w:rsid w:val="008E4D01"/>
    <w:rsid w:val="008E5CB5"/>
    <w:rsid w:val="008E5DC8"/>
    <w:rsid w:val="008E63FA"/>
    <w:rsid w:val="008E66C5"/>
    <w:rsid w:val="008E6927"/>
    <w:rsid w:val="008E6BDD"/>
    <w:rsid w:val="008E75ED"/>
    <w:rsid w:val="008E762E"/>
    <w:rsid w:val="008E7D63"/>
    <w:rsid w:val="008F0354"/>
    <w:rsid w:val="008F046E"/>
    <w:rsid w:val="008F08B7"/>
    <w:rsid w:val="008F0D5B"/>
    <w:rsid w:val="008F1C88"/>
    <w:rsid w:val="008F1CF4"/>
    <w:rsid w:val="008F1DAF"/>
    <w:rsid w:val="008F22CB"/>
    <w:rsid w:val="008F2672"/>
    <w:rsid w:val="008F26BC"/>
    <w:rsid w:val="008F2B1D"/>
    <w:rsid w:val="008F2B20"/>
    <w:rsid w:val="008F3AA7"/>
    <w:rsid w:val="008F3ABD"/>
    <w:rsid w:val="008F3D8E"/>
    <w:rsid w:val="008F41E9"/>
    <w:rsid w:val="008F4260"/>
    <w:rsid w:val="008F4543"/>
    <w:rsid w:val="008F48F5"/>
    <w:rsid w:val="008F4E4A"/>
    <w:rsid w:val="008F55B0"/>
    <w:rsid w:val="008F5785"/>
    <w:rsid w:val="008F5E9F"/>
    <w:rsid w:val="008F6553"/>
    <w:rsid w:val="008F6B8D"/>
    <w:rsid w:val="008F6C71"/>
    <w:rsid w:val="008F71A2"/>
    <w:rsid w:val="008F7474"/>
    <w:rsid w:val="008F776A"/>
    <w:rsid w:val="00900F50"/>
    <w:rsid w:val="0090103B"/>
    <w:rsid w:val="0090109C"/>
    <w:rsid w:val="0090124E"/>
    <w:rsid w:val="00901B23"/>
    <w:rsid w:val="00901CDC"/>
    <w:rsid w:val="0090249E"/>
    <w:rsid w:val="009029EB"/>
    <w:rsid w:val="00902DD4"/>
    <w:rsid w:val="00902F2D"/>
    <w:rsid w:val="0090323F"/>
    <w:rsid w:val="009032F2"/>
    <w:rsid w:val="00903489"/>
    <w:rsid w:val="0090391C"/>
    <w:rsid w:val="00903C86"/>
    <w:rsid w:val="00903D9F"/>
    <w:rsid w:val="00903E8B"/>
    <w:rsid w:val="00903F59"/>
    <w:rsid w:val="00904A0A"/>
    <w:rsid w:val="00904EA3"/>
    <w:rsid w:val="00905BAE"/>
    <w:rsid w:val="00905BBB"/>
    <w:rsid w:val="00905F43"/>
    <w:rsid w:val="00905F54"/>
    <w:rsid w:val="0090715B"/>
    <w:rsid w:val="00907AD4"/>
    <w:rsid w:val="00907EDE"/>
    <w:rsid w:val="009104F1"/>
    <w:rsid w:val="00910503"/>
    <w:rsid w:val="00910912"/>
    <w:rsid w:val="00911E42"/>
    <w:rsid w:val="00912115"/>
    <w:rsid w:val="0091274D"/>
    <w:rsid w:val="00912D13"/>
    <w:rsid w:val="00913056"/>
    <w:rsid w:val="009131BC"/>
    <w:rsid w:val="0091363C"/>
    <w:rsid w:val="00913A96"/>
    <w:rsid w:val="0091405A"/>
    <w:rsid w:val="0091434A"/>
    <w:rsid w:val="009143E2"/>
    <w:rsid w:val="009144D5"/>
    <w:rsid w:val="00914955"/>
    <w:rsid w:val="00914E36"/>
    <w:rsid w:val="00914FF8"/>
    <w:rsid w:val="009153CC"/>
    <w:rsid w:val="0091567B"/>
    <w:rsid w:val="00915D57"/>
    <w:rsid w:val="009164DD"/>
    <w:rsid w:val="0091674C"/>
    <w:rsid w:val="009168E9"/>
    <w:rsid w:val="00917181"/>
    <w:rsid w:val="00921523"/>
    <w:rsid w:val="00921731"/>
    <w:rsid w:val="00921E74"/>
    <w:rsid w:val="0092272F"/>
    <w:rsid w:val="009229C6"/>
    <w:rsid w:val="00922C97"/>
    <w:rsid w:val="0092335C"/>
    <w:rsid w:val="009235E8"/>
    <w:rsid w:val="00923C67"/>
    <w:rsid w:val="00923CFC"/>
    <w:rsid w:val="009243CA"/>
    <w:rsid w:val="009248F8"/>
    <w:rsid w:val="009249DE"/>
    <w:rsid w:val="00924B8E"/>
    <w:rsid w:val="00924CF9"/>
    <w:rsid w:val="009259B8"/>
    <w:rsid w:val="00925A08"/>
    <w:rsid w:val="00926262"/>
    <w:rsid w:val="00926696"/>
    <w:rsid w:val="00926B20"/>
    <w:rsid w:val="009274F2"/>
    <w:rsid w:val="009278AE"/>
    <w:rsid w:val="009279DD"/>
    <w:rsid w:val="00927D1B"/>
    <w:rsid w:val="00930152"/>
    <w:rsid w:val="009301FB"/>
    <w:rsid w:val="0093176F"/>
    <w:rsid w:val="009319D4"/>
    <w:rsid w:val="009322E0"/>
    <w:rsid w:val="009329AD"/>
    <w:rsid w:val="00932B2D"/>
    <w:rsid w:val="00932B64"/>
    <w:rsid w:val="00932C46"/>
    <w:rsid w:val="00932DB3"/>
    <w:rsid w:val="00933037"/>
    <w:rsid w:val="00933F85"/>
    <w:rsid w:val="00934169"/>
    <w:rsid w:val="009345E3"/>
    <w:rsid w:val="00935560"/>
    <w:rsid w:val="00935AD6"/>
    <w:rsid w:val="00936629"/>
    <w:rsid w:val="00936C9F"/>
    <w:rsid w:val="00936D7D"/>
    <w:rsid w:val="009378CC"/>
    <w:rsid w:val="00937A7F"/>
    <w:rsid w:val="00937C88"/>
    <w:rsid w:val="00937CDB"/>
    <w:rsid w:val="0094050F"/>
    <w:rsid w:val="009408F5"/>
    <w:rsid w:val="00940E29"/>
    <w:rsid w:val="00941411"/>
    <w:rsid w:val="00941512"/>
    <w:rsid w:val="009417D4"/>
    <w:rsid w:val="00942172"/>
    <w:rsid w:val="0094220D"/>
    <w:rsid w:val="0094235B"/>
    <w:rsid w:val="00942710"/>
    <w:rsid w:val="00942C61"/>
    <w:rsid w:val="00942E3F"/>
    <w:rsid w:val="00942E4F"/>
    <w:rsid w:val="009437AA"/>
    <w:rsid w:val="00943E28"/>
    <w:rsid w:val="00943E52"/>
    <w:rsid w:val="00945A09"/>
    <w:rsid w:val="00945F10"/>
    <w:rsid w:val="00946914"/>
    <w:rsid w:val="00946AAB"/>
    <w:rsid w:val="00946F3D"/>
    <w:rsid w:val="009472EF"/>
    <w:rsid w:val="0094784F"/>
    <w:rsid w:val="009479E9"/>
    <w:rsid w:val="00947FB5"/>
    <w:rsid w:val="00950049"/>
    <w:rsid w:val="00950370"/>
    <w:rsid w:val="00950C30"/>
    <w:rsid w:val="00950E26"/>
    <w:rsid w:val="00951001"/>
    <w:rsid w:val="009512E2"/>
    <w:rsid w:val="00951CDD"/>
    <w:rsid w:val="00951CE5"/>
    <w:rsid w:val="00951FBA"/>
    <w:rsid w:val="00952440"/>
    <w:rsid w:val="0095293C"/>
    <w:rsid w:val="00952A43"/>
    <w:rsid w:val="0095352B"/>
    <w:rsid w:val="0095439A"/>
    <w:rsid w:val="00954646"/>
    <w:rsid w:val="009549BC"/>
    <w:rsid w:val="00954B88"/>
    <w:rsid w:val="00955000"/>
    <w:rsid w:val="00955A05"/>
    <w:rsid w:val="00955BFC"/>
    <w:rsid w:val="009560BD"/>
    <w:rsid w:val="00956184"/>
    <w:rsid w:val="009562DA"/>
    <w:rsid w:val="0095662E"/>
    <w:rsid w:val="009566C8"/>
    <w:rsid w:val="00956DD9"/>
    <w:rsid w:val="0095769D"/>
    <w:rsid w:val="009577DC"/>
    <w:rsid w:val="009577DD"/>
    <w:rsid w:val="00957E7C"/>
    <w:rsid w:val="009602BE"/>
    <w:rsid w:val="0096058B"/>
    <w:rsid w:val="00960B17"/>
    <w:rsid w:val="00960B54"/>
    <w:rsid w:val="00960BF3"/>
    <w:rsid w:val="00960CED"/>
    <w:rsid w:val="00961122"/>
    <w:rsid w:val="009615DE"/>
    <w:rsid w:val="0096224E"/>
    <w:rsid w:val="00962279"/>
    <w:rsid w:val="00962377"/>
    <w:rsid w:val="0096248D"/>
    <w:rsid w:val="0096279E"/>
    <w:rsid w:val="00962A2F"/>
    <w:rsid w:val="00962F27"/>
    <w:rsid w:val="0096355A"/>
    <w:rsid w:val="0096386D"/>
    <w:rsid w:val="00963F36"/>
    <w:rsid w:val="00963F92"/>
    <w:rsid w:val="00963FC3"/>
    <w:rsid w:val="0096459D"/>
    <w:rsid w:val="0096475F"/>
    <w:rsid w:val="009648EC"/>
    <w:rsid w:val="00964964"/>
    <w:rsid w:val="00964B8F"/>
    <w:rsid w:val="00964B97"/>
    <w:rsid w:val="00965B76"/>
    <w:rsid w:val="00965BB4"/>
    <w:rsid w:val="00965F71"/>
    <w:rsid w:val="009661D4"/>
    <w:rsid w:val="0096624E"/>
    <w:rsid w:val="0096659F"/>
    <w:rsid w:val="00966B9F"/>
    <w:rsid w:val="00967353"/>
    <w:rsid w:val="00967B2A"/>
    <w:rsid w:val="0097049B"/>
    <w:rsid w:val="009706C1"/>
    <w:rsid w:val="00970821"/>
    <w:rsid w:val="00970D6A"/>
    <w:rsid w:val="00972684"/>
    <w:rsid w:val="009728A4"/>
    <w:rsid w:val="00972AAF"/>
    <w:rsid w:val="00972B38"/>
    <w:rsid w:val="00972D21"/>
    <w:rsid w:val="009736EA"/>
    <w:rsid w:val="009744B8"/>
    <w:rsid w:val="009747CF"/>
    <w:rsid w:val="00974DEB"/>
    <w:rsid w:val="00975966"/>
    <w:rsid w:val="00975AAF"/>
    <w:rsid w:val="00975C43"/>
    <w:rsid w:val="009760EB"/>
    <w:rsid w:val="00976C64"/>
    <w:rsid w:val="00976E9B"/>
    <w:rsid w:val="00977828"/>
    <w:rsid w:val="00977D21"/>
    <w:rsid w:val="0098021C"/>
    <w:rsid w:val="00980230"/>
    <w:rsid w:val="00980456"/>
    <w:rsid w:val="00980C42"/>
    <w:rsid w:val="00980CB5"/>
    <w:rsid w:val="00981DED"/>
    <w:rsid w:val="00981EAD"/>
    <w:rsid w:val="00982B2F"/>
    <w:rsid w:val="00982CED"/>
    <w:rsid w:val="00982EBC"/>
    <w:rsid w:val="00983B11"/>
    <w:rsid w:val="00983B6E"/>
    <w:rsid w:val="00983B71"/>
    <w:rsid w:val="00983EDE"/>
    <w:rsid w:val="0098455D"/>
    <w:rsid w:val="00984D23"/>
    <w:rsid w:val="00984F82"/>
    <w:rsid w:val="0098544A"/>
    <w:rsid w:val="00985651"/>
    <w:rsid w:val="00985F3D"/>
    <w:rsid w:val="00986488"/>
    <w:rsid w:val="009867F9"/>
    <w:rsid w:val="0098696E"/>
    <w:rsid w:val="00987687"/>
    <w:rsid w:val="00987F68"/>
    <w:rsid w:val="00990250"/>
    <w:rsid w:val="0099077A"/>
    <w:rsid w:val="0099082B"/>
    <w:rsid w:val="00990EDF"/>
    <w:rsid w:val="00990EE3"/>
    <w:rsid w:val="00991227"/>
    <w:rsid w:val="00992207"/>
    <w:rsid w:val="00992585"/>
    <w:rsid w:val="00992AF6"/>
    <w:rsid w:val="00993107"/>
    <w:rsid w:val="00993250"/>
    <w:rsid w:val="00993904"/>
    <w:rsid w:val="00993A6D"/>
    <w:rsid w:val="00994115"/>
    <w:rsid w:val="009946D2"/>
    <w:rsid w:val="0099484A"/>
    <w:rsid w:val="00994915"/>
    <w:rsid w:val="009953A7"/>
    <w:rsid w:val="0099571F"/>
    <w:rsid w:val="00995A0E"/>
    <w:rsid w:val="00995D21"/>
    <w:rsid w:val="00996418"/>
    <w:rsid w:val="00997217"/>
    <w:rsid w:val="009972A9"/>
    <w:rsid w:val="009972D2"/>
    <w:rsid w:val="00997653"/>
    <w:rsid w:val="0099766F"/>
    <w:rsid w:val="0099789C"/>
    <w:rsid w:val="00997D91"/>
    <w:rsid w:val="00997F2D"/>
    <w:rsid w:val="009A0191"/>
    <w:rsid w:val="009A01BC"/>
    <w:rsid w:val="009A1CE3"/>
    <w:rsid w:val="009A1E21"/>
    <w:rsid w:val="009A1F0E"/>
    <w:rsid w:val="009A2600"/>
    <w:rsid w:val="009A2684"/>
    <w:rsid w:val="009A2799"/>
    <w:rsid w:val="009A2FC6"/>
    <w:rsid w:val="009A32F1"/>
    <w:rsid w:val="009A3643"/>
    <w:rsid w:val="009A3AB1"/>
    <w:rsid w:val="009A3D22"/>
    <w:rsid w:val="009A4206"/>
    <w:rsid w:val="009A46AF"/>
    <w:rsid w:val="009A4C3A"/>
    <w:rsid w:val="009A5729"/>
    <w:rsid w:val="009A615F"/>
    <w:rsid w:val="009A61A0"/>
    <w:rsid w:val="009A627A"/>
    <w:rsid w:val="009A685C"/>
    <w:rsid w:val="009A6DD7"/>
    <w:rsid w:val="009A6FAD"/>
    <w:rsid w:val="009A750E"/>
    <w:rsid w:val="009A7879"/>
    <w:rsid w:val="009A79A5"/>
    <w:rsid w:val="009B0000"/>
    <w:rsid w:val="009B021A"/>
    <w:rsid w:val="009B0FB8"/>
    <w:rsid w:val="009B1D34"/>
    <w:rsid w:val="009B1E45"/>
    <w:rsid w:val="009B1EB4"/>
    <w:rsid w:val="009B1EDA"/>
    <w:rsid w:val="009B2251"/>
    <w:rsid w:val="009B2AC7"/>
    <w:rsid w:val="009B2B5A"/>
    <w:rsid w:val="009B2EA0"/>
    <w:rsid w:val="009B313B"/>
    <w:rsid w:val="009B35F4"/>
    <w:rsid w:val="009B3699"/>
    <w:rsid w:val="009B3BAC"/>
    <w:rsid w:val="009B3F3D"/>
    <w:rsid w:val="009B45B0"/>
    <w:rsid w:val="009B469E"/>
    <w:rsid w:val="009B470A"/>
    <w:rsid w:val="009B48B1"/>
    <w:rsid w:val="009B4E1C"/>
    <w:rsid w:val="009B517D"/>
    <w:rsid w:val="009B52AD"/>
    <w:rsid w:val="009B6347"/>
    <w:rsid w:val="009B68DA"/>
    <w:rsid w:val="009B7559"/>
    <w:rsid w:val="009B77CA"/>
    <w:rsid w:val="009C0750"/>
    <w:rsid w:val="009C0F79"/>
    <w:rsid w:val="009C105D"/>
    <w:rsid w:val="009C11CE"/>
    <w:rsid w:val="009C1303"/>
    <w:rsid w:val="009C13D5"/>
    <w:rsid w:val="009C15AD"/>
    <w:rsid w:val="009C1631"/>
    <w:rsid w:val="009C16EA"/>
    <w:rsid w:val="009C175F"/>
    <w:rsid w:val="009C20E6"/>
    <w:rsid w:val="009C229F"/>
    <w:rsid w:val="009C245B"/>
    <w:rsid w:val="009C24A5"/>
    <w:rsid w:val="009C25FC"/>
    <w:rsid w:val="009C282C"/>
    <w:rsid w:val="009C2EBF"/>
    <w:rsid w:val="009C2FD3"/>
    <w:rsid w:val="009C39B0"/>
    <w:rsid w:val="009C3CBD"/>
    <w:rsid w:val="009C3FB3"/>
    <w:rsid w:val="009C402E"/>
    <w:rsid w:val="009C442F"/>
    <w:rsid w:val="009C49C7"/>
    <w:rsid w:val="009C4BE8"/>
    <w:rsid w:val="009C4FE6"/>
    <w:rsid w:val="009C5129"/>
    <w:rsid w:val="009C5C7A"/>
    <w:rsid w:val="009C6AC3"/>
    <w:rsid w:val="009C7CD7"/>
    <w:rsid w:val="009D0351"/>
    <w:rsid w:val="009D0878"/>
    <w:rsid w:val="009D0A89"/>
    <w:rsid w:val="009D12AD"/>
    <w:rsid w:val="009D13D3"/>
    <w:rsid w:val="009D1829"/>
    <w:rsid w:val="009D195F"/>
    <w:rsid w:val="009D1A08"/>
    <w:rsid w:val="009D1A30"/>
    <w:rsid w:val="009D1B5C"/>
    <w:rsid w:val="009D1C9A"/>
    <w:rsid w:val="009D21A8"/>
    <w:rsid w:val="009D267A"/>
    <w:rsid w:val="009D2809"/>
    <w:rsid w:val="009D291F"/>
    <w:rsid w:val="009D39F5"/>
    <w:rsid w:val="009D4126"/>
    <w:rsid w:val="009D4BA5"/>
    <w:rsid w:val="009D53C4"/>
    <w:rsid w:val="009D57A8"/>
    <w:rsid w:val="009D5840"/>
    <w:rsid w:val="009D5E23"/>
    <w:rsid w:val="009D5EFA"/>
    <w:rsid w:val="009D6744"/>
    <w:rsid w:val="009D6925"/>
    <w:rsid w:val="009D738D"/>
    <w:rsid w:val="009D781B"/>
    <w:rsid w:val="009D7BB3"/>
    <w:rsid w:val="009E05D0"/>
    <w:rsid w:val="009E07B1"/>
    <w:rsid w:val="009E0BB3"/>
    <w:rsid w:val="009E0C1A"/>
    <w:rsid w:val="009E13C1"/>
    <w:rsid w:val="009E23CE"/>
    <w:rsid w:val="009E290B"/>
    <w:rsid w:val="009E39CF"/>
    <w:rsid w:val="009E3EFD"/>
    <w:rsid w:val="009E529E"/>
    <w:rsid w:val="009E5895"/>
    <w:rsid w:val="009E5998"/>
    <w:rsid w:val="009E6920"/>
    <w:rsid w:val="009E6C30"/>
    <w:rsid w:val="009E7E4B"/>
    <w:rsid w:val="009E7FDA"/>
    <w:rsid w:val="009F0A63"/>
    <w:rsid w:val="009F0B67"/>
    <w:rsid w:val="009F1071"/>
    <w:rsid w:val="009F1279"/>
    <w:rsid w:val="009F28A2"/>
    <w:rsid w:val="009F29BD"/>
    <w:rsid w:val="009F2A5F"/>
    <w:rsid w:val="009F2B5D"/>
    <w:rsid w:val="009F2CB2"/>
    <w:rsid w:val="009F2DCA"/>
    <w:rsid w:val="009F3415"/>
    <w:rsid w:val="009F35B0"/>
    <w:rsid w:val="009F372F"/>
    <w:rsid w:val="009F3C7C"/>
    <w:rsid w:val="009F3D66"/>
    <w:rsid w:val="009F43C4"/>
    <w:rsid w:val="009F610C"/>
    <w:rsid w:val="009F6906"/>
    <w:rsid w:val="009F7850"/>
    <w:rsid w:val="009F7A5B"/>
    <w:rsid w:val="009F7B82"/>
    <w:rsid w:val="00A002B9"/>
    <w:rsid w:val="00A0044A"/>
    <w:rsid w:val="00A00FDC"/>
    <w:rsid w:val="00A01083"/>
    <w:rsid w:val="00A010A0"/>
    <w:rsid w:val="00A01558"/>
    <w:rsid w:val="00A01651"/>
    <w:rsid w:val="00A016BC"/>
    <w:rsid w:val="00A01840"/>
    <w:rsid w:val="00A019FA"/>
    <w:rsid w:val="00A02B83"/>
    <w:rsid w:val="00A0303E"/>
    <w:rsid w:val="00A031D0"/>
    <w:rsid w:val="00A03441"/>
    <w:rsid w:val="00A038DA"/>
    <w:rsid w:val="00A03B90"/>
    <w:rsid w:val="00A03C85"/>
    <w:rsid w:val="00A041F7"/>
    <w:rsid w:val="00A0486F"/>
    <w:rsid w:val="00A04C9A"/>
    <w:rsid w:val="00A051DF"/>
    <w:rsid w:val="00A0530A"/>
    <w:rsid w:val="00A054ED"/>
    <w:rsid w:val="00A05586"/>
    <w:rsid w:val="00A05C8D"/>
    <w:rsid w:val="00A05CB9"/>
    <w:rsid w:val="00A0607F"/>
    <w:rsid w:val="00A06AF2"/>
    <w:rsid w:val="00A06C6A"/>
    <w:rsid w:val="00A07186"/>
    <w:rsid w:val="00A10369"/>
    <w:rsid w:val="00A1046A"/>
    <w:rsid w:val="00A10EDA"/>
    <w:rsid w:val="00A110C3"/>
    <w:rsid w:val="00A11288"/>
    <w:rsid w:val="00A11450"/>
    <w:rsid w:val="00A117F5"/>
    <w:rsid w:val="00A121D8"/>
    <w:rsid w:val="00A121DD"/>
    <w:rsid w:val="00A1226E"/>
    <w:rsid w:val="00A12E6B"/>
    <w:rsid w:val="00A13A2B"/>
    <w:rsid w:val="00A13E51"/>
    <w:rsid w:val="00A13E59"/>
    <w:rsid w:val="00A13F6E"/>
    <w:rsid w:val="00A13F94"/>
    <w:rsid w:val="00A14084"/>
    <w:rsid w:val="00A149D1"/>
    <w:rsid w:val="00A14DCD"/>
    <w:rsid w:val="00A15A50"/>
    <w:rsid w:val="00A15D5F"/>
    <w:rsid w:val="00A15DAB"/>
    <w:rsid w:val="00A16367"/>
    <w:rsid w:val="00A169B9"/>
    <w:rsid w:val="00A16B50"/>
    <w:rsid w:val="00A1732F"/>
    <w:rsid w:val="00A17336"/>
    <w:rsid w:val="00A178B6"/>
    <w:rsid w:val="00A17974"/>
    <w:rsid w:val="00A2035E"/>
    <w:rsid w:val="00A207CB"/>
    <w:rsid w:val="00A211BE"/>
    <w:rsid w:val="00A211C2"/>
    <w:rsid w:val="00A216B3"/>
    <w:rsid w:val="00A216FF"/>
    <w:rsid w:val="00A221B8"/>
    <w:rsid w:val="00A22209"/>
    <w:rsid w:val="00A224F7"/>
    <w:rsid w:val="00A22762"/>
    <w:rsid w:val="00A2301F"/>
    <w:rsid w:val="00A2323F"/>
    <w:rsid w:val="00A236A6"/>
    <w:rsid w:val="00A23DF6"/>
    <w:rsid w:val="00A24150"/>
    <w:rsid w:val="00A24547"/>
    <w:rsid w:val="00A24828"/>
    <w:rsid w:val="00A24A30"/>
    <w:rsid w:val="00A24B0D"/>
    <w:rsid w:val="00A24D8A"/>
    <w:rsid w:val="00A24EBA"/>
    <w:rsid w:val="00A25800"/>
    <w:rsid w:val="00A25952"/>
    <w:rsid w:val="00A264CD"/>
    <w:rsid w:val="00A2655E"/>
    <w:rsid w:val="00A271BC"/>
    <w:rsid w:val="00A2741E"/>
    <w:rsid w:val="00A2789D"/>
    <w:rsid w:val="00A30013"/>
    <w:rsid w:val="00A3038F"/>
    <w:rsid w:val="00A305BB"/>
    <w:rsid w:val="00A3094F"/>
    <w:rsid w:val="00A30C09"/>
    <w:rsid w:val="00A31054"/>
    <w:rsid w:val="00A312DA"/>
    <w:rsid w:val="00A31C8E"/>
    <w:rsid w:val="00A31DE7"/>
    <w:rsid w:val="00A3204F"/>
    <w:rsid w:val="00A327BD"/>
    <w:rsid w:val="00A33062"/>
    <w:rsid w:val="00A33448"/>
    <w:rsid w:val="00A33F80"/>
    <w:rsid w:val="00A343F5"/>
    <w:rsid w:val="00A3497A"/>
    <w:rsid w:val="00A34D23"/>
    <w:rsid w:val="00A3549F"/>
    <w:rsid w:val="00A354B3"/>
    <w:rsid w:val="00A35A8E"/>
    <w:rsid w:val="00A35B3E"/>
    <w:rsid w:val="00A3654B"/>
    <w:rsid w:val="00A36C94"/>
    <w:rsid w:val="00A36D49"/>
    <w:rsid w:val="00A36E8A"/>
    <w:rsid w:val="00A3705E"/>
    <w:rsid w:val="00A373B0"/>
    <w:rsid w:val="00A37C2A"/>
    <w:rsid w:val="00A37F28"/>
    <w:rsid w:val="00A40605"/>
    <w:rsid w:val="00A40681"/>
    <w:rsid w:val="00A409C3"/>
    <w:rsid w:val="00A412F7"/>
    <w:rsid w:val="00A421FF"/>
    <w:rsid w:val="00A427A6"/>
    <w:rsid w:val="00A429D5"/>
    <w:rsid w:val="00A42B00"/>
    <w:rsid w:val="00A43449"/>
    <w:rsid w:val="00A43544"/>
    <w:rsid w:val="00A43622"/>
    <w:rsid w:val="00A4362E"/>
    <w:rsid w:val="00A43B52"/>
    <w:rsid w:val="00A44020"/>
    <w:rsid w:val="00A44463"/>
    <w:rsid w:val="00A445A2"/>
    <w:rsid w:val="00A445BF"/>
    <w:rsid w:val="00A4461C"/>
    <w:rsid w:val="00A44CDD"/>
    <w:rsid w:val="00A45B3F"/>
    <w:rsid w:val="00A45E7E"/>
    <w:rsid w:val="00A4607A"/>
    <w:rsid w:val="00A464E1"/>
    <w:rsid w:val="00A46AE2"/>
    <w:rsid w:val="00A5119C"/>
    <w:rsid w:val="00A51FD1"/>
    <w:rsid w:val="00A52041"/>
    <w:rsid w:val="00A527E3"/>
    <w:rsid w:val="00A529B7"/>
    <w:rsid w:val="00A529B9"/>
    <w:rsid w:val="00A529FD"/>
    <w:rsid w:val="00A53006"/>
    <w:rsid w:val="00A5357E"/>
    <w:rsid w:val="00A53C08"/>
    <w:rsid w:val="00A53C27"/>
    <w:rsid w:val="00A53E3B"/>
    <w:rsid w:val="00A53E7D"/>
    <w:rsid w:val="00A53EC2"/>
    <w:rsid w:val="00A544E9"/>
    <w:rsid w:val="00A54A9F"/>
    <w:rsid w:val="00A557C8"/>
    <w:rsid w:val="00A55959"/>
    <w:rsid w:val="00A55DAB"/>
    <w:rsid w:val="00A55FCF"/>
    <w:rsid w:val="00A561BD"/>
    <w:rsid w:val="00A5690E"/>
    <w:rsid w:val="00A56D44"/>
    <w:rsid w:val="00A57418"/>
    <w:rsid w:val="00A57944"/>
    <w:rsid w:val="00A609D9"/>
    <w:rsid w:val="00A61968"/>
    <w:rsid w:val="00A6196D"/>
    <w:rsid w:val="00A61C24"/>
    <w:rsid w:val="00A61EA8"/>
    <w:rsid w:val="00A62BB3"/>
    <w:rsid w:val="00A65011"/>
    <w:rsid w:val="00A65B2B"/>
    <w:rsid w:val="00A65BD1"/>
    <w:rsid w:val="00A66D6E"/>
    <w:rsid w:val="00A67742"/>
    <w:rsid w:val="00A67A79"/>
    <w:rsid w:val="00A700F7"/>
    <w:rsid w:val="00A7022D"/>
    <w:rsid w:val="00A70E5C"/>
    <w:rsid w:val="00A713FF"/>
    <w:rsid w:val="00A71845"/>
    <w:rsid w:val="00A720F0"/>
    <w:rsid w:val="00A72274"/>
    <w:rsid w:val="00A72649"/>
    <w:rsid w:val="00A72B16"/>
    <w:rsid w:val="00A72D14"/>
    <w:rsid w:val="00A7374A"/>
    <w:rsid w:val="00A75104"/>
    <w:rsid w:val="00A75FA8"/>
    <w:rsid w:val="00A761F9"/>
    <w:rsid w:val="00A7645D"/>
    <w:rsid w:val="00A76B00"/>
    <w:rsid w:val="00A76DE3"/>
    <w:rsid w:val="00A76F35"/>
    <w:rsid w:val="00A77850"/>
    <w:rsid w:val="00A77BA6"/>
    <w:rsid w:val="00A8013C"/>
    <w:rsid w:val="00A802CD"/>
    <w:rsid w:val="00A803DD"/>
    <w:rsid w:val="00A808C4"/>
    <w:rsid w:val="00A813C3"/>
    <w:rsid w:val="00A819EC"/>
    <w:rsid w:val="00A81C07"/>
    <w:rsid w:val="00A81E4D"/>
    <w:rsid w:val="00A828DE"/>
    <w:rsid w:val="00A833E5"/>
    <w:rsid w:val="00A834D2"/>
    <w:rsid w:val="00A847D0"/>
    <w:rsid w:val="00A84FD9"/>
    <w:rsid w:val="00A8505F"/>
    <w:rsid w:val="00A8520B"/>
    <w:rsid w:val="00A85466"/>
    <w:rsid w:val="00A85618"/>
    <w:rsid w:val="00A85A38"/>
    <w:rsid w:val="00A85D2D"/>
    <w:rsid w:val="00A861CF"/>
    <w:rsid w:val="00A86756"/>
    <w:rsid w:val="00A86B9A"/>
    <w:rsid w:val="00A8751B"/>
    <w:rsid w:val="00A90217"/>
    <w:rsid w:val="00A90307"/>
    <w:rsid w:val="00A9124A"/>
    <w:rsid w:val="00A912E9"/>
    <w:rsid w:val="00A9154D"/>
    <w:rsid w:val="00A91C26"/>
    <w:rsid w:val="00A9201A"/>
    <w:rsid w:val="00A92218"/>
    <w:rsid w:val="00A938D4"/>
    <w:rsid w:val="00A93A8F"/>
    <w:rsid w:val="00A93C9C"/>
    <w:rsid w:val="00A93FC5"/>
    <w:rsid w:val="00A9496E"/>
    <w:rsid w:val="00A94B74"/>
    <w:rsid w:val="00A94DD9"/>
    <w:rsid w:val="00A95227"/>
    <w:rsid w:val="00A9639A"/>
    <w:rsid w:val="00A96D4A"/>
    <w:rsid w:val="00A96F3A"/>
    <w:rsid w:val="00A97C50"/>
    <w:rsid w:val="00A97DA0"/>
    <w:rsid w:val="00A97EF8"/>
    <w:rsid w:val="00AA018A"/>
    <w:rsid w:val="00AA024E"/>
    <w:rsid w:val="00AA0858"/>
    <w:rsid w:val="00AA0C8C"/>
    <w:rsid w:val="00AA0FF5"/>
    <w:rsid w:val="00AA1B52"/>
    <w:rsid w:val="00AA1E09"/>
    <w:rsid w:val="00AA1E4D"/>
    <w:rsid w:val="00AA1FE6"/>
    <w:rsid w:val="00AA2529"/>
    <w:rsid w:val="00AA252F"/>
    <w:rsid w:val="00AA28A7"/>
    <w:rsid w:val="00AA2BF2"/>
    <w:rsid w:val="00AA2F5F"/>
    <w:rsid w:val="00AA2F67"/>
    <w:rsid w:val="00AA418A"/>
    <w:rsid w:val="00AA532B"/>
    <w:rsid w:val="00AA556E"/>
    <w:rsid w:val="00AA5634"/>
    <w:rsid w:val="00AA579F"/>
    <w:rsid w:val="00AA5EF7"/>
    <w:rsid w:val="00AA6516"/>
    <w:rsid w:val="00AA6537"/>
    <w:rsid w:val="00AA654E"/>
    <w:rsid w:val="00AA6AAA"/>
    <w:rsid w:val="00AA6F9F"/>
    <w:rsid w:val="00AA70CE"/>
    <w:rsid w:val="00AA7205"/>
    <w:rsid w:val="00AA7A0D"/>
    <w:rsid w:val="00AA7BDA"/>
    <w:rsid w:val="00AA7E68"/>
    <w:rsid w:val="00AB005D"/>
    <w:rsid w:val="00AB0215"/>
    <w:rsid w:val="00AB03F2"/>
    <w:rsid w:val="00AB077D"/>
    <w:rsid w:val="00AB0EA5"/>
    <w:rsid w:val="00AB1603"/>
    <w:rsid w:val="00AB1619"/>
    <w:rsid w:val="00AB189E"/>
    <w:rsid w:val="00AB1FF7"/>
    <w:rsid w:val="00AB219D"/>
    <w:rsid w:val="00AB2FC7"/>
    <w:rsid w:val="00AB36EC"/>
    <w:rsid w:val="00AB394E"/>
    <w:rsid w:val="00AB3B4C"/>
    <w:rsid w:val="00AB459D"/>
    <w:rsid w:val="00AB4695"/>
    <w:rsid w:val="00AB46A0"/>
    <w:rsid w:val="00AB4DEC"/>
    <w:rsid w:val="00AB5D07"/>
    <w:rsid w:val="00AB6009"/>
    <w:rsid w:val="00AB6E25"/>
    <w:rsid w:val="00AB6F0E"/>
    <w:rsid w:val="00AB72D4"/>
    <w:rsid w:val="00AB7FEB"/>
    <w:rsid w:val="00AC00FC"/>
    <w:rsid w:val="00AC0630"/>
    <w:rsid w:val="00AC0C35"/>
    <w:rsid w:val="00AC16B8"/>
    <w:rsid w:val="00AC2133"/>
    <w:rsid w:val="00AC25F6"/>
    <w:rsid w:val="00AC289C"/>
    <w:rsid w:val="00AC2C4F"/>
    <w:rsid w:val="00AC35A6"/>
    <w:rsid w:val="00AC40E5"/>
    <w:rsid w:val="00AC41F4"/>
    <w:rsid w:val="00AC42FE"/>
    <w:rsid w:val="00AC54CA"/>
    <w:rsid w:val="00AC6745"/>
    <w:rsid w:val="00AC6E95"/>
    <w:rsid w:val="00AD04E4"/>
    <w:rsid w:val="00AD0CA9"/>
    <w:rsid w:val="00AD1239"/>
    <w:rsid w:val="00AD1A4F"/>
    <w:rsid w:val="00AD1E3C"/>
    <w:rsid w:val="00AD214C"/>
    <w:rsid w:val="00AD2338"/>
    <w:rsid w:val="00AD2807"/>
    <w:rsid w:val="00AD28B1"/>
    <w:rsid w:val="00AD2A78"/>
    <w:rsid w:val="00AD2B0D"/>
    <w:rsid w:val="00AD2DEA"/>
    <w:rsid w:val="00AD2E11"/>
    <w:rsid w:val="00AD38A9"/>
    <w:rsid w:val="00AD3B0F"/>
    <w:rsid w:val="00AD4389"/>
    <w:rsid w:val="00AD4A4D"/>
    <w:rsid w:val="00AD54AD"/>
    <w:rsid w:val="00AD6BE3"/>
    <w:rsid w:val="00AD71D2"/>
    <w:rsid w:val="00AD7327"/>
    <w:rsid w:val="00AD76E6"/>
    <w:rsid w:val="00AD79CA"/>
    <w:rsid w:val="00AD7F37"/>
    <w:rsid w:val="00AE1B82"/>
    <w:rsid w:val="00AE1CB0"/>
    <w:rsid w:val="00AE1ECA"/>
    <w:rsid w:val="00AE22E2"/>
    <w:rsid w:val="00AE2A15"/>
    <w:rsid w:val="00AE2B7C"/>
    <w:rsid w:val="00AE31E8"/>
    <w:rsid w:val="00AE347F"/>
    <w:rsid w:val="00AE3A77"/>
    <w:rsid w:val="00AE40B9"/>
    <w:rsid w:val="00AE41B6"/>
    <w:rsid w:val="00AE44DF"/>
    <w:rsid w:val="00AE4729"/>
    <w:rsid w:val="00AE4766"/>
    <w:rsid w:val="00AE4FD0"/>
    <w:rsid w:val="00AE519E"/>
    <w:rsid w:val="00AE54CD"/>
    <w:rsid w:val="00AE5655"/>
    <w:rsid w:val="00AE5E25"/>
    <w:rsid w:val="00AE617F"/>
    <w:rsid w:val="00AE6606"/>
    <w:rsid w:val="00AE67F0"/>
    <w:rsid w:val="00AE6940"/>
    <w:rsid w:val="00AE6B66"/>
    <w:rsid w:val="00AE6BB4"/>
    <w:rsid w:val="00AE6DA6"/>
    <w:rsid w:val="00AE6FD0"/>
    <w:rsid w:val="00AE7169"/>
    <w:rsid w:val="00AE72A9"/>
    <w:rsid w:val="00AE763F"/>
    <w:rsid w:val="00AE7ED7"/>
    <w:rsid w:val="00AF093C"/>
    <w:rsid w:val="00AF15DD"/>
    <w:rsid w:val="00AF1E1C"/>
    <w:rsid w:val="00AF1EB5"/>
    <w:rsid w:val="00AF1FCE"/>
    <w:rsid w:val="00AF276F"/>
    <w:rsid w:val="00AF2965"/>
    <w:rsid w:val="00AF2E6C"/>
    <w:rsid w:val="00AF37A7"/>
    <w:rsid w:val="00AF383C"/>
    <w:rsid w:val="00AF39FC"/>
    <w:rsid w:val="00AF3E3B"/>
    <w:rsid w:val="00AF442B"/>
    <w:rsid w:val="00AF4A0C"/>
    <w:rsid w:val="00AF4EE5"/>
    <w:rsid w:val="00AF6455"/>
    <w:rsid w:val="00AF6B4A"/>
    <w:rsid w:val="00AF6BCD"/>
    <w:rsid w:val="00AF76AE"/>
    <w:rsid w:val="00AF7BC5"/>
    <w:rsid w:val="00AF7DDD"/>
    <w:rsid w:val="00B0042E"/>
    <w:rsid w:val="00B00674"/>
    <w:rsid w:val="00B006BA"/>
    <w:rsid w:val="00B011DF"/>
    <w:rsid w:val="00B01385"/>
    <w:rsid w:val="00B01435"/>
    <w:rsid w:val="00B024DB"/>
    <w:rsid w:val="00B02B56"/>
    <w:rsid w:val="00B02DE1"/>
    <w:rsid w:val="00B030BE"/>
    <w:rsid w:val="00B035DD"/>
    <w:rsid w:val="00B03A1A"/>
    <w:rsid w:val="00B04927"/>
    <w:rsid w:val="00B04A2E"/>
    <w:rsid w:val="00B04E7B"/>
    <w:rsid w:val="00B05056"/>
    <w:rsid w:val="00B05087"/>
    <w:rsid w:val="00B0513B"/>
    <w:rsid w:val="00B0518A"/>
    <w:rsid w:val="00B060AA"/>
    <w:rsid w:val="00B06F98"/>
    <w:rsid w:val="00B075A2"/>
    <w:rsid w:val="00B0769B"/>
    <w:rsid w:val="00B07F5B"/>
    <w:rsid w:val="00B102E3"/>
    <w:rsid w:val="00B1043C"/>
    <w:rsid w:val="00B105B0"/>
    <w:rsid w:val="00B10C23"/>
    <w:rsid w:val="00B11823"/>
    <w:rsid w:val="00B1188C"/>
    <w:rsid w:val="00B11EA1"/>
    <w:rsid w:val="00B11EF6"/>
    <w:rsid w:val="00B11FED"/>
    <w:rsid w:val="00B121D6"/>
    <w:rsid w:val="00B1583C"/>
    <w:rsid w:val="00B158D2"/>
    <w:rsid w:val="00B159B1"/>
    <w:rsid w:val="00B16126"/>
    <w:rsid w:val="00B16200"/>
    <w:rsid w:val="00B166B9"/>
    <w:rsid w:val="00B16E4E"/>
    <w:rsid w:val="00B174F4"/>
    <w:rsid w:val="00B17548"/>
    <w:rsid w:val="00B178DD"/>
    <w:rsid w:val="00B17B39"/>
    <w:rsid w:val="00B17F87"/>
    <w:rsid w:val="00B2032D"/>
    <w:rsid w:val="00B2076D"/>
    <w:rsid w:val="00B20839"/>
    <w:rsid w:val="00B21749"/>
    <w:rsid w:val="00B21E99"/>
    <w:rsid w:val="00B223B3"/>
    <w:rsid w:val="00B22497"/>
    <w:rsid w:val="00B239FB"/>
    <w:rsid w:val="00B23FDE"/>
    <w:rsid w:val="00B2460E"/>
    <w:rsid w:val="00B24B71"/>
    <w:rsid w:val="00B24BAD"/>
    <w:rsid w:val="00B253E4"/>
    <w:rsid w:val="00B254F0"/>
    <w:rsid w:val="00B256A9"/>
    <w:rsid w:val="00B25B4A"/>
    <w:rsid w:val="00B261B6"/>
    <w:rsid w:val="00B268B8"/>
    <w:rsid w:val="00B26AB2"/>
    <w:rsid w:val="00B26B59"/>
    <w:rsid w:val="00B26B6E"/>
    <w:rsid w:val="00B26F48"/>
    <w:rsid w:val="00B309F1"/>
    <w:rsid w:val="00B30D51"/>
    <w:rsid w:val="00B312AE"/>
    <w:rsid w:val="00B312FC"/>
    <w:rsid w:val="00B31485"/>
    <w:rsid w:val="00B316EF"/>
    <w:rsid w:val="00B31875"/>
    <w:rsid w:val="00B32026"/>
    <w:rsid w:val="00B32627"/>
    <w:rsid w:val="00B327B1"/>
    <w:rsid w:val="00B33015"/>
    <w:rsid w:val="00B333C6"/>
    <w:rsid w:val="00B333D2"/>
    <w:rsid w:val="00B335D1"/>
    <w:rsid w:val="00B33ACA"/>
    <w:rsid w:val="00B33ED6"/>
    <w:rsid w:val="00B34056"/>
    <w:rsid w:val="00B345A2"/>
    <w:rsid w:val="00B35307"/>
    <w:rsid w:val="00B3576B"/>
    <w:rsid w:val="00B35798"/>
    <w:rsid w:val="00B358EE"/>
    <w:rsid w:val="00B35F22"/>
    <w:rsid w:val="00B36583"/>
    <w:rsid w:val="00B36DA9"/>
    <w:rsid w:val="00B37061"/>
    <w:rsid w:val="00B37119"/>
    <w:rsid w:val="00B376A3"/>
    <w:rsid w:val="00B37DE6"/>
    <w:rsid w:val="00B4002D"/>
    <w:rsid w:val="00B41080"/>
    <w:rsid w:val="00B4160E"/>
    <w:rsid w:val="00B41BFB"/>
    <w:rsid w:val="00B41D87"/>
    <w:rsid w:val="00B41DA4"/>
    <w:rsid w:val="00B4224F"/>
    <w:rsid w:val="00B424DE"/>
    <w:rsid w:val="00B42C54"/>
    <w:rsid w:val="00B42E0E"/>
    <w:rsid w:val="00B4324E"/>
    <w:rsid w:val="00B432A4"/>
    <w:rsid w:val="00B43E69"/>
    <w:rsid w:val="00B44409"/>
    <w:rsid w:val="00B4455F"/>
    <w:rsid w:val="00B4472F"/>
    <w:rsid w:val="00B448FC"/>
    <w:rsid w:val="00B449D7"/>
    <w:rsid w:val="00B44DD1"/>
    <w:rsid w:val="00B44E0D"/>
    <w:rsid w:val="00B4557B"/>
    <w:rsid w:val="00B4579A"/>
    <w:rsid w:val="00B460F6"/>
    <w:rsid w:val="00B474EE"/>
    <w:rsid w:val="00B47A70"/>
    <w:rsid w:val="00B500DA"/>
    <w:rsid w:val="00B50527"/>
    <w:rsid w:val="00B50A17"/>
    <w:rsid w:val="00B50F9C"/>
    <w:rsid w:val="00B514DE"/>
    <w:rsid w:val="00B515AF"/>
    <w:rsid w:val="00B5163F"/>
    <w:rsid w:val="00B51D79"/>
    <w:rsid w:val="00B52868"/>
    <w:rsid w:val="00B5288B"/>
    <w:rsid w:val="00B52C8D"/>
    <w:rsid w:val="00B53386"/>
    <w:rsid w:val="00B53C80"/>
    <w:rsid w:val="00B53CFD"/>
    <w:rsid w:val="00B5423D"/>
    <w:rsid w:val="00B54C56"/>
    <w:rsid w:val="00B5560C"/>
    <w:rsid w:val="00B55D2C"/>
    <w:rsid w:val="00B56412"/>
    <w:rsid w:val="00B565B6"/>
    <w:rsid w:val="00B56734"/>
    <w:rsid w:val="00B568F3"/>
    <w:rsid w:val="00B56CAB"/>
    <w:rsid w:val="00B572F3"/>
    <w:rsid w:val="00B57756"/>
    <w:rsid w:val="00B578A9"/>
    <w:rsid w:val="00B57E32"/>
    <w:rsid w:val="00B603C1"/>
    <w:rsid w:val="00B60617"/>
    <w:rsid w:val="00B6084F"/>
    <w:rsid w:val="00B608E3"/>
    <w:rsid w:val="00B610B6"/>
    <w:rsid w:val="00B61985"/>
    <w:rsid w:val="00B62194"/>
    <w:rsid w:val="00B62663"/>
    <w:rsid w:val="00B62823"/>
    <w:rsid w:val="00B62D6E"/>
    <w:rsid w:val="00B634AF"/>
    <w:rsid w:val="00B639C9"/>
    <w:rsid w:val="00B63D06"/>
    <w:rsid w:val="00B6422D"/>
    <w:rsid w:val="00B64D20"/>
    <w:rsid w:val="00B64F41"/>
    <w:rsid w:val="00B65421"/>
    <w:rsid w:val="00B65922"/>
    <w:rsid w:val="00B664C5"/>
    <w:rsid w:val="00B66563"/>
    <w:rsid w:val="00B6673C"/>
    <w:rsid w:val="00B66AE4"/>
    <w:rsid w:val="00B676BB"/>
    <w:rsid w:val="00B7001C"/>
    <w:rsid w:val="00B700B4"/>
    <w:rsid w:val="00B70377"/>
    <w:rsid w:val="00B707AA"/>
    <w:rsid w:val="00B70970"/>
    <w:rsid w:val="00B70C76"/>
    <w:rsid w:val="00B70E91"/>
    <w:rsid w:val="00B713EF"/>
    <w:rsid w:val="00B71E24"/>
    <w:rsid w:val="00B7200D"/>
    <w:rsid w:val="00B7206B"/>
    <w:rsid w:val="00B72782"/>
    <w:rsid w:val="00B734FB"/>
    <w:rsid w:val="00B735E5"/>
    <w:rsid w:val="00B73602"/>
    <w:rsid w:val="00B73C5D"/>
    <w:rsid w:val="00B73D1F"/>
    <w:rsid w:val="00B74637"/>
    <w:rsid w:val="00B748D5"/>
    <w:rsid w:val="00B74B32"/>
    <w:rsid w:val="00B750D8"/>
    <w:rsid w:val="00B75562"/>
    <w:rsid w:val="00B75B04"/>
    <w:rsid w:val="00B75F0D"/>
    <w:rsid w:val="00B76097"/>
    <w:rsid w:val="00B76A0F"/>
    <w:rsid w:val="00B77117"/>
    <w:rsid w:val="00B77A18"/>
    <w:rsid w:val="00B77CE7"/>
    <w:rsid w:val="00B809B1"/>
    <w:rsid w:val="00B810D2"/>
    <w:rsid w:val="00B81277"/>
    <w:rsid w:val="00B813EA"/>
    <w:rsid w:val="00B81EA9"/>
    <w:rsid w:val="00B82EF5"/>
    <w:rsid w:val="00B83075"/>
    <w:rsid w:val="00B8342C"/>
    <w:rsid w:val="00B83D42"/>
    <w:rsid w:val="00B83EEA"/>
    <w:rsid w:val="00B84085"/>
    <w:rsid w:val="00B843A1"/>
    <w:rsid w:val="00B84631"/>
    <w:rsid w:val="00B84639"/>
    <w:rsid w:val="00B84BE7"/>
    <w:rsid w:val="00B84E63"/>
    <w:rsid w:val="00B84EA5"/>
    <w:rsid w:val="00B84FEB"/>
    <w:rsid w:val="00B8591F"/>
    <w:rsid w:val="00B85F9B"/>
    <w:rsid w:val="00B86349"/>
    <w:rsid w:val="00B86374"/>
    <w:rsid w:val="00B86540"/>
    <w:rsid w:val="00B865D7"/>
    <w:rsid w:val="00B8680C"/>
    <w:rsid w:val="00B868BC"/>
    <w:rsid w:val="00B86B5F"/>
    <w:rsid w:val="00B86D24"/>
    <w:rsid w:val="00B871FD"/>
    <w:rsid w:val="00B875B5"/>
    <w:rsid w:val="00B87A63"/>
    <w:rsid w:val="00B87CB5"/>
    <w:rsid w:val="00B902F3"/>
    <w:rsid w:val="00B90593"/>
    <w:rsid w:val="00B9102E"/>
    <w:rsid w:val="00B91183"/>
    <w:rsid w:val="00B9180D"/>
    <w:rsid w:val="00B9193B"/>
    <w:rsid w:val="00B91A0F"/>
    <w:rsid w:val="00B91EBE"/>
    <w:rsid w:val="00B9216B"/>
    <w:rsid w:val="00B92380"/>
    <w:rsid w:val="00B930EC"/>
    <w:rsid w:val="00B934AE"/>
    <w:rsid w:val="00B9355C"/>
    <w:rsid w:val="00B93E3C"/>
    <w:rsid w:val="00B93F62"/>
    <w:rsid w:val="00B9438C"/>
    <w:rsid w:val="00B943F9"/>
    <w:rsid w:val="00B94762"/>
    <w:rsid w:val="00B94C00"/>
    <w:rsid w:val="00B94FE1"/>
    <w:rsid w:val="00B95023"/>
    <w:rsid w:val="00B95258"/>
    <w:rsid w:val="00B95267"/>
    <w:rsid w:val="00B95558"/>
    <w:rsid w:val="00B9568D"/>
    <w:rsid w:val="00B9591C"/>
    <w:rsid w:val="00B96825"/>
    <w:rsid w:val="00B96C1A"/>
    <w:rsid w:val="00B97D79"/>
    <w:rsid w:val="00BA02D3"/>
    <w:rsid w:val="00BA19F1"/>
    <w:rsid w:val="00BA2404"/>
    <w:rsid w:val="00BA2A30"/>
    <w:rsid w:val="00BA2F01"/>
    <w:rsid w:val="00BA3092"/>
    <w:rsid w:val="00BA3584"/>
    <w:rsid w:val="00BA3E07"/>
    <w:rsid w:val="00BA4BC0"/>
    <w:rsid w:val="00BA4D78"/>
    <w:rsid w:val="00BA54E3"/>
    <w:rsid w:val="00BA56C2"/>
    <w:rsid w:val="00BA57C0"/>
    <w:rsid w:val="00BA5BCD"/>
    <w:rsid w:val="00BA665C"/>
    <w:rsid w:val="00BA6910"/>
    <w:rsid w:val="00BA6A9F"/>
    <w:rsid w:val="00BB133A"/>
    <w:rsid w:val="00BB18E3"/>
    <w:rsid w:val="00BB19E5"/>
    <w:rsid w:val="00BB241E"/>
    <w:rsid w:val="00BB2933"/>
    <w:rsid w:val="00BB2A06"/>
    <w:rsid w:val="00BB3288"/>
    <w:rsid w:val="00BB32A1"/>
    <w:rsid w:val="00BB33CA"/>
    <w:rsid w:val="00BB3DA0"/>
    <w:rsid w:val="00BB4666"/>
    <w:rsid w:val="00BB5540"/>
    <w:rsid w:val="00BB59D1"/>
    <w:rsid w:val="00BB68B6"/>
    <w:rsid w:val="00BB68EF"/>
    <w:rsid w:val="00BB6CE9"/>
    <w:rsid w:val="00BB784B"/>
    <w:rsid w:val="00BC04FA"/>
    <w:rsid w:val="00BC06D3"/>
    <w:rsid w:val="00BC0E05"/>
    <w:rsid w:val="00BC0E11"/>
    <w:rsid w:val="00BC1498"/>
    <w:rsid w:val="00BC175E"/>
    <w:rsid w:val="00BC1B25"/>
    <w:rsid w:val="00BC1CB7"/>
    <w:rsid w:val="00BC1FBE"/>
    <w:rsid w:val="00BC2452"/>
    <w:rsid w:val="00BC25DE"/>
    <w:rsid w:val="00BC28FB"/>
    <w:rsid w:val="00BC2DA6"/>
    <w:rsid w:val="00BC2FDC"/>
    <w:rsid w:val="00BC31D6"/>
    <w:rsid w:val="00BC320B"/>
    <w:rsid w:val="00BC3B4B"/>
    <w:rsid w:val="00BC3B99"/>
    <w:rsid w:val="00BC3DF8"/>
    <w:rsid w:val="00BC4412"/>
    <w:rsid w:val="00BC5ADA"/>
    <w:rsid w:val="00BC6225"/>
    <w:rsid w:val="00BC648B"/>
    <w:rsid w:val="00BC6CC9"/>
    <w:rsid w:val="00BC6D6E"/>
    <w:rsid w:val="00BC72A6"/>
    <w:rsid w:val="00BC765C"/>
    <w:rsid w:val="00BD0D9E"/>
    <w:rsid w:val="00BD15FE"/>
    <w:rsid w:val="00BD1893"/>
    <w:rsid w:val="00BD1A5E"/>
    <w:rsid w:val="00BD1E5A"/>
    <w:rsid w:val="00BD1EF3"/>
    <w:rsid w:val="00BD1F26"/>
    <w:rsid w:val="00BD229A"/>
    <w:rsid w:val="00BD23EB"/>
    <w:rsid w:val="00BD24DD"/>
    <w:rsid w:val="00BD3581"/>
    <w:rsid w:val="00BD3716"/>
    <w:rsid w:val="00BD3FC4"/>
    <w:rsid w:val="00BD43B2"/>
    <w:rsid w:val="00BD56AB"/>
    <w:rsid w:val="00BD5BDB"/>
    <w:rsid w:val="00BD6010"/>
    <w:rsid w:val="00BD632D"/>
    <w:rsid w:val="00BD6628"/>
    <w:rsid w:val="00BD69D2"/>
    <w:rsid w:val="00BD69FB"/>
    <w:rsid w:val="00BD6BC4"/>
    <w:rsid w:val="00BD6DA9"/>
    <w:rsid w:val="00BD73E2"/>
    <w:rsid w:val="00BD7926"/>
    <w:rsid w:val="00BE0261"/>
    <w:rsid w:val="00BE045A"/>
    <w:rsid w:val="00BE0FC9"/>
    <w:rsid w:val="00BE24BC"/>
    <w:rsid w:val="00BE2E85"/>
    <w:rsid w:val="00BE387C"/>
    <w:rsid w:val="00BE3D06"/>
    <w:rsid w:val="00BE425F"/>
    <w:rsid w:val="00BE458B"/>
    <w:rsid w:val="00BE4B3F"/>
    <w:rsid w:val="00BE4F4A"/>
    <w:rsid w:val="00BE6A1C"/>
    <w:rsid w:val="00BE6EC2"/>
    <w:rsid w:val="00BE770C"/>
    <w:rsid w:val="00BE78FD"/>
    <w:rsid w:val="00BF009E"/>
    <w:rsid w:val="00BF0309"/>
    <w:rsid w:val="00BF043F"/>
    <w:rsid w:val="00BF083D"/>
    <w:rsid w:val="00BF0D87"/>
    <w:rsid w:val="00BF123C"/>
    <w:rsid w:val="00BF153D"/>
    <w:rsid w:val="00BF18AF"/>
    <w:rsid w:val="00BF1ABF"/>
    <w:rsid w:val="00BF1BBD"/>
    <w:rsid w:val="00BF223E"/>
    <w:rsid w:val="00BF23B3"/>
    <w:rsid w:val="00BF3D2C"/>
    <w:rsid w:val="00BF410E"/>
    <w:rsid w:val="00BF41E7"/>
    <w:rsid w:val="00BF46CD"/>
    <w:rsid w:val="00BF4F2B"/>
    <w:rsid w:val="00BF570D"/>
    <w:rsid w:val="00BF5A32"/>
    <w:rsid w:val="00BF639A"/>
    <w:rsid w:val="00BF68F7"/>
    <w:rsid w:val="00BF6C13"/>
    <w:rsid w:val="00BF6CB8"/>
    <w:rsid w:val="00BF6D4E"/>
    <w:rsid w:val="00BF7D6F"/>
    <w:rsid w:val="00C0093A"/>
    <w:rsid w:val="00C009CD"/>
    <w:rsid w:val="00C00E6C"/>
    <w:rsid w:val="00C010B5"/>
    <w:rsid w:val="00C0129C"/>
    <w:rsid w:val="00C018CF"/>
    <w:rsid w:val="00C01932"/>
    <w:rsid w:val="00C022A2"/>
    <w:rsid w:val="00C02638"/>
    <w:rsid w:val="00C02BF8"/>
    <w:rsid w:val="00C02C7B"/>
    <w:rsid w:val="00C02EA0"/>
    <w:rsid w:val="00C02FEF"/>
    <w:rsid w:val="00C0304F"/>
    <w:rsid w:val="00C0351F"/>
    <w:rsid w:val="00C03B81"/>
    <w:rsid w:val="00C042AA"/>
    <w:rsid w:val="00C045AF"/>
    <w:rsid w:val="00C047CE"/>
    <w:rsid w:val="00C051E6"/>
    <w:rsid w:val="00C055E1"/>
    <w:rsid w:val="00C059AF"/>
    <w:rsid w:val="00C05AF8"/>
    <w:rsid w:val="00C05DB0"/>
    <w:rsid w:val="00C05FC6"/>
    <w:rsid w:val="00C06C95"/>
    <w:rsid w:val="00C071A8"/>
    <w:rsid w:val="00C071AB"/>
    <w:rsid w:val="00C07B37"/>
    <w:rsid w:val="00C07BEA"/>
    <w:rsid w:val="00C07D3A"/>
    <w:rsid w:val="00C104A9"/>
    <w:rsid w:val="00C10850"/>
    <w:rsid w:val="00C10A8E"/>
    <w:rsid w:val="00C10B83"/>
    <w:rsid w:val="00C10FDB"/>
    <w:rsid w:val="00C1112B"/>
    <w:rsid w:val="00C11317"/>
    <w:rsid w:val="00C11E03"/>
    <w:rsid w:val="00C11F78"/>
    <w:rsid w:val="00C1211F"/>
    <w:rsid w:val="00C13094"/>
    <w:rsid w:val="00C131D1"/>
    <w:rsid w:val="00C13880"/>
    <w:rsid w:val="00C14855"/>
    <w:rsid w:val="00C14AA5"/>
    <w:rsid w:val="00C14C00"/>
    <w:rsid w:val="00C14DA6"/>
    <w:rsid w:val="00C14F7A"/>
    <w:rsid w:val="00C15139"/>
    <w:rsid w:val="00C15A4E"/>
    <w:rsid w:val="00C16250"/>
    <w:rsid w:val="00C16461"/>
    <w:rsid w:val="00C1647A"/>
    <w:rsid w:val="00C172F6"/>
    <w:rsid w:val="00C17725"/>
    <w:rsid w:val="00C17D71"/>
    <w:rsid w:val="00C20FCC"/>
    <w:rsid w:val="00C2128F"/>
    <w:rsid w:val="00C212E1"/>
    <w:rsid w:val="00C213FE"/>
    <w:rsid w:val="00C215BD"/>
    <w:rsid w:val="00C2237B"/>
    <w:rsid w:val="00C2266B"/>
    <w:rsid w:val="00C22CED"/>
    <w:rsid w:val="00C236A0"/>
    <w:rsid w:val="00C2383D"/>
    <w:rsid w:val="00C23914"/>
    <w:rsid w:val="00C2392A"/>
    <w:rsid w:val="00C23A4B"/>
    <w:rsid w:val="00C23BC9"/>
    <w:rsid w:val="00C24175"/>
    <w:rsid w:val="00C248E3"/>
    <w:rsid w:val="00C24B72"/>
    <w:rsid w:val="00C24D64"/>
    <w:rsid w:val="00C24DBB"/>
    <w:rsid w:val="00C24FE0"/>
    <w:rsid w:val="00C2514F"/>
    <w:rsid w:val="00C25ABD"/>
    <w:rsid w:val="00C2667B"/>
    <w:rsid w:val="00C267FB"/>
    <w:rsid w:val="00C27E69"/>
    <w:rsid w:val="00C302DD"/>
    <w:rsid w:val="00C30E0D"/>
    <w:rsid w:val="00C30EF0"/>
    <w:rsid w:val="00C30F02"/>
    <w:rsid w:val="00C31384"/>
    <w:rsid w:val="00C31942"/>
    <w:rsid w:val="00C31B7D"/>
    <w:rsid w:val="00C31BD9"/>
    <w:rsid w:val="00C31C59"/>
    <w:rsid w:val="00C3219A"/>
    <w:rsid w:val="00C32980"/>
    <w:rsid w:val="00C32DCC"/>
    <w:rsid w:val="00C32F92"/>
    <w:rsid w:val="00C33428"/>
    <w:rsid w:val="00C33446"/>
    <w:rsid w:val="00C337FF"/>
    <w:rsid w:val="00C33E04"/>
    <w:rsid w:val="00C341A8"/>
    <w:rsid w:val="00C342C8"/>
    <w:rsid w:val="00C34362"/>
    <w:rsid w:val="00C34407"/>
    <w:rsid w:val="00C345AA"/>
    <w:rsid w:val="00C34617"/>
    <w:rsid w:val="00C3491E"/>
    <w:rsid w:val="00C35486"/>
    <w:rsid w:val="00C35D30"/>
    <w:rsid w:val="00C35E44"/>
    <w:rsid w:val="00C35EC6"/>
    <w:rsid w:val="00C35FEA"/>
    <w:rsid w:val="00C3618C"/>
    <w:rsid w:val="00C365B7"/>
    <w:rsid w:val="00C3667E"/>
    <w:rsid w:val="00C36924"/>
    <w:rsid w:val="00C36968"/>
    <w:rsid w:val="00C372EA"/>
    <w:rsid w:val="00C3770A"/>
    <w:rsid w:val="00C402D4"/>
    <w:rsid w:val="00C405C5"/>
    <w:rsid w:val="00C4104D"/>
    <w:rsid w:val="00C412BF"/>
    <w:rsid w:val="00C4188D"/>
    <w:rsid w:val="00C41900"/>
    <w:rsid w:val="00C41A01"/>
    <w:rsid w:val="00C41AEE"/>
    <w:rsid w:val="00C41B7B"/>
    <w:rsid w:val="00C41EE4"/>
    <w:rsid w:val="00C424A1"/>
    <w:rsid w:val="00C42897"/>
    <w:rsid w:val="00C42A1A"/>
    <w:rsid w:val="00C431D9"/>
    <w:rsid w:val="00C43274"/>
    <w:rsid w:val="00C43732"/>
    <w:rsid w:val="00C439E3"/>
    <w:rsid w:val="00C439ED"/>
    <w:rsid w:val="00C440BA"/>
    <w:rsid w:val="00C44132"/>
    <w:rsid w:val="00C44593"/>
    <w:rsid w:val="00C44653"/>
    <w:rsid w:val="00C448C4"/>
    <w:rsid w:val="00C45484"/>
    <w:rsid w:val="00C4577D"/>
    <w:rsid w:val="00C45829"/>
    <w:rsid w:val="00C45C00"/>
    <w:rsid w:val="00C45FEC"/>
    <w:rsid w:val="00C463F4"/>
    <w:rsid w:val="00C46F07"/>
    <w:rsid w:val="00C47256"/>
    <w:rsid w:val="00C4743A"/>
    <w:rsid w:val="00C47CED"/>
    <w:rsid w:val="00C47D75"/>
    <w:rsid w:val="00C47F06"/>
    <w:rsid w:val="00C50108"/>
    <w:rsid w:val="00C5030E"/>
    <w:rsid w:val="00C50380"/>
    <w:rsid w:val="00C50911"/>
    <w:rsid w:val="00C51917"/>
    <w:rsid w:val="00C520F1"/>
    <w:rsid w:val="00C52111"/>
    <w:rsid w:val="00C52288"/>
    <w:rsid w:val="00C52952"/>
    <w:rsid w:val="00C536A4"/>
    <w:rsid w:val="00C53A18"/>
    <w:rsid w:val="00C54519"/>
    <w:rsid w:val="00C5502E"/>
    <w:rsid w:val="00C5529D"/>
    <w:rsid w:val="00C55876"/>
    <w:rsid w:val="00C55AE3"/>
    <w:rsid w:val="00C55F35"/>
    <w:rsid w:val="00C564C2"/>
    <w:rsid w:val="00C56B09"/>
    <w:rsid w:val="00C573E8"/>
    <w:rsid w:val="00C578B8"/>
    <w:rsid w:val="00C57AAF"/>
    <w:rsid w:val="00C57D20"/>
    <w:rsid w:val="00C602A5"/>
    <w:rsid w:val="00C605D0"/>
    <w:rsid w:val="00C60E14"/>
    <w:rsid w:val="00C611A4"/>
    <w:rsid w:val="00C6127A"/>
    <w:rsid w:val="00C6200A"/>
    <w:rsid w:val="00C62C52"/>
    <w:rsid w:val="00C635FF"/>
    <w:rsid w:val="00C63CC7"/>
    <w:rsid w:val="00C63EAA"/>
    <w:rsid w:val="00C63EF5"/>
    <w:rsid w:val="00C64147"/>
    <w:rsid w:val="00C64760"/>
    <w:rsid w:val="00C649EC"/>
    <w:rsid w:val="00C649F7"/>
    <w:rsid w:val="00C64F6D"/>
    <w:rsid w:val="00C65428"/>
    <w:rsid w:val="00C65D0A"/>
    <w:rsid w:val="00C664FB"/>
    <w:rsid w:val="00C67678"/>
    <w:rsid w:val="00C67832"/>
    <w:rsid w:val="00C67D2F"/>
    <w:rsid w:val="00C7072F"/>
    <w:rsid w:val="00C71215"/>
    <w:rsid w:val="00C71230"/>
    <w:rsid w:val="00C7177A"/>
    <w:rsid w:val="00C72A6C"/>
    <w:rsid w:val="00C72EC0"/>
    <w:rsid w:val="00C72F36"/>
    <w:rsid w:val="00C72F90"/>
    <w:rsid w:val="00C73431"/>
    <w:rsid w:val="00C73573"/>
    <w:rsid w:val="00C73D23"/>
    <w:rsid w:val="00C740DB"/>
    <w:rsid w:val="00C750D3"/>
    <w:rsid w:val="00C7531B"/>
    <w:rsid w:val="00C75871"/>
    <w:rsid w:val="00C75F09"/>
    <w:rsid w:val="00C7608B"/>
    <w:rsid w:val="00C766C1"/>
    <w:rsid w:val="00C76720"/>
    <w:rsid w:val="00C76CD8"/>
    <w:rsid w:val="00C76DD6"/>
    <w:rsid w:val="00C770CD"/>
    <w:rsid w:val="00C7728F"/>
    <w:rsid w:val="00C77409"/>
    <w:rsid w:val="00C77BFE"/>
    <w:rsid w:val="00C77DBF"/>
    <w:rsid w:val="00C8009B"/>
    <w:rsid w:val="00C801E1"/>
    <w:rsid w:val="00C801EE"/>
    <w:rsid w:val="00C80352"/>
    <w:rsid w:val="00C80353"/>
    <w:rsid w:val="00C80398"/>
    <w:rsid w:val="00C8050D"/>
    <w:rsid w:val="00C80F09"/>
    <w:rsid w:val="00C81FD6"/>
    <w:rsid w:val="00C81FE6"/>
    <w:rsid w:val="00C82AF6"/>
    <w:rsid w:val="00C82C33"/>
    <w:rsid w:val="00C82D5B"/>
    <w:rsid w:val="00C82EAA"/>
    <w:rsid w:val="00C82F4C"/>
    <w:rsid w:val="00C83AA5"/>
    <w:rsid w:val="00C84494"/>
    <w:rsid w:val="00C844C8"/>
    <w:rsid w:val="00C84B2A"/>
    <w:rsid w:val="00C850CC"/>
    <w:rsid w:val="00C8517E"/>
    <w:rsid w:val="00C85D98"/>
    <w:rsid w:val="00C85F44"/>
    <w:rsid w:val="00C87CF0"/>
    <w:rsid w:val="00C87FCE"/>
    <w:rsid w:val="00C90C1D"/>
    <w:rsid w:val="00C90E84"/>
    <w:rsid w:val="00C91067"/>
    <w:rsid w:val="00C91481"/>
    <w:rsid w:val="00C91EC2"/>
    <w:rsid w:val="00C9249F"/>
    <w:rsid w:val="00C92CB5"/>
    <w:rsid w:val="00C93048"/>
    <w:rsid w:val="00C933C9"/>
    <w:rsid w:val="00C9375D"/>
    <w:rsid w:val="00C9376F"/>
    <w:rsid w:val="00C93789"/>
    <w:rsid w:val="00C93B8B"/>
    <w:rsid w:val="00C93C76"/>
    <w:rsid w:val="00C93DAC"/>
    <w:rsid w:val="00C948E5"/>
    <w:rsid w:val="00C94F95"/>
    <w:rsid w:val="00C95149"/>
    <w:rsid w:val="00C95676"/>
    <w:rsid w:val="00C95723"/>
    <w:rsid w:val="00C95D7B"/>
    <w:rsid w:val="00C95DEB"/>
    <w:rsid w:val="00C96930"/>
    <w:rsid w:val="00C9723A"/>
    <w:rsid w:val="00CA01CF"/>
    <w:rsid w:val="00CA07E2"/>
    <w:rsid w:val="00CA1533"/>
    <w:rsid w:val="00CA1B21"/>
    <w:rsid w:val="00CA1E11"/>
    <w:rsid w:val="00CA21A1"/>
    <w:rsid w:val="00CA22A4"/>
    <w:rsid w:val="00CA25A9"/>
    <w:rsid w:val="00CA2E65"/>
    <w:rsid w:val="00CA31DD"/>
    <w:rsid w:val="00CA379F"/>
    <w:rsid w:val="00CA47A8"/>
    <w:rsid w:val="00CA4864"/>
    <w:rsid w:val="00CA493F"/>
    <w:rsid w:val="00CA4AF6"/>
    <w:rsid w:val="00CA4CF5"/>
    <w:rsid w:val="00CA5347"/>
    <w:rsid w:val="00CA5493"/>
    <w:rsid w:val="00CA5593"/>
    <w:rsid w:val="00CA5DCB"/>
    <w:rsid w:val="00CA635D"/>
    <w:rsid w:val="00CA7082"/>
    <w:rsid w:val="00CA74F6"/>
    <w:rsid w:val="00CA7917"/>
    <w:rsid w:val="00CA7FDD"/>
    <w:rsid w:val="00CB022C"/>
    <w:rsid w:val="00CB0B3D"/>
    <w:rsid w:val="00CB0FE5"/>
    <w:rsid w:val="00CB125C"/>
    <w:rsid w:val="00CB1866"/>
    <w:rsid w:val="00CB2141"/>
    <w:rsid w:val="00CB215D"/>
    <w:rsid w:val="00CB221F"/>
    <w:rsid w:val="00CB2858"/>
    <w:rsid w:val="00CB2A6A"/>
    <w:rsid w:val="00CB2B7A"/>
    <w:rsid w:val="00CB2BF5"/>
    <w:rsid w:val="00CB2D3D"/>
    <w:rsid w:val="00CB2DB2"/>
    <w:rsid w:val="00CB45BA"/>
    <w:rsid w:val="00CB4900"/>
    <w:rsid w:val="00CB4901"/>
    <w:rsid w:val="00CB4C21"/>
    <w:rsid w:val="00CB5046"/>
    <w:rsid w:val="00CB542D"/>
    <w:rsid w:val="00CB596F"/>
    <w:rsid w:val="00CB59E9"/>
    <w:rsid w:val="00CB5A2F"/>
    <w:rsid w:val="00CB6100"/>
    <w:rsid w:val="00CB62E9"/>
    <w:rsid w:val="00CB66EC"/>
    <w:rsid w:val="00CB6BE5"/>
    <w:rsid w:val="00CB7064"/>
    <w:rsid w:val="00CB7094"/>
    <w:rsid w:val="00CB76BB"/>
    <w:rsid w:val="00CB7867"/>
    <w:rsid w:val="00CB7C0D"/>
    <w:rsid w:val="00CC0101"/>
    <w:rsid w:val="00CC0620"/>
    <w:rsid w:val="00CC0B06"/>
    <w:rsid w:val="00CC0DFF"/>
    <w:rsid w:val="00CC105E"/>
    <w:rsid w:val="00CC1085"/>
    <w:rsid w:val="00CC19C9"/>
    <w:rsid w:val="00CC1A94"/>
    <w:rsid w:val="00CC1C5A"/>
    <w:rsid w:val="00CC1EBB"/>
    <w:rsid w:val="00CC3155"/>
    <w:rsid w:val="00CC397F"/>
    <w:rsid w:val="00CC39F2"/>
    <w:rsid w:val="00CC3E9F"/>
    <w:rsid w:val="00CC3FEC"/>
    <w:rsid w:val="00CC4766"/>
    <w:rsid w:val="00CC4961"/>
    <w:rsid w:val="00CC4A46"/>
    <w:rsid w:val="00CC4AB5"/>
    <w:rsid w:val="00CC4D01"/>
    <w:rsid w:val="00CC6466"/>
    <w:rsid w:val="00CC6CBF"/>
    <w:rsid w:val="00CC7D65"/>
    <w:rsid w:val="00CC7F6B"/>
    <w:rsid w:val="00CD050B"/>
    <w:rsid w:val="00CD0720"/>
    <w:rsid w:val="00CD0F07"/>
    <w:rsid w:val="00CD1000"/>
    <w:rsid w:val="00CD12FD"/>
    <w:rsid w:val="00CD222A"/>
    <w:rsid w:val="00CD2295"/>
    <w:rsid w:val="00CD2C6D"/>
    <w:rsid w:val="00CD35F9"/>
    <w:rsid w:val="00CD36A7"/>
    <w:rsid w:val="00CD419E"/>
    <w:rsid w:val="00CD468D"/>
    <w:rsid w:val="00CD498E"/>
    <w:rsid w:val="00CD5695"/>
    <w:rsid w:val="00CD6319"/>
    <w:rsid w:val="00CD6AAC"/>
    <w:rsid w:val="00CD6E48"/>
    <w:rsid w:val="00CD6EF8"/>
    <w:rsid w:val="00CD790D"/>
    <w:rsid w:val="00CE1302"/>
    <w:rsid w:val="00CE1B85"/>
    <w:rsid w:val="00CE1F94"/>
    <w:rsid w:val="00CE1F98"/>
    <w:rsid w:val="00CE24C8"/>
    <w:rsid w:val="00CE2653"/>
    <w:rsid w:val="00CE2BD1"/>
    <w:rsid w:val="00CE2CEA"/>
    <w:rsid w:val="00CE2FA5"/>
    <w:rsid w:val="00CE30C3"/>
    <w:rsid w:val="00CE3775"/>
    <w:rsid w:val="00CE43C8"/>
    <w:rsid w:val="00CE4753"/>
    <w:rsid w:val="00CE49A4"/>
    <w:rsid w:val="00CE514A"/>
    <w:rsid w:val="00CE6571"/>
    <w:rsid w:val="00CE6E62"/>
    <w:rsid w:val="00CE71C3"/>
    <w:rsid w:val="00CE7D89"/>
    <w:rsid w:val="00CE7DBA"/>
    <w:rsid w:val="00CF0543"/>
    <w:rsid w:val="00CF0A8B"/>
    <w:rsid w:val="00CF0FE6"/>
    <w:rsid w:val="00CF1B85"/>
    <w:rsid w:val="00CF1E99"/>
    <w:rsid w:val="00CF210A"/>
    <w:rsid w:val="00CF220A"/>
    <w:rsid w:val="00CF2496"/>
    <w:rsid w:val="00CF3208"/>
    <w:rsid w:val="00CF39E2"/>
    <w:rsid w:val="00CF3FD6"/>
    <w:rsid w:val="00CF426E"/>
    <w:rsid w:val="00CF4B1A"/>
    <w:rsid w:val="00CF4D58"/>
    <w:rsid w:val="00CF4EEB"/>
    <w:rsid w:val="00CF4FE4"/>
    <w:rsid w:val="00CF5A0C"/>
    <w:rsid w:val="00CF60C2"/>
    <w:rsid w:val="00CF6125"/>
    <w:rsid w:val="00CF62A9"/>
    <w:rsid w:val="00CF6AAB"/>
    <w:rsid w:val="00CF6CA8"/>
    <w:rsid w:val="00CF7047"/>
    <w:rsid w:val="00CF7740"/>
    <w:rsid w:val="00CF7A4C"/>
    <w:rsid w:val="00CF7F53"/>
    <w:rsid w:val="00D00946"/>
    <w:rsid w:val="00D010AD"/>
    <w:rsid w:val="00D022FE"/>
    <w:rsid w:val="00D02905"/>
    <w:rsid w:val="00D02A32"/>
    <w:rsid w:val="00D02A63"/>
    <w:rsid w:val="00D02D78"/>
    <w:rsid w:val="00D02DE8"/>
    <w:rsid w:val="00D02FCD"/>
    <w:rsid w:val="00D030A5"/>
    <w:rsid w:val="00D034D5"/>
    <w:rsid w:val="00D04119"/>
    <w:rsid w:val="00D047A7"/>
    <w:rsid w:val="00D04AD4"/>
    <w:rsid w:val="00D04D0C"/>
    <w:rsid w:val="00D059C6"/>
    <w:rsid w:val="00D05F68"/>
    <w:rsid w:val="00D0604E"/>
    <w:rsid w:val="00D066B0"/>
    <w:rsid w:val="00D066F0"/>
    <w:rsid w:val="00D06A22"/>
    <w:rsid w:val="00D072F0"/>
    <w:rsid w:val="00D07BEF"/>
    <w:rsid w:val="00D10671"/>
    <w:rsid w:val="00D1109B"/>
    <w:rsid w:val="00D111DE"/>
    <w:rsid w:val="00D1134F"/>
    <w:rsid w:val="00D11515"/>
    <w:rsid w:val="00D11A93"/>
    <w:rsid w:val="00D12021"/>
    <w:rsid w:val="00D123D5"/>
    <w:rsid w:val="00D13067"/>
    <w:rsid w:val="00D1327F"/>
    <w:rsid w:val="00D133EA"/>
    <w:rsid w:val="00D13802"/>
    <w:rsid w:val="00D13F1F"/>
    <w:rsid w:val="00D13FD3"/>
    <w:rsid w:val="00D140CC"/>
    <w:rsid w:val="00D15008"/>
    <w:rsid w:val="00D15720"/>
    <w:rsid w:val="00D160E5"/>
    <w:rsid w:val="00D16624"/>
    <w:rsid w:val="00D166A6"/>
    <w:rsid w:val="00D16B85"/>
    <w:rsid w:val="00D16C0E"/>
    <w:rsid w:val="00D16E49"/>
    <w:rsid w:val="00D174E5"/>
    <w:rsid w:val="00D1789E"/>
    <w:rsid w:val="00D178E8"/>
    <w:rsid w:val="00D1791C"/>
    <w:rsid w:val="00D17940"/>
    <w:rsid w:val="00D17D09"/>
    <w:rsid w:val="00D17ED9"/>
    <w:rsid w:val="00D20728"/>
    <w:rsid w:val="00D20A6E"/>
    <w:rsid w:val="00D21020"/>
    <w:rsid w:val="00D21642"/>
    <w:rsid w:val="00D22346"/>
    <w:rsid w:val="00D22734"/>
    <w:rsid w:val="00D2274F"/>
    <w:rsid w:val="00D229F7"/>
    <w:rsid w:val="00D22C64"/>
    <w:rsid w:val="00D230CD"/>
    <w:rsid w:val="00D232C7"/>
    <w:rsid w:val="00D23AAB"/>
    <w:rsid w:val="00D23AF2"/>
    <w:rsid w:val="00D23BC0"/>
    <w:rsid w:val="00D24410"/>
    <w:rsid w:val="00D244D0"/>
    <w:rsid w:val="00D24918"/>
    <w:rsid w:val="00D24E66"/>
    <w:rsid w:val="00D25088"/>
    <w:rsid w:val="00D2521D"/>
    <w:rsid w:val="00D25F77"/>
    <w:rsid w:val="00D2617E"/>
    <w:rsid w:val="00D26288"/>
    <w:rsid w:val="00D27377"/>
    <w:rsid w:val="00D273BE"/>
    <w:rsid w:val="00D2755E"/>
    <w:rsid w:val="00D27C16"/>
    <w:rsid w:val="00D27D14"/>
    <w:rsid w:val="00D27EA1"/>
    <w:rsid w:val="00D31E21"/>
    <w:rsid w:val="00D32932"/>
    <w:rsid w:val="00D32AB7"/>
    <w:rsid w:val="00D33A56"/>
    <w:rsid w:val="00D33C7F"/>
    <w:rsid w:val="00D33D4F"/>
    <w:rsid w:val="00D34FA3"/>
    <w:rsid w:val="00D35344"/>
    <w:rsid w:val="00D35638"/>
    <w:rsid w:val="00D356FC"/>
    <w:rsid w:val="00D35E78"/>
    <w:rsid w:val="00D36248"/>
    <w:rsid w:val="00D367D9"/>
    <w:rsid w:val="00D36AAB"/>
    <w:rsid w:val="00D36EB7"/>
    <w:rsid w:val="00D3705C"/>
    <w:rsid w:val="00D378D2"/>
    <w:rsid w:val="00D40680"/>
    <w:rsid w:val="00D406FF"/>
    <w:rsid w:val="00D410D6"/>
    <w:rsid w:val="00D4126B"/>
    <w:rsid w:val="00D41391"/>
    <w:rsid w:val="00D41686"/>
    <w:rsid w:val="00D41716"/>
    <w:rsid w:val="00D41989"/>
    <w:rsid w:val="00D41A8D"/>
    <w:rsid w:val="00D424FB"/>
    <w:rsid w:val="00D4262D"/>
    <w:rsid w:val="00D4288E"/>
    <w:rsid w:val="00D42A78"/>
    <w:rsid w:val="00D42E33"/>
    <w:rsid w:val="00D4367D"/>
    <w:rsid w:val="00D442DD"/>
    <w:rsid w:val="00D44B78"/>
    <w:rsid w:val="00D45634"/>
    <w:rsid w:val="00D45A60"/>
    <w:rsid w:val="00D46122"/>
    <w:rsid w:val="00D46887"/>
    <w:rsid w:val="00D473DE"/>
    <w:rsid w:val="00D47723"/>
    <w:rsid w:val="00D47DBB"/>
    <w:rsid w:val="00D50023"/>
    <w:rsid w:val="00D50583"/>
    <w:rsid w:val="00D506F0"/>
    <w:rsid w:val="00D50AFC"/>
    <w:rsid w:val="00D50F19"/>
    <w:rsid w:val="00D516BF"/>
    <w:rsid w:val="00D517A0"/>
    <w:rsid w:val="00D517B8"/>
    <w:rsid w:val="00D51A39"/>
    <w:rsid w:val="00D52093"/>
    <w:rsid w:val="00D52243"/>
    <w:rsid w:val="00D52539"/>
    <w:rsid w:val="00D5280F"/>
    <w:rsid w:val="00D52C04"/>
    <w:rsid w:val="00D52FD7"/>
    <w:rsid w:val="00D5325C"/>
    <w:rsid w:val="00D53418"/>
    <w:rsid w:val="00D53998"/>
    <w:rsid w:val="00D53A02"/>
    <w:rsid w:val="00D53F24"/>
    <w:rsid w:val="00D53F39"/>
    <w:rsid w:val="00D54197"/>
    <w:rsid w:val="00D541E4"/>
    <w:rsid w:val="00D5436B"/>
    <w:rsid w:val="00D5477A"/>
    <w:rsid w:val="00D54AD3"/>
    <w:rsid w:val="00D54AF4"/>
    <w:rsid w:val="00D5548C"/>
    <w:rsid w:val="00D5555C"/>
    <w:rsid w:val="00D5575E"/>
    <w:rsid w:val="00D568F9"/>
    <w:rsid w:val="00D56CB6"/>
    <w:rsid w:val="00D56EAD"/>
    <w:rsid w:val="00D5726D"/>
    <w:rsid w:val="00D57511"/>
    <w:rsid w:val="00D57658"/>
    <w:rsid w:val="00D57936"/>
    <w:rsid w:val="00D57AA0"/>
    <w:rsid w:val="00D57DD0"/>
    <w:rsid w:val="00D60318"/>
    <w:rsid w:val="00D6056F"/>
    <w:rsid w:val="00D60867"/>
    <w:rsid w:val="00D60C42"/>
    <w:rsid w:val="00D611F3"/>
    <w:rsid w:val="00D6146D"/>
    <w:rsid w:val="00D625D6"/>
    <w:rsid w:val="00D6278D"/>
    <w:rsid w:val="00D63383"/>
    <w:rsid w:val="00D63846"/>
    <w:rsid w:val="00D63DD7"/>
    <w:rsid w:val="00D63E7F"/>
    <w:rsid w:val="00D6422C"/>
    <w:rsid w:val="00D65338"/>
    <w:rsid w:val="00D65B94"/>
    <w:rsid w:val="00D65CD8"/>
    <w:rsid w:val="00D66ABB"/>
    <w:rsid w:val="00D67234"/>
    <w:rsid w:val="00D67916"/>
    <w:rsid w:val="00D67A18"/>
    <w:rsid w:val="00D67E67"/>
    <w:rsid w:val="00D7009A"/>
    <w:rsid w:val="00D701FD"/>
    <w:rsid w:val="00D70D21"/>
    <w:rsid w:val="00D7197B"/>
    <w:rsid w:val="00D71FFF"/>
    <w:rsid w:val="00D7202B"/>
    <w:rsid w:val="00D72B2D"/>
    <w:rsid w:val="00D731A9"/>
    <w:rsid w:val="00D73CFD"/>
    <w:rsid w:val="00D74244"/>
    <w:rsid w:val="00D7491E"/>
    <w:rsid w:val="00D74BEC"/>
    <w:rsid w:val="00D75176"/>
    <w:rsid w:val="00D75390"/>
    <w:rsid w:val="00D753BF"/>
    <w:rsid w:val="00D754C9"/>
    <w:rsid w:val="00D75961"/>
    <w:rsid w:val="00D76362"/>
    <w:rsid w:val="00D76366"/>
    <w:rsid w:val="00D764A9"/>
    <w:rsid w:val="00D76649"/>
    <w:rsid w:val="00D76826"/>
    <w:rsid w:val="00D76892"/>
    <w:rsid w:val="00D768DA"/>
    <w:rsid w:val="00D76BE4"/>
    <w:rsid w:val="00D76F6C"/>
    <w:rsid w:val="00D770F0"/>
    <w:rsid w:val="00D77596"/>
    <w:rsid w:val="00D7774E"/>
    <w:rsid w:val="00D77BC8"/>
    <w:rsid w:val="00D80271"/>
    <w:rsid w:val="00D809F9"/>
    <w:rsid w:val="00D80E2F"/>
    <w:rsid w:val="00D816FB"/>
    <w:rsid w:val="00D819E2"/>
    <w:rsid w:val="00D827A8"/>
    <w:rsid w:val="00D83653"/>
    <w:rsid w:val="00D83E57"/>
    <w:rsid w:val="00D842F1"/>
    <w:rsid w:val="00D84329"/>
    <w:rsid w:val="00D84851"/>
    <w:rsid w:val="00D84A26"/>
    <w:rsid w:val="00D84F23"/>
    <w:rsid w:val="00D85020"/>
    <w:rsid w:val="00D85340"/>
    <w:rsid w:val="00D85538"/>
    <w:rsid w:val="00D86C46"/>
    <w:rsid w:val="00D86C5E"/>
    <w:rsid w:val="00D86EF3"/>
    <w:rsid w:val="00D878B1"/>
    <w:rsid w:val="00D87D4E"/>
    <w:rsid w:val="00D90B36"/>
    <w:rsid w:val="00D91018"/>
    <w:rsid w:val="00D9162A"/>
    <w:rsid w:val="00D91800"/>
    <w:rsid w:val="00D91985"/>
    <w:rsid w:val="00D922A3"/>
    <w:rsid w:val="00D923C8"/>
    <w:rsid w:val="00D92AB4"/>
    <w:rsid w:val="00D93141"/>
    <w:rsid w:val="00D93BF9"/>
    <w:rsid w:val="00D94107"/>
    <w:rsid w:val="00D94311"/>
    <w:rsid w:val="00D94D3B"/>
    <w:rsid w:val="00D95042"/>
    <w:rsid w:val="00D9545E"/>
    <w:rsid w:val="00D95B2F"/>
    <w:rsid w:val="00D95BD5"/>
    <w:rsid w:val="00D96142"/>
    <w:rsid w:val="00D9685E"/>
    <w:rsid w:val="00D96C70"/>
    <w:rsid w:val="00D976E4"/>
    <w:rsid w:val="00D97886"/>
    <w:rsid w:val="00D97A05"/>
    <w:rsid w:val="00D97D4F"/>
    <w:rsid w:val="00DA02D7"/>
    <w:rsid w:val="00DA067C"/>
    <w:rsid w:val="00DA0D13"/>
    <w:rsid w:val="00DA1333"/>
    <w:rsid w:val="00DA1608"/>
    <w:rsid w:val="00DA169C"/>
    <w:rsid w:val="00DA2948"/>
    <w:rsid w:val="00DA4117"/>
    <w:rsid w:val="00DA4FD3"/>
    <w:rsid w:val="00DA50C1"/>
    <w:rsid w:val="00DA50CE"/>
    <w:rsid w:val="00DA54DA"/>
    <w:rsid w:val="00DA5862"/>
    <w:rsid w:val="00DA5938"/>
    <w:rsid w:val="00DA5CC1"/>
    <w:rsid w:val="00DA6249"/>
    <w:rsid w:val="00DA72D3"/>
    <w:rsid w:val="00DA7C87"/>
    <w:rsid w:val="00DB03AF"/>
    <w:rsid w:val="00DB075C"/>
    <w:rsid w:val="00DB0806"/>
    <w:rsid w:val="00DB15A7"/>
    <w:rsid w:val="00DB1953"/>
    <w:rsid w:val="00DB2B8F"/>
    <w:rsid w:val="00DB3006"/>
    <w:rsid w:val="00DB3338"/>
    <w:rsid w:val="00DB3613"/>
    <w:rsid w:val="00DB3924"/>
    <w:rsid w:val="00DB44CE"/>
    <w:rsid w:val="00DB47E0"/>
    <w:rsid w:val="00DB4C95"/>
    <w:rsid w:val="00DB4E27"/>
    <w:rsid w:val="00DB5161"/>
    <w:rsid w:val="00DB518E"/>
    <w:rsid w:val="00DB51F2"/>
    <w:rsid w:val="00DB596D"/>
    <w:rsid w:val="00DB5B2E"/>
    <w:rsid w:val="00DB5E1F"/>
    <w:rsid w:val="00DB60D2"/>
    <w:rsid w:val="00DB6CFD"/>
    <w:rsid w:val="00DB7A98"/>
    <w:rsid w:val="00DB7AD5"/>
    <w:rsid w:val="00DB7AF4"/>
    <w:rsid w:val="00DB7C35"/>
    <w:rsid w:val="00DB7C4E"/>
    <w:rsid w:val="00DC00F1"/>
    <w:rsid w:val="00DC09B3"/>
    <w:rsid w:val="00DC100A"/>
    <w:rsid w:val="00DC13AA"/>
    <w:rsid w:val="00DC18B7"/>
    <w:rsid w:val="00DC1987"/>
    <w:rsid w:val="00DC1AAA"/>
    <w:rsid w:val="00DC1ABA"/>
    <w:rsid w:val="00DC1D6D"/>
    <w:rsid w:val="00DC1F9D"/>
    <w:rsid w:val="00DC210A"/>
    <w:rsid w:val="00DC22D8"/>
    <w:rsid w:val="00DC288B"/>
    <w:rsid w:val="00DC2ADE"/>
    <w:rsid w:val="00DC2D8A"/>
    <w:rsid w:val="00DC372E"/>
    <w:rsid w:val="00DC3930"/>
    <w:rsid w:val="00DC3F5C"/>
    <w:rsid w:val="00DC430A"/>
    <w:rsid w:val="00DC4703"/>
    <w:rsid w:val="00DC4B27"/>
    <w:rsid w:val="00DC4E52"/>
    <w:rsid w:val="00DC50E8"/>
    <w:rsid w:val="00DC5192"/>
    <w:rsid w:val="00DC5540"/>
    <w:rsid w:val="00DC5B05"/>
    <w:rsid w:val="00DC5C12"/>
    <w:rsid w:val="00DC69F1"/>
    <w:rsid w:val="00DC6AD7"/>
    <w:rsid w:val="00DC6B27"/>
    <w:rsid w:val="00DC6DA6"/>
    <w:rsid w:val="00DC6F9C"/>
    <w:rsid w:val="00DC73B8"/>
    <w:rsid w:val="00DC7457"/>
    <w:rsid w:val="00DC74C8"/>
    <w:rsid w:val="00DC7C39"/>
    <w:rsid w:val="00DD05AE"/>
    <w:rsid w:val="00DD0977"/>
    <w:rsid w:val="00DD0DA6"/>
    <w:rsid w:val="00DD1558"/>
    <w:rsid w:val="00DD17FA"/>
    <w:rsid w:val="00DD21AD"/>
    <w:rsid w:val="00DD245C"/>
    <w:rsid w:val="00DD2E29"/>
    <w:rsid w:val="00DD40EC"/>
    <w:rsid w:val="00DD411B"/>
    <w:rsid w:val="00DD43C8"/>
    <w:rsid w:val="00DD5308"/>
    <w:rsid w:val="00DD5BC4"/>
    <w:rsid w:val="00DD5DEE"/>
    <w:rsid w:val="00DD632F"/>
    <w:rsid w:val="00DD6A20"/>
    <w:rsid w:val="00DD6BD8"/>
    <w:rsid w:val="00DD76AD"/>
    <w:rsid w:val="00DD7954"/>
    <w:rsid w:val="00DD7B95"/>
    <w:rsid w:val="00DE055E"/>
    <w:rsid w:val="00DE070D"/>
    <w:rsid w:val="00DE23CD"/>
    <w:rsid w:val="00DE2404"/>
    <w:rsid w:val="00DE278A"/>
    <w:rsid w:val="00DE3098"/>
    <w:rsid w:val="00DE334B"/>
    <w:rsid w:val="00DE458E"/>
    <w:rsid w:val="00DE48D7"/>
    <w:rsid w:val="00DE4979"/>
    <w:rsid w:val="00DE4B90"/>
    <w:rsid w:val="00DE4D42"/>
    <w:rsid w:val="00DE5080"/>
    <w:rsid w:val="00DE5304"/>
    <w:rsid w:val="00DE5661"/>
    <w:rsid w:val="00DE608C"/>
    <w:rsid w:val="00DE62A6"/>
    <w:rsid w:val="00DE6738"/>
    <w:rsid w:val="00DE6CDE"/>
    <w:rsid w:val="00DE70DE"/>
    <w:rsid w:val="00DE7788"/>
    <w:rsid w:val="00DE79EB"/>
    <w:rsid w:val="00DE7D77"/>
    <w:rsid w:val="00DE7F09"/>
    <w:rsid w:val="00DF04A0"/>
    <w:rsid w:val="00DF0DD7"/>
    <w:rsid w:val="00DF15A9"/>
    <w:rsid w:val="00DF1777"/>
    <w:rsid w:val="00DF1CB0"/>
    <w:rsid w:val="00DF1EF7"/>
    <w:rsid w:val="00DF1FDF"/>
    <w:rsid w:val="00DF208F"/>
    <w:rsid w:val="00DF21B3"/>
    <w:rsid w:val="00DF2CBE"/>
    <w:rsid w:val="00DF2D06"/>
    <w:rsid w:val="00DF2FF2"/>
    <w:rsid w:val="00DF3032"/>
    <w:rsid w:val="00DF3DE0"/>
    <w:rsid w:val="00DF508E"/>
    <w:rsid w:val="00DF50AA"/>
    <w:rsid w:val="00DF5303"/>
    <w:rsid w:val="00DF5C8E"/>
    <w:rsid w:val="00DF5F1D"/>
    <w:rsid w:val="00DF7365"/>
    <w:rsid w:val="00DF771E"/>
    <w:rsid w:val="00E005A3"/>
    <w:rsid w:val="00E00CB7"/>
    <w:rsid w:val="00E01451"/>
    <w:rsid w:val="00E0180A"/>
    <w:rsid w:val="00E01B2A"/>
    <w:rsid w:val="00E01D63"/>
    <w:rsid w:val="00E01DC1"/>
    <w:rsid w:val="00E01EAC"/>
    <w:rsid w:val="00E03041"/>
    <w:rsid w:val="00E035F3"/>
    <w:rsid w:val="00E037AF"/>
    <w:rsid w:val="00E042B2"/>
    <w:rsid w:val="00E043E9"/>
    <w:rsid w:val="00E04476"/>
    <w:rsid w:val="00E044EA"/>
    <w:rsid w:val="00E0470A"/>
    <w:rsid w:val="00E04C41"/>
    <w:rsid w:val="00E04CB2"/>
    <w:rsid w:val="00E052E1"/>
    <w:rsid w:val="00E054B8"/>
    <w:rsid w:val="00E059E8"/>
    <w:rsid w:val="00E05DB2"/>
    <w:rsid w:val="00E05E7A"/>
    <w:rsid w:val="00E05F02"/>
    <w:rsid w:val="00E05F20"/>
    <w:rsid w:val="00E06A91"/>
    <w:rsid w:val="00E06D03"/>
    <w:rsid w:val="00E102D9"/>
    <w:rsid w:val="00E1052F"/>
    <w:rsid w:val="00E10B05"/>
    <w:rsid w:val="00E10FB4"/>
    <w:rsid w:val="00E1107D"/>
    <w:rsid w:val="00E111C3"/>
    <w:rsid w:val="00E11552"/>
    <w:rsid w:val="00E11835"/>
    <w:rsid w:val="00E11BD5"/>
    <w:rsid w:val="00E11EDB"/>
    <w:rsid w:val="00E11F2E"/>
    <w:rsid w:val="00E123AA"/>
    <w:rsid w:val="00E130D0"/>
    <w:rsid w:val="00E131C4"/>
    <w:rsid w:val="00E1358C"/>
    <w:rsid w:val="00E13BA9"/>
    <w:rsid w:val="00E13F04"/>
    <w:rsid w:val="00E144D4"/>
    <w:rsid w:val="00E147B3"/>
    <w:rsid w:val="00E14E81"/>
    <w:rsid w:val="00E14F96"/>
    <w:rsid w:val="00E1514B"/>
    <w:rsid w:val="00E1557B"/>
    <w:rsid w:val="00E15F57"/>
    <w:rsid w:val="00E160A0"/>
    <w:rsid w:val="00E161B7"/>
    <w:rsid w:val="00E1621E"/>
    <w:rsid w:val="00E1635F"/>
    <w:rsid w:val="00E168DF"/>
    <w:rsid w:val="00E16939"/>
    <w:rsid w:val="00E172D7"/>
    <w:rsid w:val="00E17356"/>
    <w:rsid w:val="00E178A0"/>
    <w:rsid w:val="00E17BCA"/>
    <w:rsid w:val="00E20ABA"/>
    <w:rsid w:val="00E20D12"/>
    <w:rsid w:val="00E21492"/>
    <w:rsid w:val="00E21596"/>
    <w:rsid w:val="00E21F78"/>
    <w:rsid w:val="00E21F7D"/>
    <w:rsid w:val="00E22DED"/>
    <w:rsid w:val="00E23256"/>
    <w:rsid w:val="00E23C06"/>
    <w:rsid w:val="00E255B9"/>
    <w:rsid w:val="00E2568F"/>
    <w:rsid w:val="00E25C81"/>
    <w:rsid w:val="00E25F52"/>
    <w:rsid w:val="00E2633B"/>
    <w:rsid w:val="00E275DD"/>
    <w:rsid w:val="00E27642"/>
    <w:rsid w:val="00E278E1"/>
    <w:rsid w:val="00E30654"/>
    <w:rsid w:val="00E30BC6"/>
    <w:rsid w:val="00E30C57"/>
    <w:rsid w:val="00E31392"/>
    <w:rsid w:val="00E31756"/>
    <w:rsid w:val="00E32148"/>
    <w:rsid w:val="00E3214E"/>
    <w:rsid w:val="00E325E0"/>
    <w:rsid w:val="00E32833"/>
    <w:rsid w:val="00E330B1"/>
    <w:rsid w:val="00E33AC1"/>
    <w:rsid w:val="00E33F8A"/>
    <w:rsid w:val="00E343A5"/>
    <w:rsid w:val="00E348AF"/>
    <w:rsid w:val="00E34FAB"/>
    <w:rsid w:val="00E3506A"/>
    <w:rsid w:val="00E35AFA"/>
    <w:rsid w:val="00E35D77"/>
    <w:rsid w:val="00E3601E"/>
    <w:rsid w:val="00E36B49"/>
    <w:rsid w:val="00E37863"/>
    <w:rsid w:val="00E37C26"/>
    <w:rsid w:val="00E403C0"/>
    <w:rsid w:val="00E40760"/>
    <w:rsid w:val="00E40A99"/>
    <w:rsid w:val="00E40ACA"/>
    <w:rsid w:val="00E40BD2"/>
    <w:rsid w:val="00E40F23"/>
    <w:rsid w:val="00E41E31"/>
    <w:rsid w:val="00E42224"/>
    <w:rsid w:val="00E426A9"/>
    <w:rsid w:val="00E43C6D"/>
    <w:rsid w:val="00E44837"/>
    <w:rsid w:val="00E450F9"/>
    <w:rsid w:val="00E45CDF"/>
    <w:rsid w:val="00E45D18"/>
    <w:rsid w:val="00E45E38"/>
    <w:rsid w:val="00E462AD"/>
    <w:rsid w:val="00E463C1"/>
    <w:rsid w:val="00E46712"/>
    <w:rsid w:val="00E46717"/>
    <w:rsid w:val="00E46CED"/>
    <w:rsid w:val="00E473F2"/>
    <w:rsid w:val="00E4754F"/>
    <w:rsid w:val="00E47E5A"/>
    <w:rsid w:val="00E501CF"/>
    <w:rsid w:val="00E50273"/>
    <w:rsid w:val="00E504B2"/>
    <w:rsid w:val="00E504FA"/>
    <w:rsid w:val="00E50797"/>
    <w:rsid w:val="00E50F13"/>
    <w:rsid w:val="00E51013"/>
    <w:rsid w:val="00E5275B"/>
    <w:rsid w:val="00E52AE8"/>
    <w:rsid w:val="00E52C56"/>
    <w:rsid w:val="00E52EC2"/>
    <w:rsid w:val="00E53381"/>
    <w:rsid w:val="00E53B5B"/>
    <w:rsid w:val="00E54152"/>
    <w:rsid w:val="00E54255"/>
    <w:rsid w:val="00E54831"/>
    <w:rsid w:val="00E55545"/>
    <w:rsid w:val="00E55A59"/>
    <w:rsid w:val="00E56588"/>
    <w:rsid w:val="00E56EEE"/>
    <w:rsid w:val="00E56F6D"/>
    <w:rsid w:val="00E56F8B"/>
    <w:rsid w:val="00E5737C"/>
    <w:rsid w:val="00E574BA"/>
    <w:rsid w:val="00E576DB"/>
    <w:rsid w:val="00E57D1A"/>
    <w:rsid w:val="00E6022C"/>
    <w:rsid w:val="00E60293"/>
    <w:rsid w:val="00E604A9"/>
    <w:rsid w:val="00E60CD6"/>
    <w:rsid w:val="00E61186"/>
    <w:rsid w:val="00E6146B"/>
    <w:rsid w:val="00E617FE"/>
    <w:rsid w:val="00E61E51"/>
    <w:rsid w:val="00E61E99"/>
    <w:rsid w:val="00E61EB7"/>
    <w:rsid w:val="00E6292D"/>
    <w:rsid w:val="00E6327F"/>
    <w:rsid w:val="00E63664"/>
    <w:rsid w:val="00E637D6"/>
    <w:rsid w:val="00E63C73"/>
    <w:rsid w:val="00E63F56"/>
    <w:rsid w:val="00E64303"/>
    <w:rsid w:val="00E64374"/>
    <w:rsid w:val="00E6477B"/>
    <w:rsid w:val="00E647D3"/>
    <w:rsid w:val="00E64BCF"/>
    <w:rsid w:val="00E652B7"/>
    <w:rsid w:val="00E652DD"/>
    <w:rsid w:val="00E65523"/>
    <w:rsid w:val="00E65A96"/>
    <w:rsid w:val="00E65E8A"/>
    <w:rsid w:val="00E6614B"/>
    <w:rsid w:val="00E66385"/>
    <w:rsid w:val="00E663C6"/>
    <w:rsid w:val="00E66411"/>
    <w:rsid w:val="00E6643C"/>
    <w:rsid w:val="00E66626"/>
    <w:rsid w:val="00E67342"/>
    <w:rsid w:val="00E67402"/>
    <w:rsid w:val="00E67E1A"/>
    <w:rsid w:val="00E70756"/>
    <w:rsid w:val="00E70A3E"/>
    <w:rsid w:val="00E70C56"/>
    <w:rsid w:val="00E70D56"/>
    <w:rsid w:val="00E70FEF"/>
    <w:rsid w:val="00E71017"/>
    <w:rsid w:val="00E71415"/>
    <w:rsid w:val="00E7250F"/>
    <w:rsid w:val="00E725F9"/>
    <w:rsid w:val="00E727B6"/>
    <w:rsid w:val="00E72C73"/>
    <w:rsid w:val="00E737D4"/>
    <w:rsid w:val="00E7388D"/>
    <w:rsid w:val="00E74A1A"/>
    <w:rsid w:val="00E74B69"/>
    <w:rsid w:val="00E74D75"/>
    <w:rsid w:val="00E75ACC"/>
    <w:rsid w:val="00E762D7"/>
    <w:rsid w:val="00E76417"/>
    <w:rsid w:val="00E766E7"/>
    <w:rsid w:val="00E76CBE"/>
    <w:rsid w:val="00E77EA8"/>
    <w:rsid w:val="00E800C0"/>
    <w:rsid w:val="00E809EA"/>
    <w:rsid w:val="00E80F4E"/>
    <w:rsid w:val="00E81B26"/>
    <w:rsid w:val="00E81D7F"/>
    <w:rsid w:val="00E82392"/>
    <w:rsid w:val="00E8262C"/>
    <w:rsid w:val="00E82B60"/>
    <w:rsid w:val="00E82F70"/>
    <w:rsid w:val="00E83290"/>
    <w:rsid w:val="00E837D3"/>
    <w:rsid w:val="00E83B5C"/>
    <w:rsid w:val="00E83F1A"/>
    <w:rsid w:val="00E8443D"/>
    <w:rsid w:val="00E8465A"/>
    <w:rsid w:val="00E84843"/>
    <w:rsid w:val="00E85B86"/>
    <w:rsid w:val="00E863EE"/>
    <w:rsid w:val="00E8715C"/>
    <w:rsid w:val="00E871D1"/>
    <w:rsid w:val="00E87AC5"/>
    <w:rsid w:val="00E90085"/>
    <w:rsid w:val="00E906EB"/>
    <w:rsid w:val="00E90C3E"/>
    <w:rsid w:val="00E9126A"/>
    <w:rsid w:val="00E912BF"/>
    <w:rsid w:val="00E913EE"/>
    <w:rsid w:val="00E91771"/>
    <w:rsid w:val="00E919EF"/>
    <w:rsid w:val="00E92AD7"/>
    <w:rsid w:val="00E92B7B"/>
    <w:rsid w:val="00E92B8D"/>
    <w:rsid w:val="00E93BC4"/>
    <w:rsid w:val="00E93DA7"/>
    <w:rsid w:val="00E94387"/>
    <w:rsid w:val="00E9444A"/>
    <w:rsid w:val="00E94602"/>
    <w:rsid w:val="00E95250"/>
    <w:rsid w:val="00E95269"/>
    <w:rsid w:val="00E957C4"/>
    <w:rsid w:val="00E958E2"/>
    <w:rsid w:val="00E95EB5"/>
    <w:rsid w:val="00E963F3"/>
    <w:rsid w:val="00E97110"/>
    <w:rsid w:val="00EA00AE"/>
    <w:rsid w:val="00EA0513"/>
    <w:rsid w:val="00EA0CE7"/>
    <w:rsid w:val="00EA0D6A"/>
    <w:rsid w:val="00EA121C"/>
    <w:rsid w:val="00EA135E"/>
    <w:rsid w:val="00EA1C1C"/>
    <w:rsid w:val="00EA2810"/>
    <w:rsid w:val="00EA287E"/>
    <w:rsid w:val="00EA2A84"/>
    <w:rsid w:val="00EA2C02"/>
    <w:rsid w:val="00EA3148"/>
    <w:rsid w:val="00EA315D"/>
    <w:rsid w:val="00EA343D"/>
    <w:rsid w:val="00EA3F88"/>
    <w:rsid w:val="00EA4872"/>
    <w:rsid w:val="00EA4BDC"/>
    <w:rsid w:val="00EA4BFA"/>
    <w:rsid w:val="00EA5159"/>
    <w:rsid w:val="00EA553F"/>
    <w:rsid w:val="00EA554A"/>
    <w:rsid w:val="00EA5C1F"/>
    <w:rsid w:val="00EA6684"/>
    <w:rsid w:val="00EA6A8A"/>
    <w:rsid w:val="00EA6ED2"/>
    <w:rsid w:val="00EA6FF9"/>
    <w:rsid w:val="00EA71C4"/>
    <w:rsid w:val="00EA768B"/>
    <w:rsid w:val="00EA7864"/>
    <w:rsid w:val="00EA7AAE"/>
    <w:rsid w:val="00EB09D4"/>
    <w:rsid w:val="00EB0C38"/>
    <w:rsid w:val="00EB1014"/>
    <w:rsid w:val="00EB14E9"/>
    <w:rsid w:val="00EB19DA"/>
    <w:rsid w:val="00EB1CFB"/>
    <w:rsid w:val="00EB1FC0"/>
    <w:rsid w:val="00EB25F6"/>
    <w:rsid w:val="00EB3012"/>
    <w:rsid w:val="00EB4C0A"/>
    <w:rsid w:val="00EB52EB"/>
    <w:rsid w:val="00EB596B"/>
    <w:rsid w:val="00EB611D"/>
    <w:rsid w:val="00EB6389"/>
    <w:rsid w:val="00EB67E3"/>
    <w:rsid w:val="00EB6FAD"/>
    <w:rsid w:val="00EB71C5"/>
    <w:rsid w:val="00EB726F"/>
    <w:rsid w:val="00EB7571"/>
    <w:rsid w:val="00EB77BF"/>
    <w:rsid w:val="00EB7A3F"/>
    <w:rsid w:val="00EC03D2"/>
    <w:rsid w:val="00EC0B6F"/>
    <w:rsid w:val="00EC0FA8"/>
    <w:rsid w:val="00EC0FE4"/>
    <w:rsid w:val="00EC15DC"/>
    <w:rsid w:val="00EC16BD"/>
    <w:rsid w:val="00EC3512"/>
    <w:rsid w:val="00EC3743"/>
    <w:rsid w:val="00EC3C85"/>
    <w:rsid w:val="00EC4097"/>
    <w:rsid w:val="00EC428E"/>
    <w:rsid w:val="00EC45FF"/>
    <w:rsid w:val="00EC4631"/>
    <w:rsid w:val="00EC4A09"/>
    <w:rsid w:val="00EC4B33"/>
    <w:rsid w:val="00EC4E90"/>
    <w:rsid w:val="00EC4EFE"/>
    <w:rsid w:val="00EC55D5"/>
    <w:rsid w:val="00EC56EA"/>
    <w:rsid w:val="00EC60AC"/>
    <w:rsid w:val="00EC624C"/>
    <w:rsid w:val="00EC6385"/>
    <w:rsid w:val="00EC6772"/>
    <w:rsid w:val="00EC68FA"/>
    <w:rsid w:val="00EC699E"/>
    <w:rsid w:val="00ED025A"/>
    <w:rsid w:val="00ED0BE0"/>
    <w:rsid w:val="00ED1199"/>
    <w:rsid w:val="00ED1656"/>
    <w:rsid w:val="00ED1834"/>
    <w:rsid w:val="00ED21E8"/>
    <w:rsid w:val="00ED240C"/>
    <w:rsid w:val="00ED2964"/>
    <w:rsid w:val="00ED2B13"/>
    <w:rsid w:val="00ED2C9D"/>
    <w:rsid w:val="00ED34A5"/>
    <w:rsid w:val="00ED3C75"/>
    <w:rsid w:val="00ED3C86"/>
    <w:rsid w:val="00ED4B75"/>
    <w:rsid w:val="00ED4D05"/>
    <w:rsid w:val="00ED52A3"/>
    <w:rsid w:val="00ED5DF7"/>
    <w:rsid w:val="00ED60EC"/>
    <w:rsid w:val="00ED6588"/>
    <w:rsid w:val="00ED6773"/>
    <w:rsid w:val="00ED6C44"/>
    <w:rsid w:val="00ED703E"/>
    <w:rsid w:val="00ED772F"/>
    <w:rsid w:val="00ED77C5"/>
    <w:rsid w:val="00ED7903"/>
    <w:rsid w:val="00ED7BE8"/>
    <w:rsid w:val="00EE1C72"/>
    <w:rsid w:val="00EE2516"/>
    <w:rsid w:val="00EE25D0"/>
    <w:rsid w:val="00EE2CC4"/>
    <w:rsid w:val="00EE2E6D"/>
    <w:rsid w:val="00EE2E92"/>
    <w:rsid w:val="00EE34BD"/>
    <w:rsid w:val="00EE3628"/>
    <w:rsid w:val="00EE39E1"/>
    <w:rsid w:val="00EE3F42"/>
    <w:rsid w:val="00EE429E"/>
    <w:rsid w:val="00EE4B3C"/>
    <w:rsid w:val="00EE4BAE"/>
    <w:rsid w:val="00EE4E3B"/>
    <w:rsid w:val="00EE555E"/>
    <w:rsid w:val="00EE5FC7"/>
    <w:rsid w:val="00EE6757"/>
    <w:rsid w:val="00EF0D97"/>
    <w:rsid w:val="00EF0DDE"/>
    <w:rsid w:val="00EF1628"/>
    <w:rsid w:val="00EF1E2F"/>
    <w:rsid w:val="00EF1F59"/>
    <w:rsid w:val="00EF21AE"/>
    <w:rsid w:val="00EF27BF"/>
    <w:rsid w:val="00EF2DA0"/>
    <w:rsid w:val="00EF3A68"/>
    <w:rsid w:val="00EF54BD"/>
    <w:rsid w:val="00EF5D44"/>
    <w:rsid w:val="00EF61BF"/>
    <w:rsid w:val="00EF64FD"/>
    <w:rsid w:val="00EF7167"/>
    <w:rsid w:val="00EF71E4"/>
    <w:rsid w:val="00EF76AD"/>
    <w:rsid w:val="00F0012B"/>
    <w:rsid w:val="00F004DA"/>
    <w:rsid w:val="00F0112A"/>
    <w:rsid w:val="00F01677"/>
    <w:rsid w:val="00F0168B"/>
    <w:rsid w:val="00F017C9"/>
    <w:rsid w:val="00F01821"/>
    <w:rsid w:val="00F01D54"/>
    <w:rsid w:val="00F02416"/>
    <w:rsid w:val="00F0242C"/>
    <w:rsid w:val="00F02841"/>
    <w:rsid w:val="00F02AFF"/>
    <w:rsid w:val="00F0323F"/>
    <w:rsid w:val="00F0341B"/>
    <w:rsid w:val="00F03439"/>
    <w:rsid w:val="00F03945"/>
    <w:rsid w:val="00F0394D"/>
    <w:rsid w:val="00F039B6"/>
    <w:rsid w:val="00F03F30"/>
    <w:rsid w:val="00F04054"/>
    <w:rsid w:val="00F04B2D"/>
    <w:rsid w:val="00F05020"/>
    <w:rsid w:val="00F05211"/>
    <w:rsid w:val="00F05321"/>
    <w:rsid w:val="00F0578E"/>
    <w:rsid w:val="00F05C88"/>
    <w:rsid w:val="00F06ACF"/>
    <w:rsid w:val="00F06DC0"/>
    <w:rsid w:val="00F070A6"/>
    <w:rsid w:val="00F071CC"/>
    <w:rsid w:val="00F07341"/>
    <w:rsid w:val="00F073A6"/>
    <w:rsid w:val="00F07879"/>
    <w:rsid w:val="00F07BAE"/>
    <w:rsid w:val="00F10135"/>
    <w:rsid w:val="00F10523"/>
    <w:rsid w:val="00F10734"/>
    <w:rsid w:val="00F10A26"/>
    <w:rsid w:val="00F10D9F"/>
    <w:rsid w:val="00F1115F"/>
    <w:rsid w:val="00F125FB"/>
    <w:rsid w:val="00F13238"/>
    <w:rsid w:val="00F139C2"/>
    <w:rsid w:val="00F13AA0"/>
    <w:rsid w:val="00F13E0E"/>
    <w:rsid w:val="00F1451D"/>
    <w:rsid w:val="00F14856"/>
    <w:rsid w:val="00F14D41"/>
    <w:rsid w:val="00F150C1"/>
    <w:rsid w:val="00F15190"/>
    <w:rsid w:val="00F15702"/>
    <w:rsid w:val="00F158FD"/>
    <w:rsid w:val="00F15C22"/>
    <w:rsid w:val="00F15C86"/>
    <w:rsid w:val="00F1636B"/>
    <w:rsid w:val="00F1688E"/>
    <w:rsid w:val="00F176D2"/>
    <w:rsid w:val="00F17E74"/>
    <w:rsid w:val="00F21548"/>
    <w:rsid w:val="00F218D7"/>
    <w:rsid w:val="00F21F5F"/>
    <w:rsid w:val="00F2269B"/>
    <w:rsid w:val="00F2295B"/>
    <w:rsid w:val="00F23141"/>
    <w:rsid w:val="00F234A5"/>
    <w:rsid w:val="00F23885"/>
    <w:rsid w:val="00F24127"/>
    <w:rsid w:val="00F24C6D"/>
    <w:rsid w:val="00F255F2"/>
    <w:rsid w:val="00F2566D"/>
    <w:rsid w:val="00F256FC"/>
    <w:rsid w:val="00F25812"/>
    <w:rsid w:val="00F262B0"/>
    <w:rsid w:val="00F26342"/>
    <w:rsid w:val="00F26520"/>
    <w:rsid w:val="00F26571"/>
    <w:rsid w:val="00F2666B"/>
    <w:rsid w:val="00F26A84"/>
    <w:rsid w:val="00F27254"/>
    <w:rsid w:val="00F27AFE"/>
    <w:rsid w:val="00F27BDD"/>
    <w:rsid w:val="00F27E3F"/>
    <w:rsid w:val="00F3041E"/>
    <w:rsid w:val="00F30535"/>
    <w:rsid w:val="00F305BC"/>
    <w:rsid w:val="00F30651"/>
    <w:rsid w:val="00F307C0"/>
    <w:rsid w:val="00F30993"/>
    <w:rsid w:val="00F30C32"/>
    <w:rsid w:val="00F30F38"/>
    <w:rsid w:val="00F31E02"/>
    <w:rsid w:val="00F32486"/>
    <w:rsid w:val="00F32964"/>
    <w:rsid w:val="00F32ADE"/>
    <w:rsid w:val="00F32AEB"/>
    <w:rsid w:val="00F32C30"/>
    <w:rsid w:val="00F32DE5"/>
    <w:rsid w:val="00F32FBE"/>
    <w:rsid w:val="00F33845"/>
    <w:rsid w:val="00F33E5E"/>
    <w:rsid w:val="00F3461C"/>
    <w:rsid w:val="00F356C9"/>
    <w:rsid w:val="00F35B32"/>
    <w:rsid w:val="00F35CCE"/>
    <w:rsid w:val="00F35FD7"/>
    <w:rsid w:val="00F36011"/>
    <w:rsid w:val="00F37295"/>
    <w:rsid w:val="00F37A1C"/>
    <w:rsid w:val="00F37CB9"/>
    <w:rsid w:val="00F40B96"/>
    <w:rsid w:val="00F41190"/>
    <w:rsid w:val="00F41A54"/>
    <w:rsid w:val="00F41A79"/>
    <w:rsid w:val="00F41D72"/>
    <w:rsid w:val="00F41E72"/>
    <w:rsid w:val="00F41F7E"/>
    <w:rsid w:val="00F42640"/>
    <w:rsid w:val="00F426A2"/>
    <w:rsid w:val="00F427FC"/>
    <w:rsid w:val="00F42A6A"/>
    <w:rsid w:val="00F43817"/>
    <w:rsid w:val="00F43894"/>
    <w:rsid w:val="00F43910"/>
    <w:rsid w:val="00F43A71"/>
    <w:rsid w:val="00F43EBE"/>
    <w:rsid w:val="00F43EFF"/>
    <w:rsid w:val="00F44342"/>
    <w:rsid w:val="00F4491C"/>
    <w:rsid w:val="00F44BEB"/>
    <w:rsid w:val="00F44D7F"/>
    <w:rsid w:val="00F453BA"/>
    <w:rsid w:val="00F455CA"/>
    <w:rsid w:val="00F45739"/>
    <w:rsid w:val="00F45FAB"/>
    <w:rsid w:val="00F45FD2"/>
    <w:rsid w:val="00F4615A"/>
    <w:rsid w:val="00F4622E"/>
    <w:rsid w:val="00F46608"/>
    <w:rsid w:val="00F472D1"/>
    <w:rsid w:val="00F478D1"/>
    <w:rsid w:val="00F506EF"/>
    <w:rsid w:val="00F508FA"/>
    <w:rsid w:val="00F50DBF"/>
    <w:rsid w:val="00F5142A"/>
    <w:rsid w:val="00F515CE"/>
    <w:rsid w:val="00F519AD"/>
    <w:rsid w:val="00F51C5B"/>
    <w:rsid w:val="00F5203B"/>
    <w:rsid w:val="00F52B1F"/>
    <w:rsid w:val="00F52FBF"/>
    <w:rsid w:val="00F539F7"/>
    <w:rsid w:val="00F53C6A"/>
    <w:rsid w:val="00F53D00"/>
    <w:rsid w:val="00F547D1"/>
    <w:rsid w:val="00F54D99"/>
    <w:rsid w:val="00F54EE0"/>
    <w:rsid w:val="00F55107"/>
    <w:rsid w:val="00F5546B"/>
    <w:rsid w:val="00F55C74"/>
    <w:rsid w:val="00F56351"/>
    <w:rsid w:val="00F564AB"/>
    <w:rsid w:val="00F56A96"/>
    <w:rsid w:val="00F56B27"/>
    <w:rsid w:val="00F57080"/>
    <w:rsid w:val="00F579FB"/>
    <w:rsid w:val="00F57D82"/>
    <w:rsid w:val="00F60BE7"/>
    <w:rsid w:val="00F60C4E"/>
    <w:rsid w:val="00F61A46"/>
    <w:rsid w:val="00F61B9F"/>
    <w:rsid w:val="00F61BE0"/>
    <w:rsid w:val="00F622DE"/>
    <w:rsid w:val="00F62737"/>
    <w:rsid w:val="00F62D54"/>
    <w:rsid w:val="00F63849"/>
    <w:rsid w:val="00F638CB"/>
    <w:rsid w:val="00F64101"/>
    <w:rsid w:val="00F64139"/>
    <w:rsid w:val="00F64143"/>
    <w:rsid w:val="00F6443B"/>
    <w:rsid w:val="00F64530"/>
    <w:rsid w:val="00F654B1"/>
    <w:rsid w:val="00F65932"/>
    <w:rsid w:val="00F66621"/>
    <w:rsid w:val="00F668E9"/>
    <w:rsid w:val="00F670D4"/>
    <w:rsid w:val="00F674ED"/>
    <w:rsid w:val="00F67515"/>
    <w:rsid w:val="00F67E75"/>
    <w:rsid w:val="00F700B2"/>
    <w:rsid w:val="00F703BA"/>
    <w:rsid w:val="00F705E4"/>
    <w:rsid w:val="00F70969"/>
    <w:rsid w:val="00F70E1A"/>
    <w:rsid w:val="00F71125"/>
    <w:rsid w:val="00F71354"/>
    <w:rsid w:val="00F71A09"/>
    <w:rsid w:val="00F71B58"/>
    <w:rsid w:val="00F71CF6"/>
    <w:rsid w:val="00F72320"/>
    <w:rsid w:val="00F72C05"/>
    <w:rsid w:val="00F73065"/>
    <w:rsid w:val="00F7309D"/>
    <w:rsid w:val="00F732B2"/>
    <w:rsid w:val="00F73375"/>
    <w:rsid w:val="00F733CC"/>
    <w:rsid w:val="00F735A9"/>
    <w:rsid w:val="00F74073"/>
    <w:rsid w:val="00F741B9"/>
    <w:rsid w:val="00F7433E"/>
    <w:rsid w:val="00F7449A"/>
    <w:rsid w:val="00F7578A"/>
    <w:rsid w:val="00F75D0D"/>
    <w:rsid w:val="00F760F8"/>
    <w:rsid w:val="00F766CB"/>
    <w:rsid w:val="00F76A13"/>
    <w:rsid w:val="00F76D1C"/>
    <w:rsid w:val="00F773CC"/>
    <w:rsid w:val="00F77705"/>
    <w:rsid w:val="00F77ACF"/>
    <w:rsid w:val="00F80883"/>
    <w:rsid w:val="00F80BD0"/>
    <w:rsid w:val="00F80F09"/>
    <w:rsid w:val="00F80F6A"/>
    <w:rsid w:val="00F80F9E"/>
    <w:rsid w:val="00F8155E"/>
    <w:rsid w:val="00F81AD8"/>
    <w:rsid w:val="00F81C94"/>
    <w:rsid w:val="00F824F9"/>
    <w:rsid w:val="00F82540"/>
    <w:rsid w:val="00F82D5B"/>
    <w:rsid w:val="00F82F45"/>
    <w:rsid w:val="00F83287"/>
    <w:rsid w:val="00F83C44"/>
    <w:rsid w:val="00F83DB1"/>
    <w:rsid w:val="00F84014"/>
    <w:rsid w:val="00F8470E"/>
    <w:rsid w:val="00F849F6"/>
    <w:rsid w:val="00F8560F"/>
    <w:rsid w:val="00F85796"/>
    <w:rsid w:val="00F85BF8"/>
    <w:rsid w:val="00F8642A"/>
    <w:rsid w:val="00F873D1"/>
    <w:rsid w:val="00F87B65"/>
    <w:rsid w:val="00F9006A"/>
    <w:rsid w:val="00F9020A"/>
    <w:rsid w:val="00F9040A"/>
    <w:rsid w:val="00F90599"/>
    <w:rsid w:val="00F9068F"/>
    <w:rsid w:val="00F90C31"/>
    <w:rsid w:val="00F919D9"/>
    <w:rsid w:val="00F91A35"/>
    <w:rsid w:val="00F9257D"/>
    <w:rsid w:val="00F92641"/>
    <w:rsid w:val="00F92C71"/>
    <w:rsid w:val="00F92D4A"/>
    <w:rsid w:val="00F92E49"/>
    <w:rsid w:val="00F92E8E"/>
    <w:rsid w:val="00F930AB"/>
    <w:rsid w:val="00F93142"/>
    <w:rsid w:val="00F94284"/>
    <w:rsid w:val="00F94296"/>
    <w:rsid w:val="00F945CD"/>
    <w:rsid w:val="00F94D44"/>
    <w:rsid w:val="00F94EAF"/>
    <w:rsid w:val="00F960B7"/>
    <w:rsid w:val="00F9624E"/>
    <w:rsid w:val="00F97AD8"/>
    <w:rsid w:val="00F97DBD"/>
    <w:rsid w:val="00FA0417"/>
    <w:rsid w:val="00FA05CC"/>
    <w:rsid w:val="00FA0704"/>
    <w:rsid w:val="00FA08EA"/>
    <w:rsid w:val="00FA1038"/>
    <w:rsid w:val="00FA1B46"/>
    <w:rsid w:val="00FA225F"/>
    <w:rsid w:val="00FA24AE"/>
    <w:rsid w:val="00FA3C95"/>
    <w:rsid w:val="00FA3F7B"/>
    <w:rsid w:val="00FA3F83"/>
    <w:rsid w:val="00FA4607"/>
    <w:rsid w:val="00FA46FE"/>
    <w:rsid w:val="00FA4A73"/>
    <w:rsid w:val="00FA4B5F"/>
    <w:rsid w:val="00FA4C33"/>
    <w:rsid w:val="00FA4FF1"/>
    <w:rsid w:val="00FA534E"/>
    <w:rsid w:val="00FA5407"/>
    <w:rsid w:val="00FA5541"/>
    <w:rsid w:val="00FA57AD"/>
    <w:rsid w:val="00FA6A7E"/>
    <w:rsid w:val="00FA771C"/>
    <w:rsid w:val="00FA7BD5"/>
    <w:rsid w:val="00FB0255"/>
    <w:rsid w:val="00FB0EA0"/>
    <w:rsid w:val="00FB188F"/>
    <w:rsid w:val="00FB1B29"/>
    <w:rsid w:val="00FB1BBB"/>
    <w:rsid w:val="00FB2034"/>
    <w:rsid w:val="00FB2175"/>
    <w:rsid w:val="00FB2804"/>
    <w:rsid w:val="00FB2867"/>
    <w:rsid w:val="00FB3406"/>
    <w:rsid w:val="00FB467D"/>
    <w:rsid w:val="00FB49A3"/>
    <w:rsid w:val="00FB4A5E"/>
    <w:rsid w:val="00FB4B6A"/>
    <w:rsid w:val="00FB4B6C"/>
    <w:rsid w:val="00FB5966"/>
    <w:rsid w:val="00FB5F87"/>
    <w:rsid w:val="00FB6189"/>
    <w:rsid w:val="00FB64C5"/>
    <w:rsid w:val="00FB6819"/>
    <w:rsid w:val="00FB7459"/>
    <w:rsid w:val="00FC0118"/>
    <w:rsid w:val="00FC0406"/>
    <w:rsid w:val="00FC0545"/>
    <w:rsid w:val="00FC06E9"/>
    <w:rsid w:val="00FC0DFD"/>
    <w:rsid w:val="00FC1147"/>
    <w:rsid w:val="00FC13C8"/>
    <w:rsid w:val="00FC18C8"/>
    <w:rsid w:val="00FC1C70"/>
    <w:rsid w:val="00FC20E8"/>
    <w:rsid w:val="00FC2B88"/>
    <w:rsid w:val="00FC34D0"/>
    <w:rsid w:val="00FC39CA"/>
    <w:rsid w:val="00FC3BD2"/>
    <w:rsid w:val="00FC4035"/>
    <w:rsid w:val="00FC453B"/>
    <w:rsid w:val="00FC4C47"/>
    <w:rsid w:val="00FC4D49"/>
    <w:rsid w:val="00FC5416"/>
    <w:rsid w:val="00FC5702"/>
    <w:rsid w:val="00FC5A30"/>
    <w:rsid w:val="00FC5D33"/>
    <w:rsid w:val="00FC63BE"/>
    <w:rsid w:val="00FC6AD6"/>
    <w:rsid w:val="00FC6E0F"/>
    <w:rsid w:val="00FC76AB"/>
    <w:rsid w:val="00FC7FA9"/>
    <w:rsid w:val="00FC7FB6"/>
    <w:rsid w:val="00FD010A"/>
    <w:rsid w:val="00FD06A8"/>
    <w:rsid w:val="00FD0A80"/>
    <w:rsid w:val="00FD0E99"/>
    <w:rsid w:val="00FD10A3"/>
    <w:rsid w:val="00FD1A14"/>
    <w:rsid w:val="00FD1C54"/>
    <w:rsid w:val="00FD279C"/>
    <w:rsid w:val="00FD2CB9"/>
    <w:rsid w:val="00FD2D8D"/>
    <w:rsid w:val="00FD2F09"/>
    <w:rsid w:val="00FD3237"/>
    <w:rsid w:val="00FD32F5"/>
    <w:rsid w:val="00FD3A7F"/>
    <w:rsid w:val="00FD3C11"/>
    <w:rsid w:val="00FD423B"/>
    <w:rsid w:val="00FD45E2"/>
    <w:rsid w:val="00FD4D8C"/>
    <w:rsid w:val="00FD5282"/>
    <w:rsid w:val="00FD564D"/>
    <w:rsid w:val="00FD5A1F"/>
    <w:rsid w:val="00FD5C61"/>
    <w:rsid w:val="00FD5D74"/>
    <w:rsid w:val="00FD6413"/>
    <w:rsid w:val="00FD6FE7"/>
    <w:rsid w:val="00FD7614"/>
    <w:rsid w:val="00FE0D3A"/>
    <w:rsid w:val="00FE1162"/>
    <w:rsid w:val="00FE162E"/>
    <w:rsid w:val="00FE1AE1"/>
    <w:rsid w:val="00FE1E43"/>
    <w:rsid w:val="00FE1F69"/>
    <w:rsid w:val="00FE20ED"/>
    <w:rsid w:val="00FE277A"/>
    <w:rsid w:val="00FE28BB"/>
    <w:rsid w:val="00FE3BFF"/>
    <w:rsid w:val="00FE3D21"/>
    <w:rsid w:val="00FE4719"/>
    <w:rsid w:val="00FE4C80"/>
    <w:rsid w:val="00FE53C5"/>
    <w:rsid w:val="00FE58AA"/>
    <w:rsid w:val="00FE5AD1"/>
    <w:rsid w:val="00FE637E"/>
    <w:rsid w:val="00FE639E"/>
    <w:rsid w:val="00FE64AC"/>
    <w:rsid w:val="00FE6790"/>
    <w:rsid w:val="00FE68E2"/>
    <w:rsid w:val="00FE6ED7"/>
    <w:rsid w:val="00FE7006"/>
    <w:rsid w:val="00FE7126"/>
    <w:rsid w:val="00FE76D2"/>
    <w:rsid w:val="00FE79E0"/>
    <w:rsid w:val="00FE7E70"/>
    <w:rsid w:val="00FF01E7"/>
    <w:rsid w:val="00FF02A7"/>
    <w:rsid w:val="00FF0627"/>
    <w:rsid w:val="00FF0C29"/>
    <w:rsid w:val="00FF10DF"/>
    <w:rsid w:val="00FF155B"/>
    <w:rsid w:val="00FF1575"/>
    <w:rsid w:val="00FF166A"/>
    <w:rsid w:val="00FF1B5F"/>
    <w:rsid w:val="00FF1CA8"/>
    <w:rsid w:val="00FF2383"/>
    <w:rsid w:val="00FF2FF7"/>
    <w:rsid w:val="00FF31F5"/>
    <w:rsid w:val="00FF336C"/>
    <w:rsid w:val="00FF3A4C"/>
    <w:rsid w:val="00FF4154"/>
    <w:rsid w:val="00FF42DE"/>
    <w:rsid w:val="00FF449E"/>
    <w:rsid w:val="00FF4A0F"/>
    <w:rsid w:val="00FF52E9"/>
    <w:rsid w:val="00FF545F"/>
    <w:rsid w:val="00FF64BB"/>
    <w:rsid w:val="00FF6CCB"/>
    <w:rsid w:val="00FF7062"/>
    <w:rsid w:val="00FF7565"/>
    <w:rsid w:val="00FF7A8C"/>
    <w:rsid w:val="00FF7CFC"/>
    <w:rsid w:val="00FF7E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481B5"/>
  <w15:docId w15:val="{FDF84AD4-1A28-4E03-9D0E-EDFD6080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62A6"/>
    <w:pPr>
      <w:spacing w:after="120" w:line="240" w:lineRule="auto"/>
      <w:jc w:val="both"/>
    </w:pPr>
    <w:rPr>
      <w:rFonts w:ascii="Arial" w:hAnsi="Arial"/>
    </w:rPr>
  </w:style>
  <w:style w:type="paragraph" w:styleId="Nadpis1">
    <w:name w:val="heading 1"/>
    <w:basedOn w:val="Normln"/>
    <w:next w:val="Normln"/>
    <w:link w:val="Nadpis1Char"/>
    <w:uiPriority w:val="9"/>
    <w:qFormat/>
    <w:rsid w:val="00292010"/>
    <w:pPr>
      <w:keepNext/>
      <w:keepLines/>
      <w:numPr>
        <w:numId w:val="1"/>
      </w:numPr>
      <w:pBdr>
        <w:bottom w:val="single" w:sz="4" w:space="1" w:color="222A35" w:themeColor="text2" w:themeShade="80"/>
      </w:pBdr>
      <w:spacing w:after="360"/>
      <w:outlineLvl w:val="0"/>
    </w:pPr>
    <w:rPr>
      <w:rFonts w:eastAsiaTheme="majorEastAsia" w:cs="Arial"/>
      <w:b/>
      <w:bCs/>
      <w:color w:val="1F3864" w:themeColor="accent5" w:themeShade="80"/>
      <w:sz w:val="36"/>
      <w:szCs w:val="28"/>
    </w:rPr>
  </w:style>
  <w:style w:type="paragraph" w:styleId="Nadpis2">
    <w:name w:val="heading 2"/>
    <w:basedOn w:val="Normln"/>
    <w:next w:val="Normln"/>
    <w:link w:val="Nadpis2Char"/>
    <w:uiPriority w:val="99"/>
    <w:unhideWhenUsed/>
    <w:qFormat/>
    <w:rsid w:val="004D5882"/>
    <w:pPr>
      <w:keepNext/>
      <w:keepLines/>
      <w:numPr>
        <w:ilvl w:val="1"/>
        <w:numId w:val="1"/>
      </w:numPr>
      <w:spacing w:before="600" w:after="360"/>
      <w:outlineLvl w:val="1"/>
    </w:pPr>
    <w:rPr>
      <w:rFonts w:ascii="Cambria" w:eastAsia="Calibri" w:hAnsi="Cambria" w:cstheme="majorBidi"/>
      <w:b/>
      <w:bCs/>
      <w:color w:val="2F5496" w:themeColor="accent5" w:themeShade="BF"/>
      <w:sz w:val="28"/>
      <w:szCs w:val="26"/>
    </w:rPr>
  </w:style>
  <w:style w:type="paragraph" w:styleId="Nadpis3">
    <w:name w:val="heading 3"/>
    <w:basedOn w:val="Normln"/>
    <w:next w:val="Normln"/>
    <w:link w:val="Nadpis3Char"/>
    <w:autoRedefine/>
    <w:uiPriority w:val="9"/>
    <w:unhideWhenUsed/>
    <w:qFormat/>
    <w:rsid w:val="004D5882"/>
    <w:pPr>
      <w:keepNext/>
      <w:keepLines/>
      <w:numPr>
        <w:ilvl w:val="2"/>
        <w:numId w:val="1"/>
      </w:numPr>
      <w:spacing w:before="600" w:after="240"/>
      <w:outlineLvl w:val="2"/>
    </w:pPr>
    <w:rPr>
      <w:rFonts w:eastAsiaTheme="majorEastAsia" w:cs="Arial"/>
      <w:b/>
      <w:bCs/>
      <w:color w:val="5B9BD5" w:themeColor="accent1"/>
    </w:rPr>
  </w:style>
  <w:style w:type="paragraph" w:styleId="Nadpis4">
    <w:name w:val="heading 4"/>
    <w:basedOn w:val="Normln"/>
    <w:next w:val="Normln"/>
    <w:link w:val="Nadpis4Char"/>
    <w:uiPriority w:val="9"/>
    <w:unhideWhenUsed/>
    <w:qFormat/>
    <w:rsid w:val="00F17E74"/>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F17E7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F17E7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F17E7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17E7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F17E7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92010"/>
    <w:rPr>
      <w:rFonts w:ascii="Arial" w:eastAsiaTheme="majorEastAsia" w:hAnsi="Arial" w:cs="Arial"/>
      <w:b/>
      <w:bCs/>
      <w:color w:val="1F3864" w:themeColor="accent5" w:themeShade="80"/>
      <w:sz w:val="36"/>
      <w:szCs w:val="28"/>
    </w:rPr>
  </w:style>
  <w:style w:type="character" w:customStyle="1" w:styleId="Nadpis2Char">
    <w:name w:val="Nadpis 2 Char"/>
    <w:basedOn w:val="Standardnpsmoodstavce"/>
    <w:link w:val="Nadpis2"/>
    <w:uiPriority w:val="99"/>
    <w:rsid w:val="004D5882"/>
    <w:rPr>
      <w:rFonts w:ascii="Cambria" w:eastAsia="Calibri" w:hAnsi="Cambria" w:cstheme="majorBidi"/>
      <w:b/>
      <w:bCs/>
      <w:color w:val="2F5496" w:themeColor="accent5" w:themeShade="BF"/>
      <w:sz w:val="28"/>
      <w:szCs w:val="26"/>
    </w:rPr>
  </w:style>
  <w:style w:type="character" w:customStyle="1" w:styleId="Nadpis3Char">
    <w:name w:val="Nadpis 3 Char"/>
    <w:basedOn w:val="Standardnpsmoodstavce"/>
    <w:link w:val="Nadpis3"/>
    <w:uiPriority w:val="9"/>
    <w:rsid w:val="004D5882"/>
    <w:rPr>
      <w:rFonts w:ascii="Arial" w:eastAsiaTheme="majorEastAsia" w:hAnsi="Arial" w:cs="Arial"/>
      <w:b/>
      <w:bCs/>
      <w:color w:val="5B9BD5" w:themeColor="accent1"/>
    </w:rPr>
  </w:style>
  <w:style w:type="character" w:customStyle="1" w:styleId="Nadpis4Char">
    <w:name w:val="Nadpis 4 Char"/>
    <w:basedOn w:val="Standardnpsmoodstavce"/>
    <w:link w:val="Nadpis4"/>
    <w:uiPriority w:val="9"/>
    <w:rsid w:val="00F17E74"/>
    <w:rPr>
      <w:rFonts w:asciiTheme="majorHAnsi" w:eastAsiaTheme="majorEastAsia" w:hAnsiTheme="majorHAnsi" w:cstheme="majorBidi"/>
      <w:b/>
      <w:bCs/>
      <w:i/>
      <w:iCs/>
      <w:color w:val="5B9BD5" w:themeColor="accent1"/>
    </w:rPr>
  </w:style>
  <w:style w:type="character" w:customStyle="1" w:styleId="Nadpis5Char">
    <w:name w:val="Nadpis 5 Char"/>
    <w:basedOn w:val="Standardnpsmoodstavce"/>
    <w:link w:val="Nadpis5"/>
    <w:uiPriority w:val="9"/>
    <w:semiHidden/>
    <w:rsid w:val="00F17E74"/>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F17E74"/>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F17E74"/>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17E7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F17E74"/>
    <w:rPr>
      <w:rFonts w:asciiTheme="majorHAnsi" w:eastAsiaTheme="majorEastAsia" w:hAnsiTheme="majorHAnsi" w:cstheme="majorBidi"/>
      <w:i/>
      <w:iCs/>
      <w:color w:val="404040" w:themeColor="text1" w:themeTint="BF"/>
      <w:sz w:val="20"/>
      <w:szCs w:val="20"/>
    </w:rPr>
  </w:style>
  <w:style w:type="paragraph" w:styleId="Textpoznpodarou">
    <w:name w:val="footnote text"/>
    <w:basedOn w:val="Normln"/>
    <w:link w:val="TextpoznpodarouChar"/>
    <w:uiPriority w:val="99"/>
    <w:semiHidden/>
    <w:unhideWhenUsed/>
    <w:rsid w:val="00F17E74"/>
    <w:pPr>
      <w:spacing w:after="0"/>
    </w:pPr>
    <w:rPr>
      <w:sz w:val="20"/>
      <w:szCs w:val="20"/>
    </w:rPr>
  </w:style>
  <w:style w:type="character" w:customStyle="1" w:styleId="TextpoznpodarouChar">
    <w:name w:val="Text pozn. pod čarou Char"/>
    <w:basedOn w:val="Standardnpsmoodstavce"/>
    <w:link w:val="Textpoznpodarou"/>
    <w:uiPriority w:val="99"/>
    <w:semiHidden/>
    <w:rsid w:val="00F17E74"/>
    <w:rPr>
      <w:sz w:val="20"/>
      <w:szCs w:val="20"/>
    </w:r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Légende,note TES"/>
    <w:uiPriority w:val="99"/>
    <w:rsid w:val="00F17E74"/>
    <w:rPr>
      <w:vertAlign w:val="superscript"/>
    </w:rPr>
  </w:style>
  <w:style w:type="paragraph" w:styleId="Odstavecseseznamem">
    <w:name w:val="List Paragraph"/>
    <w:aliases w:val="a,Conclusion de partie,Fiche List Paragraph,List Paragraph (Czech Tourism),Nad,Nadpis pro KZ,Název grafu,Odstavec cíl se seznamem,Odstavec se seznamem2,Odstavec se seznamem5,Odstavec_muj,Seznam - odrážky,_Odstavec se seznamem,nad 1"/>
    <w:basedOn w:val="Normln"/>
    <w:link w:val="OdstavecseseznamemChar"/>
    <w:uiPriority w:val="34"/>
    <w:qFormat/>
    <w:rsid w:val="00F17E74"/>
    <w:pPr>
      <w:ind w:left="720"/>
      <w:contextualSpacing/>
    </w:pPr>
  </w:style>
  <w:style w:type="paragraph" w:styleId="Nadpisobsahu">
    <w:name w:val="TOC Heading"/>
    <w:basedOn w:val="Nadpis1"/>
    <w:next w:val="Normln"/>
    <w:uiPriority w:val="39"/>
    <w:unhideWhenUsed/>
    <w:qFormat/>
    <w:rsid w:val="00F17E74"/>
    <w:pPr>
      <w:outlineLvl w:val="9"/>
    </w:pPr>
    <w:rPr>
      <w:lang w:eastAsia="cs-CZ"/>
    </w:rPr>
  </w:style>
  <w:style w:type="paragraph" w:styleId="Obsah1">
    <w:name w:val="toc 1"/>
    <w:basedOn w:val="Normln"/>
    <w:next w:val="Normln"/>
    <w:autoRedefine/>
    <w:uiPriority w:val="39"/>
    <w:unhideWhenUsed/>
    <w:rsid w:val="003D3A67"/>
    <w:pPr>
      <w:tabs>
        <w:tab w:val="left" w:pos="440"/>
        <w:tab w:val="right" w:leader="dot" w:pos="9061"/>
      </w:tabs>
      <w:spacing w:before="180" w:after="100"/>
      <w:jc w:val="center"/>
    </w:pPr>
    <w:rPr>
      <w:rFonts w:cstheme="majorHAnsi"/>
      <w:b/>
      <w:bCs/>
      <w:szCs w:val="24"/>
    </w:rPr>
  </w:style>
  <w:style w:type="paragraph" w:styleId="Obsah2">
    <w:name w:val="toc 2"/>
    <w:basedOn w:val="Normln"/>
    <w:next w:val="Normln"/>
    <w:autoRedefine/>
    <w:uiPriority w:val="39"/>
    <w:unhideWhenUsed/>
    <w:rsid w:val="004F3685"/>
    <w:pPr>
      <w:tabs>
        <w:tab w:val="left" w:pos="660"/>
        <w:tab w:val="right" w:leader="dot" w:pos="9061"/>
      </w:tabs>
      <w:spacing w:before="60" w:after="80"/>
      <w:jc w:val="left"/>
    </w:pPr>
    <w:rPr>
      <w:rFonts w:asciiTheme="minorHAnsi" w:hAnsiTheme="minorHAnsi" w:cstheme="minorHAnsi"/>
      <w:bCs/>
      <w:sz w:val="20"/>
      <w:szCs w:val="20"/>
    </w:rPr>
  </w:style>
  <w:style w:type="character" w:styleId="Hypertextovodkaz">
    <w:name w:val="Hyperlink"/>
    <w:basedOn w:val="Standardnpsmoodstavce"/>
    <w:uiPriority w:val="99"/>
    <w:unhideWhenUsed/>
    <w:rsid w:val="00F17E74"/>
    <w:rPr>
      <w:color w:val="0563C1" w:themeColor="hyperlink"/>
      <w:u w:val="single"/>
    </w:rPr>
  </w:style>
  <w:style w:type="paragraph" w:styleId="Textbubliny">
    <w:name w:val="Balloon Text"/>
    <w:basedOn w:val="Normln"/>
    <w:link w:val="TextbublinyChar"/>
    <w:uiPriority w:val="99"/>
    <w:semiHidden/>
    <w:unhideWhenUsed/>
    <w:rsid w:val="00F17E74"/>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7E74"/>
    <w:rPr>
      <w:rFonts w:ascii="Tahoma" w:hAnsi="Tahoma" w:cs="Tahoma"/>
      <w:sz w:val="16"/>
      <w:szCs w:val="16"/>
    </w:rPr>
  </w:style>
  <w:style w:type="character" w:styleId="Sledovanodkaz">
    <w:name w:val="FollowedHyperlink"/>
    <w:basedOn w:val="Standardnpsmoodstavce"/>
    <w:uiPriority w:val="99"/>
    <w:semiHidden/>
    <w:unhideWhenUsed/>
    <w:rsid w:val="00F17E74"/>
    <w:rPr>
      <w:color w:val="954F72" w:themeColor="followedHyperlink"/>
      <w:u w:val="single"/>
    </w:rPr>
  </w:style>
  <w:style w:type="paragraph" w:styleId="Zhlav">
    <w:name w:val="header"/>
    <w:basedOn w:val="Normln"/>
    <w:link w:val="ZhlavChar"/>
    <w:uiPriority w:val="99"/>
    <w:unhideWhenUsed/>
    <w:rsid w:val="00F17E74"/>
    <w:pPr>
      <w:tabs>
        <w:tab w:val="center" w:pos="4536"/>
        <w:tab w:val="right" w:pos="9072"/>
      </w:tabs>
      <w:spacing w:after="0"/>
    </w:pPr>
  </w:style>
  <w:style w:type="character" w:customStyle="1" w:styleId="ZhlavChar">
    <w:name w:val="Záhlaví Char"/>
    <w:basedOn w:val="Standardnpsmoodstavce"/>
    <w:link w:val="Zhlav"/>
    <w:uiPriority w:val="99"/>
    <w:rsid w:val="00F17E74"/>
  </w:style>
  <w:style w:type="paragraph" w:styleId="Zpat">
    <w:name w:val="footer"/>
    <w:basedOn w:val="Normln"/>
    <w:link w:val="ZpatChar"/>
    <w:unhideWhenUsed/>
    <w:rsid w:val="00F17E74"/>
    <w:pPr>
      <w:tabs>
        <w:tab w:val="center" w:pos="4536"/>
        <w:tab w:val="right" w:pos="9072"/>
      </w:tabs>
      <w:spacing w:after="0"/>
    </w:pPr>
  </w:style>
  <w:style w:type="character" w:customStyle="1" w:styleId="ZpatChar">
    <w:name w:val="Zápatí Char"/>
    <w:basedOn w:val="Standardnpsmoodstavce"/>
    <w:link w:val="Zpat"/>
    <w:rsid w:val="00F17E74"/>
  </w:style>
  <w:style w:type="paragraph" w:styleId="Obsah3">
    <w:name w:val="toc 3"/>
    <w:basedOn w:val="Normln"/>
    <w:next w:val="Normln"/>
    <w:autoRedefine/>
    <w:uiPriority w:val="39"/>
    <w:unhideWhenUsed/>
    <w:rsid w:val="00FF1CA8"/>
    <w:pPr>
      <w:spacing w:after="0"/>
      <w:jc w:val="left"/>
    </w:pPr>
    <w:rPr>
      <w:rFonts w:asciiTheme="minorHAnsi" w:hAnsiTheme="minorHAnsi" w:cstheme="minorHAnsi"/>
      <w:sz w:val="20"/>
      <w:szCs w:val="20"/>
    </w:rPr>
  </w:style>
  <w:style w:type="paragraph" w:styleId="Nzev">
    <w:name w:val="Title"/>
    <w:basedOn w:val="Normln"/>
    <w:next w:val="Normln"/>
    <w:link w:val="NzevChar"/>
    <w:qFormat/>
    <w:rsid w:val="00F17E7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rsid w:val="00F17E74"/>
    <w:rPr>
      <w:rFonts w:asciiTheme="majorHAnsi" w:eastAsiaTheme="majorEastAsia" w:hAnsiTheme="majorHAnsi" w:cstheme="majorBidi"/>
      <w:color w:val="323E4F" w:themeColor="text2" w:themeShade="BF"/>
      <w:spacing w:val="5"/>
      <w:kern w:val="28"/>
      <w:sz w:val="52"/>
      <w:szCs w:val="52"/>
    </w:rPr>
  </w:style>
  <w:style w:type="paragraph" w:styleId="Zkladntextodsazen2">
    <w:name w:val="Body Text Indent 2"/>
    <w:basedOn w:val="Normln"/>
    <w:link w:val="Zkladntextodsazen2Char"/>
    <w:semiHidden/>
    <w:unhideWhenUsed/>
    <w:rsid w:val="00F17E74"/>
    <w:pPr>
      <w:spacing w:line="480" w:lineRule="auto"/>
      <w:ind w:left="283"/>
    </w:pPr>
    <w:rPr>
      <w:rFonts w:ascii="Times New Roman" w:eastAsia="Times New Roman" w:hAnsi="Times New Roman" w:cs="Times New Roman"/>
      <w:szCs w:val="24"/>
      <w:lang w:eastAsia="cs-CZ"/>
    </w:rPr>
  </w:style>
  <w:style w:type="character" w:customStyle="1" w:styleId="Zkladntextodsazen2Char">
    <w:name w:val="Základní text odsazený 2 Char"/>
    <w:basedOn w:val="Standardnpsmoodstavce"/>
    <w:link w:val="Zkladntextodsazen2"/>
    <w:semiHidden/>
    <w:rsid w:val="00F17E74"/>
    <w:rPr>
      <w:rFonts w:ascii="Times New Roman" w:eastAsia="Times New Roman" w:hAnsi="Times New Roman" w:cs="Times New Roman"/>
      <w:sz w:val="24"/>
      <w:szCs w:val="24"/>
      <w:lang w:eastAsia="cs-CZ"/>
    </w:rPr>
  </w:style>
  <w:style w:type="paragraph" w:customStyle="1" w:styleId="Odstavec">
    <w:name w:val="Odstavec"/>
    <w:basedOn w:val="Normln"/>
    <w:rsid w:val="00F17E74"/>
    <w:pPr>
      <w:spacing w:before="120" w:after="0"/>
      <w:ind w:firstLine="567"/>
    </w:pPr>
    <w:rPr>
      <w:rFonts w:ascii="Times New Roman" w:eastAsia="Times New Roman" w:hAnsi="Times New Roman" w:cs="Times New Roman"/>
      <w:szCs w:val="20"/>
      <w:lang w:eastAsia="cs-CZ"/>
    </w:rPr>
  </w:style>
  <w:style w:type="character" w:styleId="Odkaznakoment">
    <w:name w:val="annotation reference"/>
    <w:basedOn w:val="Standardnpsmoodstavce"/>
    <w:uiPriority w:val="99"/>
    <w:unhideWhenUsed/>
    <w:rsid w:val="00F17E74"/>
    <w:rPr>
      <w:sz w:val="16"/>
      <w:szCs w:val="16"/>
    </w:rPr>
  </w:style>
  <w:style w:type="paragraph" w:styleId="Textkomente">
    <w:name w:val="annotation text"/>
    <w:basedOn w:val="Normln"/>
    <w:link w:val="TextkomenteChar"/>
    <w:uiPriority w:val="99"/>
    <w:unhideWhenUsed/>
    <w:rsid w:val="00F17E74"/>
    <w:rPr>
      <w:sz w:val="20"/>
      <w:szCs w:val="20"/>
    </w:rPr>
  </w:style>
  <w:style w:type="character" w:customStyle="1" w:styleId="TextkomenteChar">
    <w:name w:val="Text komentáře Char"/>
    <w:basedOn w:val="Standardnpsmoodstavce"/>
    <w:link w:val="Textkomente"/>
    <w:uiPriority w:val="99"/>
    <w:rsid w:val="00F17E74"/>
    <w:rPr>
      <w:sz w:val="20"/>
      <w:szCs w:val="20"/>
    </w:rPr>
  </w:style>
  <w:style w:type="paragraph" w:styleId="Normlnweb">
    <w:name w:val="Normal (Web)"/>
    <w:basedOn w:val="Normln"/>
    <w:uiPriority w:val="99"/>
    <w:unhideWhenUsed/>
    <w:rsid w:val="00F17E74"/>
    <w:pPr>
      <w:spacing w:after="150"/>
    </w:pPr>
    <w:rPr>
      <w:rFonts w:ascii="Times New Roman" w:eastAsia="Times New Roman" w:hAnsi="Times New Roman" w:cs="Times New Roman"/>
      <w:szCs w:val="24"/>
      <w:lang w:eastAsia="cs-CZ"/>
    </w:rPr>
  </w:style>
  <w:style w:type="paragraph" w:styleId="FormtovanvHTML">
    <w:name w:val="HTML Preformatted"/>
    <w:basedOn w:val="Normln"/>
    <w:link w:val="FormtovanvHTMLChar"/>
    <w:uiPriority w:val="99"/>
    <w:unhideWhenUsed/>
    <w:rsid w:val="00F17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F17E74"/>
    <w:rPr>
      <w:rFonts w:ascii="Courier New" w:eastAsia="Times New Roman" w:hAnsi="Courier New" w:cs="Courier New"/>
      <w:sz w:val="20"/>
      <w:szCs w:val="20"/>
      <w:lang w:eastAsia="cs-CZ"/>
    </w:rPr>
  </w:style>
  <w:style w:type="character" w:styleId="Siln">
    <w:name w:val="Strong"/>
    <w:aliases w:val="Tučné"/>
    <w:basedOn w:val="Standardnpsmoodstavce"/>
    <w:uiPriority w:val="22"/>
    <w:qFormat/>
    <w:rsid w:val="00F17E74"/>
    <w:rPr>
      <w:b/>
      <w:bCs/>
    </w:rPr>
  </w:style>
  <w:style w:type="character" w:customStyle="1" w:styleId="dwitem">
    <w:name w:val="dw_item"/>
    <w:basedOn w:val="Standardnpsmoodstavce"/>
    <w:rsid w:val="00F17E74"/>
  </w:style>
  <w:style w:type="character" w:styleId="Zdraznn">
    <w:name w:val="Emphasis"/>
    <w:basedOn w:val="Standardnpsmoodstavce"/>
    <w:uiPriority w:val="20"/>
    <w:qFormat/>
    <w:rsid w:val="00F17E74"/>
    <w:rPr>
      <w:i/>
      <w:iCs/>
    </w:rPr>
  </w:style>
  <w:style w:type="paragraph" w:styleId="Prosttext">
    <w:name w:val="Plain Text"/>
    <w:basedOn w:val="Normln"/>
    <w:link w:val="ProsttextChar"/>
    <w:uiPriority w:val="99"/>
    <w:unhideWhenUsed/>
    <w:rsid w:val="00F17E74"/>
    <w:pPr>
      <w:spacing w:after="0"/>
    </w:pPr>
    <w:rPr>
      <w:rFonts w:ascii="Consolas" w:hAnsi="Consolas"/>
      <w:sz w:val="21"/>
      <w:szCs w:val="21"/>
    </w:rPr>
  </w:style>
  <w:style w:type="character" w:customStyle="1" w:styleId="ProsttextChar">
    <w:name w:val="Prostý text Char"/>
    <w:basedOn w:val="Standardnpsmoodstavce"/>
    <w:link w:val="Prosttext"/>
    <w:uiPriority w:val="99"/>
    <w:rsid w:val="00F17E74"/>
    <w:rPr>
      <w:rFonts w:ascii="Consolas" w:hAnsi="Consolas"/>
      <w:sz w:val="21"/>
      <w:szCs w:val="21"/>
    </w:rPr>
  </w:style>
  <w:style w:type="table" w:styleId="Mkatabulky">
    <w:name w:val="Table Grid"/>
    <w:basedOn w:val="Normlntabulka"/>
    <w:uiPriority w:val="39"/>
    <w:rsid w:val="00F17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F17E74"/>
    <w:rPr>
      <w:b/>
      <w:bCs/>
    </w:rPr>
  </w:style>
  <w:style w:type="character" w:customStyle="1" w:styleId="PedmtkomenteChar">
    <w:name w:val="Předmět komentáře Char"/>
    <w:basedOn w:val="TextkomenteChar"/>
    <w:link w:val="Pedmtkomente"/>
    <w:uiPriority w:val="99"/>
    <w:semiHidden/>
    <w:rsid w:val="00F17E74"/>
    <w:rPr>
      <w:rFonts w:ascii="Arial" w:hAnsi="Arial"/>
      <w:b/>
      <w:bCs/>
      <w:sz w:val="20"/>
      <w:szCs w:val="20"/>
    </w:rPr>
  </w:style>
  <w:style w:type="paragraph" w:styleId="Revize">
    <w:name w:val="Revision"/>
    <w:hidden/>
    <w:uiPriority w:val="99"/>
    <w:semiHidden/>
    <w:rsid w:val="00F17E74"/>
    <w:pPr>
      <w:spacing w:after="0" w:line="240" w:lineRule="auto"/>
    </w:pPr>
  </w:style>
  <w:style w:type="paragraph" w:styleId="Bezmezer">
    <w:name w:val="No Spacing"/>
    <w:basedOn w:val="Normln"/>
    <w:uiPriority w:val="1"/>
    <w:qFormat/>
    <w:rsid w:val="00F17E74"/>
    <w:pPr>
      <w:spacing w:after="0"/>
    </w:pPr>
    <w:rPr>
      <w:rFonts w:ascii="Calibri" w:hAnsi="Calibri" w:cs="Times New Roman"/>
    </w:rPr>
  </w:style>
  <w:style w:type="paragraph" w:styleId="Zkladntext">
    <w:name w:val="Body Text"/>
    <w:basedOn w:val="Normln"/>
    <w:link w:val="ZkladntextChar"/>
    <w:uiPriority w:val="1"/>
    <w:qFormat/>
    <w:rsid w:val="00F17E74"/>
    <w:pPr>
      <w:spacing w:before="200" w:line="252" w:lineRule="auto"/>
    </w:pPr>
    <w:rPr>
      <w:rFonts w:ascii="Calibri" w:eastAsia="Times New Roman" w:hAnsi="Calibri" w:cs="Times New Roman"/>
      <w:sz w:val="23"/>
      <w:szCs w:val="24"/>
      <w:lang w:eastAsia="cs-CZ"/>
    </w:rPr>
  </w:style>
  <w:style w:type="character" w:customStyle="1" w:styleId="ZkladntextChar">
    <w:name w:val="Základní text Char"/>
    <w:basedOn w:val="Standardnpsmoodstavce"/>
    <w:link w:val="Zkladntext"/>
    <w:uiPriority w:val="1"/>
    <w:rsid w:val="00F17E74"/>
    <w:rPr>
      <w:rFonts w:ascii="Calibri" w:eastAsia="Times New Roman" w:hAnsi="Calibri" w:cs="Times New Roman"/>
      <w:sz w:val="23"/>
      <w:szCs w:val="24"/>
      <w:lang w:eastAsia="cs-CZ"/>
    </w:rPr>
  </w:style>
  <w:style w:type="character" w:customStyle="1" w:styleId="Nevyeenzmnka1">
    <w:name w:val="Nevyřešená zmínka1"/>
    <w:basedOn w:val="Standardnpsmoodstavce"/>
    <w:uiPriority w:val="99"/>
    <w:semiHidden/>
    <w:unhideWhenUsed/>
    <w:rsid w:val="00F17E74"/>
    <w:rPr>
      <w:color w:val="605E5C"/>
      <w:shd w:val="clear" w:color="auto" w:fill="E1DFDD"/>
    </w:rPr>
  </w:style>
  <w:style w:type="character" w:customStyle="1" w:styleId="OdstavecseseznamemChar">
    <w:name w:val="Odstavec se seznamem Char"/>
    <w:aliases w:val="a Char,Conclusion de partie Char,Fiche List Paragraph Char,List Paragraph (Czech Tourism) Char,Nad Char,Nadpis pro KZ Char,Název grafu Char,Odstavec cíl se seznamem Char,Odstavec se seznamem2 Char,Odstavec se seznamem5 Char"/>
    <w:link w:val="Odstavecseseznamem"/>
    <w:uiPriority w:val="34"/>
    <w:qFormat/>
    <w:locked/>
    <w:rsid w:val="00F17E74"/>
  </w:style>
  <w:style w:type="paragraph" w:customStyle="1" w:styleId="Default">
    <w:name w:val="Default"/>
    <w:link w:val="DefaultChar"/>
    <w:rsid w:val="00F17E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1a">
    <w:name w:val="h1a"/>
    <w:basedOn w:val="Standardnpsmoodstavce"/>
    <w:rsid w:val="00F17E74"/>
  </w:style>
  <w:style w:type="character" w:customStyle="1" w:styleId="Nevyeenzmnka2">
    <w:name w:val="Nevyřešená zmínka2"/>
    <w:basedOn w:val="Standardnpsmoodstavce"/>
    <w:uiPriority w:val="99"/>
    <w:semiHidden/>
    <w:unhideWhenUsed/>
    <w:rsid w:val="00473FA1"/>
    <w:rPr>
      <w:color w:val="605E5C"/>
      <w:shd w:val="clear" w:color="auto" w:fill="E1DFDD"/>
    </w:rPr>
  </w:style>
  <w:style w:type="paragraph" w:styleId="Obsah4">
    <w:name w:val="toc 4"/>
    <w:basedOn w:val="Normln"/>
    <w:next w:val="Normln"/>
    <w:autoRedefine/>
    <w:uiPriority w:val="39"/>
    <w:unhideWhenUsed/>
    <w:rsid w:val="00FF1CA8"/>
    <w:pPr>
      <w:spacing w:after="0"/>
      <w:ind w:left="440"/>
      <w:jc w:val="left"/>
    </w:pPr>
    <w:rPr>
      <w:rFonts w:asciiTheme="minorHAnsi" w:hAnsiTheme="minorHAnsi" w:cstheme="minorHAnsi"/>
      <w:sz w:val="20"/>
      <w:szCs w:val="20"/>
    </w:rPr>
  </w:style>
  <w:style w:type="paragraph" w:styleId="Obsah5">
    <w:name w:val="toc 5"/>
    <w:basedOn w:val="Normln"/>
    <w:next w:val="Normln"/>
    <w:autoRedefine/>
    <w:uiPriority w:val="39"/>
    <w:unhideWhenUsed/>
    <w:rsid w:val="00FF1CA8"/>
    <w:pPr>
      <w:spacing w:after="0"/>
      <w:ind w:left="660"/>
      <w:jc w:val="left"/>
    </w:pPr>
    <w:rPr>
      <w:rFonts w:asciiTheme="minorHAnsi" w:hAnsiTheme="minorHAnsi" w:cstheme="minorHAnsi"/>
      <w:sz w:val="20"/>
      <w:szCs w:val="20"/>
    </w:rPr>
  </w:style>
  <w:style w:type="paragraph" w:styleId="Obsah6">
    <w:name w:val="toc 6"/>
    <w:basedOn w:val="Normln"/>
    <w:next w:val="Normln"/>
    <w:autoRedefine/>
    <w:uiPriority w:val="39"/>
    <w:unhideWhenUsed/>
    <w:rsid w:val="00FF1CA8"/>
    <w:pPr>
      <w:spacing w:after="0"/>
      <w:ind w:left="880"/>
      <w:jc w:val="left"/>
    </w:pPr>
    <w:rPr>
      <w:rFonts w:asciiTheme="minorHAnsi" w:hAnsiTheme="minorHAnsi" w:cstheme="minorHAnsi"/>
      <w:sz w:val="20"/>
      <w:szCs w:val="20"/>
    </w:rPr>
  </w:style>
  <w:style w:type="paragraph" w:styleId="Obsah7">
    <w:name w:val="toc 7"/>
    <w:basedOn w:val="Normln"/>
    <w:next w:val="Normln"/>
    <w:autoRedefine/>
    <w:uiPriority w:val="39"/>
    <w:unhideWhenUsed/>
    <w:rsid w:val="00FF1CA8"/>
    <w:pPr>
      <w:spacing w:after="0"/>
      <w:ind w:left="1100"/>
      <w:jc w:val="left"/>
    </w:pPr>
    <w:rPr>
      <w:rFonts w:asciiTheme="minorHAnsi" w:hAnsiTheme="minorHAnsi" w:cstheme="minorHAnsi"/>
      <w:sz w:val="20"/>
      <w:szCs w:val="20"/>
    </w:rPr>
  </w:style>
  <w:style w:type="paragraph" w:styleId="Obsah8">
    <w:name w:val="toc 8"/>
    <w:basedOn w:val="Normln"/>
    <w:next w:val="Normln"/>
    <w:autoRedefine/>
    <w:uiPriority w:val="39"/>
    <w:unhideWhenUsed/>
    <w:rsid w:val="00FF1CA8"/>
    <w:pPr>
      <w:spacing w:after="0"/>
      <w:ind w:left="1320"/>
      <w:jc w:val="left"/>
    </w:pPr>
    <w:rPr>
      <w:rFonts w:asciiTheme="minorHAnsi" w:hAnsiTheme="minorHAnsi" w:cstheme="minorHAnsi"/>
      <w:sz w:val="20"/>
      <w:szCs w:val="20"/>
    </w:rPr>
  </w:style>
  <w:style w:type="paragraph" w:styleId="Obsah9">
    <w:name w:val="toc 9"/>
    <w:basedOn w:val="Normln"/>
    <w:next w:val="Normln"/>
    <w:autoRedefine/>
    <w:uiPriority w:val="39"/>
    <w:unhideWhenUsed/>
    <w:rsid w:val="00FF1CA8"/>
    <w:pPr>
      <w:spacing w:after="0"/>
      <w:ind w:left="1540"/>
      <w:jc w:val="left"/>
    </w:pPr>
    <w:rPr>
      <w:rFonts w:asciiTheme="minorHAnsi" w:hAnsiTheme="minorHAnsi" w:cstheme="minorHAnsi"/>
      <w:sz w:val="20"/>
      <w:szCs w:val="20"/>
    </w:rPr>
  </w:style>
  <w:style w:type="character" w:customStyle="1" w:styleId="DAVAChar">
    <w:name w:val="DAVA Char"/>
    <w:link w:val="DAVA"/>
    <w:locked/>
    <w:rsid w:val="00662F99"/>
    <w:rPr>
      <w:rFonts w:ascii="Arial" w:hAnsi="Arial" w:cs="Times New Roman"/>
      <w:sz w:val="28"/>
      <w:lang w:val="x-none" w:eastAsia="x-none"/>
    </w:rPr>
  </w:style>
  <w:style w:type="paragraph" w:customStyle="1" w:styleId="DAVA">
    <w:name w:val="DAVA"/>
    <w:basedOn w:val="Normln"/>
    <w:link w:val="DAVAChar"/>
    <w:qFormat/>
    <w:rsid w:val="00662F99"/>
    <w:pPr>
      <w:spacing w:before="120" w:after="0"/>
      <w:jc w:val="left"/>
    </w:pPr>
    <w:rPr>
      <w:rFonts w:cs="Times New Roman"/>
      <w:sz w:val="28"/>
      <w:lang w:val="x-none" w:eastAsia="x-none"/>
    </w:rPr>
  </w:style>
  <w:style w:type="paragraph" w:customStyle="1" w:styleId="WW-Zkladntext2">
    <w:name w:val="WW-Základní text 2"/>
    <w:basedOn w:val="Normln"/>
    <w:rsid w:val="00435E49"/>
    <w:pPr>
      <w:suppressAutoHyphens/>
    </w:pPr>
    <w:rPr>
      <w:rFonts w:ascii="Times New Roman" w:eastAsia="Times New Roman" w:hAnsi="Times New Roman" w:cs="Times New Roman"/>
      <w:szCs w:val="24"/>
      <w:lang w:eastAsia="ar-SA"/>
    </w:rPr>
  </w:style>
  <w:style w:type="paragraph" w:styleId="Zkladntextodsazen">
    <w:name w:val="Body Text Indent"/>
    <w:basedOn w:val="Normln"/>
    <w:link w:val="ZkladntextodsazenChar"/>
    <w:rsid w:val="00435E49"/>
    <w:pPr>
      <w:ind w:left="283"/>
      <w:jc w:val="left"/>
    </w:pPr>
    <w:rPr>
      <w:rFonts w:ascii="Times New Roman" w:eastAsia="Times New Roman" w:hAnsi="Times New Roman" w:cs="Times New Roman"/>
      <w:szCs w:val="24"/>
      <w:lang w:eastAsia="cs-CZ"/>
    </w:rPr>
  </w:style>
  <w:style w:type="character" w:customStyle="1" w:styleId="ZkladntextodsazenChar">
    <w:name w:val="Základní text odsazený Char"/>
    <w:basedOn w:val="Standardnpsmoodstavce"/>
    <w:link w:val="Zkladntextodsazen"/>
    <w:rsid w:val="00435E49"/>
    <w:rPr>
      <w:rFonts w:ascii="Times New Roman" w:eastAsia="Times New Roman" w:hAnsi="Times New Roman" w:cs="Times New Roman"/>
      <w:sz w:val="24"/>
      <w:szCs w:val="24"/>
      <w:lang w:eastAsia="cs-CZ"/>
    </w:rPr>
  </w:style>
  <w:style w:type="paragraph" w:customStyle="1" w:styleId="Char3CharChar">
    <w:name w:val="Char3 Char Char"/>
    <w:basedOn w:val="Normln"/>
    <w:rsid w:val="00233480"/>
    <w:pPr>
      <w:spacing w:after="160" w:line="240" w:lineRule="exact"/>
      <w:jc w:val="left"/>
    </w:pPr>
    <w:rPr>
      <w:rFonts w:ascii="Verdana" w:eastAsia="Times New Roman" w:hAnsi="Verdana" w:cs="Times New Roman"/>
      <w:sz w:val="20"/>
      <w:szCs w:val="20"/>
      <w:lang w:val="en-US"/>
    </w:rPr>
  </w:style>
  <w:style w:type="paragraph" w:customStyle="1" w:styleId="Char3CharChar0">
    <w:name w:val="Char3 Char Char"/>
    <w:basedOn w:val="Normln"/>
    <w:rsid w:val="00B707AA"/>
    <w:pPr>
      <w:spacing w:after="160" w:line="240" w:lineRule="exact"/>
      <w:jc w:val="left"/>
    </w:pPr>
    <w:rPr>
      <w:rFonts w:ascii="Verdana" w:eastAsia="Times New Roman" w:hAnsi="Verdana" w:cs="Times New Roman"/>
      <w:sz w:val="20"/>
      <w:szCs w:val="20"/>
      <w:lang w:val="en-US"/>
    </w:rPr>
  </w:style>
  <w:style w:type="character" w:styleId="Nzevknihy">
    <w:name w:val="Book Title"/>
    <w:basedOn w:val="Standardnpsmoodstavce"/>
    <w:uiPriority w:val="33"/>
    <w:qFormat/>
    <w:rsid w:val="00ED6588"/>
    <w:rPr>
      <w:b/>
      <w:bCs/>
      <w:smallCaps/>
      <w:spacing w:val="5"/>
    </w:rPr>
  </w:style>
  <w:style w:type="paragraph" w:customStyle="1" w:styleId="1">
    <w:name w:val="1"/>
    <w:basedOn w:val="Normln"/>
    <w:rsid w:val="0041199C"/>
    <w:pPr>
      <w:spacing w:after="160" w:line="240" w:lineRule="exact"/>
      <w:jc w:val="left"/>
    </w:pPr>
    <w:rPr>
      <w:rFonts w:ascii="Verdana" w:eastAsia="Times New Roman" w:hAnsi="Verdana" w:cs="Times New Roman"/>
      <w:sz w:val="20"/>
      <w:szCs w:val="20"/>
      <w:lang w:val="en-US"/>
    </w:rPr>
  </w:style>
  <w:style w:type="paragraph" w:customStyle="1" w:styleId="Obsahtabulky">
    <w:name w:val="Obsah tabulky"/>
    <w:basedOn w:val="Normln"/>
    <w:qFormat/>
    <w:rsid w:val="00A13A2B"/>
    <w:pPr>
      <w:widowControl w:val="0"/>
      <w:suppressLineNumbers/>
      <w:suppressAutoHyphens/>
      <w:spacing w:after="0"/>
      <w:jc w:val="left"/>
    </w:pPr>
    <w:rPr>
      <w:rFonts w:ascii="Times New Roman" w:eastAsia="Times New Roman" w:hAnsi="Times New Roman" w:cs="Times New Roman"/>
      <w:sz w:val="24"/>
      <w:szCs w:val="24"/>
      <w:lang w:eastAsia="zh-CN"/>
    </w:rPr>
  </w:style>
  <w:style w:type="character" w:customStyle="1" w:styleId="normaltextrun">
    <w:name w:val="normaltextrun"/>
    <w:basedOn w:val="Standardnpsmoodstavce"/>
    <w:rsid w:val="00484A82"/>
  </w:style>
  <w:style w:type="character" w:customStyle="1" w:styleId="eop">
    <w:name w:val="eop"/>
    <w:basedOn w:val="Standardnpsmoodstavce"/>
    <w:rsid w:val="00484A82"/>
  </w:style>
  <w:style w:type="character" w:customStyle="1" w:styleId="spellingerror">
    <w:name w:val="spellingerror"/>
    <w:basedOn w:val="Standardnpsmoodstavce"/>
    <w:rsid w:val="00484A82"/>
  </w:style>
  <w:style w:type="character" w:customStyle="1" w:styleId="ynrlnc">
    <w:name w:val="ynrlnc"/>
    <w:basedOn w:val="Standardnpsmoodstavce"/>
    <w:rsid w:val="00F07BAE"/>
  </w:style>
  <w:style w:type="paragraph" w:customStyle="1" w:styleId="Standard">
    <w:name w:val="Standard"/>
    <w:rsid w:val="00A421F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Seznamsodrkami">
    <w:name w:val="List Bullet"/>
    <w:basedOn w:val="Normln"/>
    <w:uiPriority w:val="99"/>
    <w:unhideWhenUsed/>
    <w:rsid w:val="008C6CE6"/>
    <w:pPr>
      <w:numPr>
        <w:numId w:val="2"/>
      </w:numPr>
      <w:contextualSpacing/>
    </w:pPr>
  </w:style>
  <w:style w:type="character" w:customStyle="1" w:styleId="Normln1Char">
    <w:name w:val="Normální1 Char"/>
    <w:link w:val="Normln1"/>
    <w:locked/>
    <w:rsid w:val="00850612"/>
    <w:rPr>
      <w:rFonts w:ascii="Times New Roman" w:hAnsi="Times New Roman" w:cs="Times New Roman"/>
      <w:sz w:val="24"/>
      <w:szCs w:val="24"/>
    </w:rPr>
  </w:style>
  <w:style w:type="paragraph" w:customStyle="1" w:styleId="Normln1">
    <w:name w:val="Normální1"/>
    <w:basedOn w:val="Normln"/>
    <w:link w:val="Normln1Char"/>
    <w:qFormat/>
    <w:rsid w:val="00850612"/>
    <w:pPr>
      <w:spacing w:after="240"/>
    </w:pPr>
    <w:rPr>
      <w:rFonts w:ascii="Times New Roman" w:hAnsi="Times New Roman" w:cs="Times New Roman"/>
      <w:sz w:val="24"/>
      <w:szCs w:val="24"/>
    </w:rPr>
  </w:style>
  <w:style w:type="paragraph" w:customStyle="1" w:styleId="xmsonormal">
    <w:name w:val="xmsonormal"/>
    <w:basedOn w:val="Normln"/>
    <w:rsid w:val="00B902F3"/>
    <w:pPr>
      <w:spacing w:after="0"/>
      <w:jc w:val="left"/>
    </w:pPr>
    <w:rPr>
      <w:rFonts w:ascii="Calibri" w:hAnsi="Calibri" w:cs="Calibri"/>
      <w:lang w:eastAsia="cs-CZ"/>
    </w:rPr>
  </w:style>
  <w:style w:type="paragraph" w:customStyle="1" w:styleId="xxxxxmsonormal">
    <w:name w:val="xxxxxmsonormal"/>
    <w:basedOn w:val="Normln"/>
    <w:rsid w:val="00C11F78"/>
    <w:pPr>
      <w:spacing w:after="0"/>
      <w:jc w:val="left"/>
    </w:pPr>
    <w:rPr>
      <w:rFonts w:ascii="Calibri" w:hAnsi="Calibri" w:cs="Calibri"/>
      <w:lang w:eastAsia="cs-CZ"/>
    </w:rPr>
  </w:style>
  <w:style w:type="paragraph" w:customStyle="1" w:styleId="xmsonormal0">
    <w:name w:val="x_msonormal"/>
    <w:basedOn w:val="Normln"/>
    <w:rsid w:val="000F2558"/>
    <w:pPr>
      <w:spacing w:after="0"/>
      <w:jc w:val="left"/>
    </w:pPr>
    <w:rPr>
      <w:rFonts w:ascii="Calibri" w:eastAsia="Calibri" w:hAnsi="Calibri" w:cs="Calibri"/>
      <w:lang w:eastAsia="cs-CZ"/>
    </w:rPr>
  </w:style>
  <w:style w:type="character" w:customStyle="1" w:styleId="K-TextChar">
    <w:name w:val="K-Text Char"/>
    <w:basedOn w:val="Standardnpsmoodstavce"/>
    <w:link w:val="K-Text"/>
    <w:locked/>
    <w:rsid w:val="00784AA1"/>
    <w:rPr>
      <w:rFonts w:ascii="Times New Roman" w:hAnsi="Times New Roman" w:cs="Times New Roman"/>
      <w:iCs/>
      <w:sz w:val="23"/>
      <w:szCs w:val="23"/>
    </w:rPr>
  </w:style>
  <w:style w:type="paragraph" w:customStyle="1" w:styleId="K-Text">
    <w:name w:val="K-Text"/>
    <w:basedOn w:val="Normln"/>
    <w:link w:val="K-TextChar"/>
    <w:qFormat/>
    <w:rsid w:val="00784AA1"/>
    <w:pPr>
      <w:spacing w:line="292" w:lineRule="auto"/>
    </w:pPr>
    <w:rPr>
      <w:rFonts w:ascii="Times New Roman" w:hAnsi="Times New Roman" w:cs="Times New Roman"/>
      <w:iCs/>
      <w:sz w:val="23"/>
      <w:szCs w:val="23"/>
    </w:rPr>
  </w:style>
  <w:style w:type="character" w:customStyle="1" w:styleId="DefaultChar">
    <w:name w:val="Default Char"/>
    <w:basedOn w:val="Standardnpsmoodstavce"/>
    <w:link w:val="Default"/>
    <w:locked/>
    <w:rsid w:val="00784AA1"/>
    <w:rPr>
      <w:rFonts w:ascii="Times New Roman" w:hAnsi="Times New Roman" w:cs="Times New Roman"/>
      <w:color w:val="000000"/>
      <w:sz w:val="24"/>
      <w:szCs w:val="24"/>
    </w:rPr>
  </w:style>
  <w:style w:type="paragraph" w:styleId="Zkladntext2">
    <w:name w:val="Body Text 2"/>
    <w:basedOn w:val="Normln"/>
    <w:link w:val="Zkladntext2Char"/>
    <w:uiPriority w:val="99"/>
    <w:unhideWhenUsed/>
    <w:rsid w:val="00446A99"/>
    <w:pPr>
      <w:spacing w:line="480" w:lineRule="auto"/>
    </w:pPr>
  </w:style>
  <w:style w:type="character" w:customStyle="1" w:styleId="Zkladntext2Char">
    <w:name w:val="Základní text 2 Char"/>
    <w:basedOn w:val="Standardnpsmoodstavce"/>
    <w:link w:val="Zkladntext2"/>
    <w:uiPriority w:val="99"/>
    <w:rsid w:val="00446A99"/>
    <w:rPr>
      <w:rFonts w:ascii="Arial" w:hAnsi="Arial"/>
    </w:rPr>
  </w:style>
  <w:style w:type="paragraph" w:customStyle="1" w:styleId="TableParagraph">
    <w:name w:val="Table Paragraph"/>
    <w:basedOn w:val="Normln"/>
    <w:uiPriority w:val="1"/>
    <w:qFormat/>
    <w:rsid w:val="00E737D4"/>
    <w:pPr>
      <w:widowControl w:val="0"/>
      <w:autoSpaceDE w:val="0"/>
      <w:autoSpaceDN w:val="0"/>
      <w:spacing w:after="0" w:line="280" w:lineRule="exact"/>
      <w:ind w:left="537" w:firstLine="709"/>
      <w:jc w:val="left"/>
    </w:pPr>
    <w:rPr>
      <w:rFonts w:ascii="Calibri" w:eastAsia="Calibri" w:hAnsi="Calibri" w:cs="Calibri"/>
      <w:lang w:val="sk-SK"/>
    </w:rPr>
  </w:style>
  <w:style w:type="table" w:customStyle="1" w:styleId="TableNormal">
    <w:name w:val="Table Normal"/>
    <w:uiPriority w:val="2"/>
    <w:semiHidden/>
    <w:qFormat/>
    <w:rsid w:val="00E737D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Nevyeenzmnka3">
    <w:name w:val="Nevyřešená zmínka3"/>
    <w:basedOn w:val="Standardnpsmoodstavce"/>
    <w:uiPriority w:val="99"/>
    <w:semiHidden/>
    <w:unhideWhenUsed/>
    <w:rsid w:val="00E737D4"/>
    <w:rPr>
      <w:color w:val="605E5C"/>
      <w:shd w:val="clear" w:color="auto" w:fill="E1DFDD"/>
    </w:rPr>
  </w:style>
  <w:style w:type="table" w:customStyle="1" w:styleId="Mkatabulky1">
    <w:name w:val="Mřížka tabulky1"/>
    <w:basedOn w:val="Normlntabulka"/>
    <w:next w:val="Mkatabulky"/>
    <w:uiPriority w:val="59"/>
    <w:rsid w:val="00221B01"/>
    <w:pPr>
      <w:spacing w:after="0" w:line="240" w:lineRule="auto"/>
    </w:pPr>
    <w:rPr>
      <w:rFonts w:eastAsia="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ednstnovn1zvraznn11">
    <w:name w:val="Střední stínování 1 – zvýraznění 11"/>
    <w:basedOn w:val="Normlntabulka"/>
    <w:next w:val="Stednstnovn1zvraznn1"/>
    <w:uiPriority w:val="63"/>
    <w:rsid w:val="00221B0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221B0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AA">
    <w:name w:val="AA"/>
    <w:basedOn w:val="Normln"/>
    <w:rsid w:val="00FC18C8"/>
    <w:pPr>
      <w:tabs>
        <w:tab w:val="left" w:pos="142"/>
      </w:tabs>
      <w:suppressAutoHyphens/>
      <w:spacing w:before="120"/>
      <w:jc w:val="left"/>
    </w:pPr>
    <w:rPr>
      <w:rFonts w:ascii="Times New Roman" w:eastAsia="Times New Roman" w:hAnsi="Times New Roman" w:cs="Times New Roman"/>
      <w:i/>
      <w:sz w:val="24"/>
      <w:szCs w:val="20"/>
      <w:lang w:eastAsia="ar-SA"/>
    </w:rPr>
  </w:style>
  <w:style w:type="paragraph" w:customStyle="1" w:styleId="paragraph">
    <w:name w:val="paragraph"/>
    <w:basedOn w:val="Normln"/>
    <w:rsid w:val="0034042B"/>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contextualspellingandgrammarerror">
    <w:name w:val="contextualspellingandgrammarerror"/>
    <w:basedOn w:val="Standardnpsmoodstavce"/>
    <w:rsid w:val="00AE617F"/>
  </w:style>
  <w:style w:type="character" w:customStyle="1" w:styleId="datalabel">
    <w:name w:val="datalabel"/>
    <w:basedOn w:val="Standardnpsmoodstavce"/>
    <w:rsid w:val="00E426A9"/>
  </w:style>
  <w:style w:type="paragraph" w:customStyle="1" w:styleId="Nzevlnku">
    <w:name w:val="Název článku"/>
    <w:basedOn w:val="Normln"/>
    <w:next w:val="Normln"/>
    <w:rsid w:val="00CB221F"/>
    <w:pPr>
      <w:keepNext/>
      <w:jc w:val="center"/>
    </w:pPr>
    <w:rPr>
      <w:rFonts w:eastAsia="Times New Roman" w:cs="Times New Roman"/>
      <w:b/>
      <w:szCs w:val="24"/>
      <w:lang w:eastAsia="cs-CZ"/>
    </w:rPr>
  </w:style>
  <w:style w:type="character" w:customStyle="1" w:styleId="bold">
    <w:name w:val="bold"/>
    <w:basedOn w:val="Standardnpsmoodstavce"/>
    <w:rsid w:val="00833CD2"/>
  </w:style>
  <w:style w:type="character" w:customStyle="1" w:styleId="ui-provider">
    <w:name w:val="ui-provider"/>
    <w:basedOn w:val="Standardnpsmoodstavce"/>
    <w:rsid w:val="00DB7AF4"/>
  </w:style>
  <w:style w:type="character" w:customStyle="1" w:styleId="UnresolvedMention">
    <w:name w:val="Unresolved Mention"/>
    <w:basedOn w:val="Standardnpsmoodstavce"/>
    <w:uiPriority w:val="99"/>
    <w:semiHidden/>
    <w:unhideWhenUsed/>
    <w:rsid w:val="00834B5C"/>
    <w:rPr>
      <w:color w:val="605E5C"/>
      <w:shd w:val="clear" w:color="auto" w:fill="E1DFDD"/>
    </w:rPr>
  </w:style>
  <w:style w:type="paragraph" w:customStyle="1" w:styleId="MSp-text">
    <w:name w:val="MSp-text"/>
    <w:basedOn w:val="Normln"/>
    <w:rsid w:val="001360D8"/>
    <w:pPr>
      <w:tabs>
        <w:tab w:val="left" w:pos="720"/>
      </w:tabs>
      <w:spacing w:after="240"/>
      <w:ind w:firstLine="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25226">
      <w:bodyDiv w:val="1"/>
      <w:marLeft w:val="0"/>
      <w:marRight w:val="0"/>
      <w:marTop w:val="0"/>
      <w:marBottom w:val="0"/>
      <w:divBdr>
        <w:top w:val="none" w:sz="0" w:space="0" w:color="auto"/>
        <w:left w:val="none" w:sz="0" w:space="0" w:color="auto"/>
        <w:bottom w:val="none" w:sz="0" w:space="0" w:color="auto"/>
        <w:right w:val="none" w:sz="0" w:space="0" w:color="auto"/>
      </w:divBdr>
    </w:div>
    <w:div w:id="680426481">
      <w:bodyDiv w:val="1"/>
      <w:marLeft w:val="0"/>
      <w:marRight w:val="0"/>
      <w:marTop w:val="0"/>
      <w:marBottom w:val="0"/>
      <w:divBdr>
        <w:top w:val="none" w:sz="0" w:space="0" w:color="auto"/>
        <w:left w:val="none" w:sz="0" w:space="0" w:color="auto"/>
        <w:bottom w:val="none" w:sz="0" w:space="0" w:color="auto"/>
        <w:right w:val="none" w:sz="0" w:space="0" w:color="auto"/>
      </w:divBdr>
    </w:div>
    <w:div w:id="1006437926">
      <w:bodyDiv w:val="1"/>
      <w:marLeft w:val="0"/>
      <w:marRight w:val="0"/>
      <w:marTop w:val="0"/>
      <w:marBottom w:val="0"/>
      <w:divBdr>
        <w:top w:val="none" w:sz="0" w:space="0" w:color="auto"/>
        <w:left w:val="none" w:sz="0" w:space="0" w:color="auto"/>
        <w:bottom w:val="none" w:sz="0" w:space="0" w:color="auto"/>
        <w:right w:val="none" w:sz="0" w:space="0" w:color="auto"/>
      </w:divBdr>
    </w:div>
    <w:div w:id="1130515827">
      <w:bodyDiv w:val="1"/>
      <w:marLeft w:val="0"/>
      <w:marRight w:val="0"/>
      <w:marTop w:val="0"/>
      <w:marBottom w:val="0"/>
      <w:divBdr>
        <w:top w:val="none" w:sz="0" w:space="0" w:color="auto"/>
        <w:left w:val="none" w:sz="0" w:space="0" w:color="auto"/>
        <w:bottom w:val="none" w:sz="0" w:space="0" w:color="auto"/>
        <w:right w:val="none" w:sz="0" w:space="0" w:color="auto"/>
      </w:divBdr>
    </w:div>
    <w:div w:id="1660116428">
      <w:bodyDiv w:val="1"/>
      <w:marLeft w:val="0"/>
      <w:marRight w:val="0"/>
      <w:marTop w:val="0"/>
      <w:marBottom w:val="0"/>
      <w:divBdr>
        <w:top w:val="none" w:sz="0" w:space="0" w:color="auto"/>
        <w:left w:val="none" w:sz="0" w:space="0" w:color="auto"/>
        <w:bottom w:val="none" w:sz="0" w:space="0" w:color="auto"/>
        <w:right w:val="none" w:sz="0" w:space="0" w:color="auto"/>
      </w:divBdr>
    </w:div>
    <w:div w:id="1844394320">
      <w:bodyDiv w:val="1"/>
      <w:marLeft w:val="0"/>
      <w:marRight w:val="0"/>
      <w:marTop w:val="0"/>
      <w:marBottom w:val="0"/>
      <w:divBdr>
        <w:top w:val="none" w:sz="0" w:space="0" w:color="auto"/>
        <w:left w:val="none" w:sz="0" w:space="0" w:color="auto"/>
        <w:bottom w:val="none" w:sz="0" w:space="0" w:color="auto"/>
        <w:right w:val="none" w:sz="0" w:space="0" w:color="auto"/>
      </w:divBdr>
    </w:div>
    <w:div w:id="18498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2.xml"/><Relationship Id="rId21" Type="http://schemas.openxmlformats.org/officeDocument/2006/relationships/hyperlink" Target="https://www.mpo.cz/cz/podnikani/standardizace/pristupnost-vyrobku-a-sluzeb/" TargetMode="External"/><Relationship Id="rId42" Type="http://schemas.openxmlformats.org/officeDocument/2006/relationships/hyperlink" Target="https://verejnazaloba.cz/nsz/kontakty/" TargetMode="External"/><Relationship Id="rId47" Type="http://schemas.openxmlformats.org/officeDocument/2006/relationships/hyperlink" Target="https://mzv.gov.cz/jnp/o_ministerstvu/budovy_architektura/pristupnost_budov.html" TargetMode="External"/><Relationship Id="rId63" Type="http://schemas.openxmlformats.org/officeDocument/2006/relationships/hyperlink" Target="https://gov.cz/kam-dal/snadne-cteni" TargetMode="External"/><Relationship Id="rId68" Type="http://schemas.openxmlformats.org/officeDocument/2006/relationships/hyperlink" Target="https://www.npu.cz/cs/hrady-a-zamky/pristup-pro-handicapovane" TargetMode="External"/><Relationship Id="rId84" Type="http://schemas.openxmlformats.org/officeDocument/2006/relationships/hyperlink" Target="https://www.mpsv.cz/web/cz/stanoviska-a-doporucene-postupy" TargetMode="External"/><Relationship Id="rId89" Type="http://schemas.openxmlformats.org/officeDocument/2006/relationships/hyperlink" Target="https://digifolio.rvp.cz/view/view.php?t=tyGOpEMAkIagXzcqdC2h" TargetMode="External"/><Relationship Id="rId112" Type="http://schemas.openxmlformats.org/officeDocument/2006/relationships/hyperlink" Target="https://dusevnizdravi.edu.cz/" TargetMode="External"/><Relationship Id="rId16" Type="http://schemas.openxmlformats.org/officeDocument/2006/relationships/hyperlink" Target="mailto:porusovaniprav@mpo.cz" TargetMode="External"/><Relationship Id="rId107" Type="http://schemas.openxmlformats.org/officeDocument/2006/relationships/hyperlink" Target="https://opjak.cz/vyzvy/vyzva-c-02_23_022-esf-vyzva-pro-vs/" TargetMode="External"/><Relationship Id="rId11" Type="http://schemas.openxmlformats.org/officeDocument/2006/relationships/hyperlink" Target="https://www.nkp.cz/sluzby/chci-sluzbu/sluzby-pro-zdravotne-nevyhodnene?searchterm=znev" TargetMode="External"/><Relationship Id="rId32" Type="http://schemas.openxmlformats.org/officeDocument/2006/relationships/hyperlink" Target="https://www.mpo.cz/cz/rozcestnik/podpora-rovnych-prilezitosti-pro-ozp/zakladni-informace-o-pristupnosti-budov-pro-osoby-se-zdravotnim-postizenim--275311/" TargetMode="External"/><Relationship Id="rId37" Type="http://schemas.openxmlformats.org/officeDocument/2006/relationships/hyperlink" Target="https://justice.cz/web/krajsky-soud-v-praze/" TargetMode="External"/><Relationship Id="rId53" Type="http://schemas.openxmlformats.org/officeDocument/2006/relationships/hyperlink" Target="https://archi.gov.cz/uvod_schvalovani" TargetMode="External"/><Relationship Id="rId58" Type="http://schemas.openxmlformats.org/officeDocument/2006/relationships/hyperlink" Target="https://www.mdcr.cz/Ministerstvo/O-nas" TargetMode="External"/><Relationship Id="rId74" Type="http://schemas.openxmlformats.org/officeDocument/2006/relationships/hyperlink" Target="https://www.nzip.cz/clanek/1471-zubni-preventivni-prohlidky-snadne-cteni" TargetMode="External"/><Relationship Id="rId79" Type="http://schemas.openxmlformats.org/officeDocument/2006/relationships/hyperlink" Target="https://mzv.gov.cz/jnp/cz/o_ministerstvu/snadne_cteni/index.html" TargetMode="External"/><Relationship Id="rId102" Type="http://schemas.openxmlformats.org/officeDocument/2006/relationships/hyperlink" Target="https://ukrajina.npi.cz/blog/jak-na-to-v-pestre-tride" TargetMode="External"/><Relationship Id="rId123" Type="http://schemas.openxmlformats.org/officeDocument/2006/relationships/hyperlink" Target="https://deaftravel.guide/" TargetMode="External"/><Relationship Id="rId128" Type="http://schemas.openxmlformats.org/officeDocument/2006/relationships/hyperlink" Target="https://mk.gov.cz/kalendarium-akci-zpo-cs-368" TargetMode="External"/><Relationship Id="rId5" Type="http://schemas.openxmlformats.org/officeDocument/2006/relationships/webSettings" Target="webSettings.xml"/><Relationship Id="rId90" Type="http://schemas.openxmlformats.org/officeDocument/2006/relationships/hyperlink" Target="https://www.msmt.cz/vzdelavani/vysoke-skolstvi/strategicky-zamer?lang=1" TargetMode="External"/><Relationship Id="rId95" Type="http://schemas.openxmlformats.org/officeDocument/2006/relationships/hyperlink" Target="https://www.mpsv.cz/web/cz/vyzva-c.-31_24_114-rozvoj-a-modernizace-sluzeb-komunitniho-typu-pro-ohrozene-deti-bytove-jednotky" TargetMode="External"/><Relationship Id="rId22" Type="http://schemas.openxmlformats.org/officeDocument/2006/relationships/hyperlink" Target="https://www.vscr.cz/organizacni-jednotky/veznice-jirice/clanky/detail/tlapka-v-dlani-cteni-pro-psy" TargetMode="External"/><Relationship Id="rId27" Type="http://schemas.openxmlformats.org/officeDocument/2006/relationships/hyperlink" Target="https://www.mdcr.cz/Ministerstvo/Budova-ministerstva/Pristupnost-budovy" TargetMode="External"/><Relationship Id="rId43" Type="http://schemas.openxmlformats.org/officeDocument/2006/relationships/hyperlink" Target="https://verejnazaloba.cz/vsz-olomouc/kontakty/" TargetMode="External"/><Relationship Id="rId48" Type="http://schemas.openxmlformats.org/officeDocument/2006/relationships/hyperlink" Target="https://www.vlada.cz/cz/urad-vlady/dalsi-objekty/pristupnost-budov-uradu-vlady-212404/" TargetMode="External"/><Relationship Id="rId64" Type="http://schemas.openxmlformats.org/officeDocument/2006/relationships/hyperlink" Target="http://www.msmt.cz" TargetMode="External"/><Relationship Id="rId69" Type="http://schemas.openxmlformats.org/officeDocument/2006/relationships/hyperlink" Target="https://www.nipos.cz/nipos-etr/" TargetMode="External"/><Relationship Id="rId113" Type="http://schemas.openxmlformats.org/officeDocument/2006/relationships/hyperlink" Target="https://www.msmt.cz/vzdelavani/socialni-programy/metodicke-dokumenty-doporuceni-a-pokyny" TargetMode="External"/><Relationship Id="rId118" Type="http://schemas.openxmlformats.org/officeDocument/2006/relationships/hyperlink" Target="https://www.odok.cz/portal/veklep/materialy" TargetMode="External"/><Relationship Id="rId80" Type="http://schemas.openxmlformats.org/officeDocument/2006/relationships/hyperlink" Target="https://www.vlada.cz/cz/urad-vlady/o-uradu-vlady-ve-snadnem-cteni-202793/" TargetMode="External"/><Relationship Id="rId85" Type="http://schemas.openxmlformats.org/officeDocument/2006/relationships/hyperlink" Target="https://dotaceeu.cz/cs/evropske-fondy-v-cr/kohezni-politika-po-roce-2020/metodicke-dokumenty/metodicke-dokumenty-v-gesci-mmr-cr/metodicky-pokyn-spolecne-procesy-implementace-fond" TargetMode="External"/><Relationship Id="rId12" Type="http://schemas.openxmlformats.org/officeDocument/2006/relationships/hyperlink" Target="https://www.nkp.cz/titulni-strana/prohlaseni-o-pristupnosti?searchterm=p%C5%99%C3%ADstupno" TargetMode="External"/><Relationship Id="rId17" Type="http://schemas.openxmlformats.org/officeDocument/2006/relationships/hyperlink" Target="https://www.msmt.cz/vzdelavani/vysoke-skolstvi/strategicky-zamer?lang=1" TargetMode="External"/><Relationship Id="rId33" Type="http://schemas.openxmlformats.org/officeDocument/2006/relationships/hyperlink" Target="https://www.mpsv.cz/-/prehled-pristupnosti-budov" TargetMode="External"/><Relationship Id="rId38" Type="http://schemas.openxmlformats.org/officeDocument/2006/relationships/hyperlink" Target="https://justice.cz/web/okresni-soud-v-melniku/" TargetMode="External"/><Relationship Id="rId59" Type="http://schemas.openxmlformats.org/officeDocument/2006/relationships/hyperlink" Target="https://www.army.cz/" TargetMode="External"/><Relationship Id="rId103" Type="http://schemas.openxmlformats.org/officeDocument/2006/relationships/hyperlink" Target="http://www.zapojmevsechny.cz" TargetMode="External"/><Relationship Id="rId108" Type="http://schemas.openxmlformats.org/officeDocument/2006/relationships/hyperlink" Target="https://www.msmt.cz/vzdelavani/vysoke-skolstvi/pravidla-pro-poskytovani-prispevku-a-dotaci-verejnym-vysokym-9" TargetMode="External"/><Relationship Id="rId124" Type="http://schemas.openxmlformats.org/officeDocument/2006/relationships/hyperlink" Target="https://mk.gov.cz/program-kulturni-aktivity-podpora-projektu-spolku-a-pobocnych-spolku-cs-530" TargetMode="External"/><Relationship Id="rId129" Type="http://schemas.openxmlformats.org/officeDocument/2006/relationships/fontTable" Target="fontTable.xml"/><Relationship Id="rId54" Type="http://schemas.openxmlformats.org/officeDocument/2006/relationships/hyperlink" Target="https://archi.gov.cz/znalostni_baze:pravidla_uxui" TargetMode="External"/><Relationship Id="rId70" Type="http://schemas.openxmlformats.org/officeDocument/2006/relationships/hyperlink" Target="https://www.nm.cz/navstivte-nas/narodni-muzeum-bez-barier/informace-dle-metodiky-snadneho-cteni" TargetMode="External"/><Relationship Id="rId75" Type="http://schemas.openxmlformats.org/officeDocument/2006/relationships/hyperlink" Target="https://www.nzip.cz/clanek/1738-jak-si-spravne-cistit-zuby" TargetMode="External"/><Relationship Id="rId91" Type="http://schemas.openxmlformats.org/officeDocument/2006/relationships/hyperlink" Target="https://odok.cz/portal/veklep/material/KORNCXSLA44S/" TargetMode="External"/><Relationship Id="rId96" Type="http://schemas.openxmlformats.org/officeDocument/2006/relationships/hyperlink" Target="https://ukrajina.npi.cz/blog/jak-na-to-v-pestre-trid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msmt.cz/vzdelavani/socialni-programy/strategie-a-koncepce-ap-msmt" TargetMode="External"/><Relationship Id="rId28" Type="http://schemas.openxmlformats.org/officeDocument/2006/relationships/hyperlink" Target="https://www.mfcr.cz/cs/ministerstvo/kariera-a-vzdelavani/personalni-a-eticke-zasady/rovne-prilezitosti/2023/analyza-pristupnosti-budov-mf-pro-handic-50653" TargetMode="External"/><Relationship Id="rId49" Type="http://schemas.openxmlformats.org/officeDocument/2006/relationships/hyperlink" Target="https://www.pestra.cz/" TargetMode="External"/><Relationship Id="rId114" Type="http://schemas.openxmlformats.org/officeDocument/2006/relationships/hyperlink" Target="https://reformapsychiatrie.cz/projekty/centra-dusevniho-zdravi-cdz/cdz-i" TargetMode="External"/><Relationship Id="rId119" Type="http://schemas.openxmlformats.org/officeDocument/2006/relationships/hyperlink" Target="https://www.youtube.com/watch?v=0FHWAHy088A&amp;list=PLxnb2QCPRIj8HVOKUApiwdpUhOoi9R2Z-&amp;index=4" TargetMode="External"/><Relationship Id="rId44" Type="http://schemas.openxmlformats.org/officeDocument/2006/relationships/hyperlink" Target="https://www.msmt.cz/vzdelavani/socialni-programy/aktuality" TargetMode="External"/><Relationship Id="rId60" Type="http://schemas.openxmlformats.org/officeDocument/2006/relationships/hyperlink" Target="https://statnisluzba.army.cz" TargetMode="External"/><Relationship Id="rId65" Type="http://schemas.openxmlformats.org/officeDocument/2006/relationships/hyperlink" Target="https://www.mdcr.cz/Zivotni-situace" TargetMode="External"/><Relationship Id="rId81" Type="http://schemas.openxmlformats.org/officeDocument/2006/relationships/hyperlink" Target="https://vlada.gov.cz/chttps:/vlada.gov.cz/cz/ppov/vvozp/vladni-vybor-pro-zdravotne-postizene-obcany-17734/" TargetMode="External"/><Relationship Id="rId86" Type="http://schemas.openxmlformats.org/officeDocument/2006/relationships/hyperlink" Target="https://www.dotaceeu.cz/cs/evropske-fondy-v-cr/kohezni-politika-po-roce-2020/metodicke-dokumenty/metodicke-dokumenty-v-gesci-mmr-cr/metodicky-pokyn-pro-zpusobilost-vydaju-a-jejich-vy" TargetMode="External"/><Relationship Id="rId130" Type="http://schemas.openxmlformats.org/officeDocument/2006/relationships/theme" Target="theme/theme1.xml"/><Relationship Id="rId13" Type="http://schemas.openxmlformats.org/officeDocument/2006/relationships/hyperlink" Target="https://www.nkp.cz/aktuality/novinky-titulni-strana/prohlidky-pohyb?searchterm=znev" TargetMode="External"/><Relationship Id="rId18" Type="http://schemas.openxmlformats.org/officeDocument/2006/relationships/hyperlink" Target="https://www.msmt.cz/vzdelavani/vysoke-skolstvi/strategicky-zamer?lang=1" TargetMode="External"/><Relationship Id="rId39" Type="http://schemas.openxmlformats.org/officeDocument/2006/relationships/hyperlink" Target="https://justice.cz/web/krajsky-soud-v-hradci-kralove/" TargetMode="External"/><Relationship Id="rId109" Type="http://schemas.openxmlformats.org/officeDocument/2006/relationships/hyperlink" Target="https://www.mzcr.cz/vyzva-k-predkladani-zadosti-o-prideleni-financnich-prostredku-v-ramci-dotacniho-programu-podpora-zdravi-zvysovani-efektivity-a-kvality-zdravotni-pece-pro-rok-2023/" TargetMode="External"/><Relationship Id="rId34" Type="http://schemas.openxmlformats.org/officeDocument/2006/relationships/hyperlink" Target="https://justice.cz/web/msp/podatelna-ministerstva" TargetMode="External"/><Relationship Id="rId50" Type="http://schemas.openxmlformats.org/officeDocument/2006/relationships/hyperlink" Target="https://www.mmr.cz/cs/ministerstvo/stavebni-pravo/informace-a-aktuality/stavebni-rad/informace-z-oblasti-bezbarieroveho-uzivani-sta-(1)/uplatneni-hmatovych-prvku-na-pochozich-plochach-pr" TargetMode="External"/><Relationship Id="rId55" Type="http://schemas.openxmlformats.org/officeDocument/2006/relationships/hyperlink" Target="https://archi.gov.cz/nap:pristupnost_informaci" TargetMode="External"/><Relationship Id="rId76" Type="http://schemas.openxmlformats.org/officeDocument/2006/relationships/hyperlink" Target="https://www.nzip.cz/clanek/1644-jak-vznika-deprese-a-na-co-si-dat-pozor" TargetMode="External"/><Relationship Id="rId97" Type="http://schemas.openxmlformats.org/officeDocument/2006/relationships/hyperlink" Target="http://www.zapojmevsechny.cz" TargetMode="External"/><Relationship Id="rId104" Type="http://schemas.openxmlformats.org/officeDocument/2006/relationships/hyperlink" Target="https://odok.cz/portal/veklep/material/KORNCNUTLVWM/" TargetMode="External"/><Relationship Id="rId120" Type="http://schemas.openxmlformats.org/officeDocument/2006/relationships/hyperlink" Target="https://www.mvcr.cz/volby/clanek/volba-prezidenta-republiky-2023.aspx?q=Y2hudW09Mw%3d%3d" TargetMode="External"/><Relationship Id="rId125" Type="http://schemas.openxmlformats.org/officeDocument/2006/relationships/hyperlink" Target="https://www.mkcr.cz/slevy-ze-vstupneho-na-kulturni-akce-a-do-kulturnich-objektu-178.html" TargetMode="External"/><Relationship Id="rId7" Type="http://schemas.openxmlformats.org/officeDocument/2006/relationships/endnotes" Target="endnotes.xml"/><Relationship Id="rId71" Type="http://schemas.openxmlformats.org/officeDocument/2006/relationships/hyperlink" Target="https://mmr.gov.cz/cs/ministerstvo/snadne-cteni" TargetMode="External"/><Relationship Id="rId92" Type="http://schemas.openxmlformats.org/officeDocument/2006/relationships/hyperlink" Target="https://justice.cz/web/msp/opatrovnicka-agenda" TargetMode="External"/><Relationship Id="rId2" Type="http://schemas.openxmlformats.org/officeDocument/2006/relationships/numbering" Target="numbering.xml"/><Relationship Id="rId29" Type="http://schemas.openxmlformats.org/officeDocument/2006/relationships/hyperlink" Target="https://mk.gov.cz/informace-o-pristupnosti-objektu" TargetMode="External"/><Relationship Id="rId24" Type="http://schemas.openxmlformats.org/officeDocument/2006/relationships/hyperlink" Target="https://www.msmt.cz/vzdelavani/socialni-programy/akcni-plan-realizace-narodni-strategie-primarni-prevence-23-25" TargetMode="External"/><Relationship Id="rId40" Type="http://schemas.openxmlformats.org/officeDocument/2006/relationships/hyperlink" Target="https://justice.cz/web/okresni-soud-v-usti-nad-labem/zakladni-informace" TargetMode="External"/><Relationship Id="rId45" Type="http://schemas.openxmlformats.org/officeDocument/2006/relationships/hyperlink" Target="https://www.mzcr.cz/analyza-pristupnosti-budovy-ministerstva-zdravotnictvi/" TargetMode="External"/><Relationship Id="rId66" Type="http://schemas.openxmlformats.org/officeDocument/2006/relationships/hyperlink" Target="https://www.financnisprava.cz/cs/snadne-cteni" TargetMode="External"/><Relationship Id="rId87" Type="http://schemas.openxmlformats.org/officeDocument/2006/relationships/hyperlink" Target="https://digifolio.rvp.cz/view/view.php?id=16167%20" TargetMode="External"/><Relationship Id="rId110" Type="http://schemas.openxmlformats.org/officeDocument/2006/relationships/hyperlink" Target="https://www.mzcr.cz/vyzva-k-predkladani-zadosti-o-prideleni-financnich-prostredku-v-ramci-dotacniho-programu-podpora-zdravi-zvysovani-efektivity-a-kvality-zdravotni-pece-pro-rok-2024/" TargetMode="External"/><Relationship Id="rId115" Type="http://schemas.openxmlformats.org/officeDocument/2006/relationships/hyperlink" Target="https://reformapsychiatrie.cz/projekty/centra-dusevniho-zdravi-cdz/cdz-ii" TargetMode="External"/><Relationship Id="rId61" Type="http://schemas.openxmlformats.org/officeDocument/2006/relationships/hyperlink" Target="https://www.doarmady.cz" TargetMode="External"/><Relationship Id="rId82" Type="http://schemas.openxmlformats.org/officeDocument/2006/relationships/hyperlink" Target="https://www.mvcr.cz/clanek/plan.aspx" TargetMode="External"/><Relationship Id="rId19" Type="http://schemas.openxmlformats.org/officeDocument/2006/relationships/hyperlink" Target="https://www.mpo.cz/cz/podnikani/standardizace/pristupnost-vyrobku-a-sluzeb/navodne-dokumenty-k-zakonu-o-pozadavcich-na-pristupnost-nekterych-vyrobku-a-sluzeb--276963/" TargetMode="External"/><Relationship Id="rId14" Type="http://schemas.openxmlformats.org/officeDocument/2006/relationships/hyperlink" Target="http://www.ktn.cz" TargetMode="External"/><Relationship Id="rId30" Type="http://schemas.openxmlformats.org/officeDocument/2006/relationships/hyperlink" Target="https://mmr.gov.cz/cs/ministerstvo/urad/povinne-zverejnene-informace/zakladni-prehled-pristupnosti-objektu-mmr" TargetMode="External"/><Relationship Id="rId35" Type="http://schemas.openxmlformats.org/officeDocument/2006/relationships/hyperlink" Target="https://www.nsoud.cz/judikatura/ns_web.nsf/Kontakty" TargetMode="External"/><Relationship Id="rId56" Type="http://schemas.openxmlformats.org/officeDocument/2006/relationships/hyperlink" Target="https://www.dia.gov.cz/egovernment/pristupnost-internetovych-stranek-a-mobilnich-aplikaci/" TargetMode="External"/><Relationship Id="rId77" Type="http://schemas.openxmlformats.org/officeDocument/2006/relationships/hyperlink" Target="https://www.nzip.cz/clanek/1643-jak-se-leci-deprese" TargetMode="External"/><Relationship Id="rId100" Type="http://schemas.openxmlformats.org/officeDocument/2006/relationships/hyperlink" Target="https://www.msmt.cz/vzdelavani/skolstvi-v-cr/ekonomika-skolstvi/vyzva-ministerstva-skolstvi-mladeze-a-telovychovy-k-podani" TargetMode="External"/><Relationship Id="rId105" Type="http://schemas.openxmlformats.org/officeDocument/2006/relationships/hyperlink" Target="https://www.msmt.cz/vzdelavani/vysoke-skolstvi/vyzva-c-8-133-220-ministerstva-skolstvi-mladeze-a" TargetMode="External"/><Relationship Id="rId126" Type="http://schemas.openxmlformats.org/officeDocument/2006/relationships/hyperlink" Target="https://ipk.nkp.cz/docs/aktualizovana-verze-publikace-rovny-pristup.-standard-handicap-friendly-2019" TargetMode="External"/><Relationship Id="rId8" Type="http://schemas.openxmlformats.org/officeDocument/2006/relationships/image" Target="media/image1.png"/><Relationship Id="rId51" Type="http://schemas.openxmlformats.org/officeDocument/2006/relationships/hyperlink" Target="https://www.mmr.cz/cs/ministerstvo/stavebni-pravo/informace-a-aktuality/stavebni-rad/informace-z-oblasti-bezbarieroveho-uzivani-sta-(1)/bezbarierove-uzivani-staveb-v-prispevcich" TargetMode="External"/><Relationship Id="rId72" Type="http://schemas.openxmlformats.org/officeDocument/2006/relationships/hyperlink" Target="https://www.mpo.cz/cz/rozcestnik/podpora-rovnych-prilezitosti-pro-ozp/o-ministerstvu-prumyslu-a-obchodu-ve-snadnem-cteni--279481/" TargetMode="External"/><Relationship Id="rId93" Type="http://schemas.openxmlformats.org/officeDocument/2006/relationships/hyperlink" Target="https://www.esfcr.cz/vyzva-063-opz-plus" TargetMode="External"/><Relationship Id="rId98" Type="http://schemas.openxmlformats.org/officeDocument/2006/relationships/hyperlink" Target="https://ukrajina.npi.cz/blog/spoluprace-asistenta-pedagoga-a-ucitele-pri-podpore-zaku-s-omj" TargetMode="External"/><Relationship Id="rId121" Type="http://schemas.openxmlformats.org/officeDocument/2006/relationships/hyperlink" Target="https://www.mvcr.cz/volby/clanek/video-pro-neslysici-informacni-letak-pro-volbu-prezidenta-republiky-2023.aspx" TargetMode="External"/><Relationship Id="rId3" Type="http://schemas.openxmlformats.org/officeDocument/2006/relationships/styles" Target="styles.xml"/><Relationship Id="rId25" Type="http://schemas.openxmlformats.org/officeDocument/2006/relationships/hyperlink" Target="https://www.msmt.cz/vzdelavani/socialni-programy/metodicke-dokumenty-doporuceni-a-pokyny" TargetMode="External"/><Relationship Id="rId46" Type="http://schemas.openxmlformats.org/officeDocument/2006/relationships/hyperlink" Target="https://eagri.cz/public/portal/mze/ministerstvo-zemedelstvi/o-ministerstvu/ostatni-informace/prehled-pristupnosti-budov" TargetMode="External"/><Relationship Id="rId67" Type="http://schemas.openxmlformats.org/officeDocument/2006/relationships/hyperlink" Target="https://www.mk.gov.cz/pusobnost-ministerstva-informace-ve-snadnem-cteni" TargetMode="External"/><Relationship Id="rId116" Type="http://schemas.openxmlformats.org/officeDocument/2006/relationships/hyperlink" Target="https://reformapsychiatrie.cz/projekty/centra-dusevniho-zdravi-cdz/cdz-iii" TargetMode="External"/><Relationship Id="rId20" Type="http://schemas.openxmlformats.org/officeDocument/2006/relationships/hyperlink" Target="https://www.agentura-cas.cz/podpora-rovnych-prilezitosti-pro-osoby-se-zdravotnim-postizenim/" TargetMode="External"/><Relationship Id="rId41" Type="http://schemas.openxmlformats.org/officeDocument/2006/relationships/hyperlink" Target="https://justice.cz/web/okresni-soud-ve-znojme/zakladni-informace" TargetMode="External"/><Relationship Id="rId62" Type="http://schemas.openxmlformats.org/officeDocument/2006/relationships/hyperlink" Target="https://www.mpo.cz/cz/rozcestnik/podpora-rovnych-prilezitosti-pro-ozp/o-ministerstvu-prumyslu-a-obchodu-ve-snadnem-cteni--279481/" TargetMode="External"/><Relationship Id="rId83" Type="http://schemas.openxmlformats.org/officeDocument/2006/relationships/hyperlink" Target="https://akris.mpsv.cz/AkreditaceVzdelavacihoProgramu%20" TargetMode="External"/><Relationship Id="rId88" Type="http://schemas.openxmlformats.org/officeDocument/2006/relationships/hyperlink" Target="https://digifolio.rvp.cz/view/view.php?t=IkM7VsSYBNvH1uqPtbzp%20" TargetMode="External"/><Relationship Id="rId111" Type="http://schemas.openxmlformats.org/officeDocument/2006/relationships/hyperlink" Target="http://www.edu.cz" TargetMode="External"/><Relationship Id="rId15" Type="http://schemas.openxmlformats.org/officeDocument/2006/relationships/hyperlink" Target="https://www.ktn.cz/otevrena-kultura" TargetMode="External"/><Relationship Id="rId36" Type="http://schemas.openxmlformats.org/officeDocument/2006/relationships/hyperlink" Target="https://justice.cz/web/mestsky-soud-v-praze/zakladni-informace/-/clanek/zakladni-informace" TargetMode="External"/><Relationship Id="rId57" Type="http://schemas.openxmlformats.org/officeDocument/2006/relationships/hyperlink" Target="https://www.mk.gov.cz/informace-o-webu-cs-1019" TargetMode="External"/><Relationship Id="rId106" Type="http://schemas.openxmlformats.org/officeDocument/2006/relationships/hyperlink" Target="https://opjak.cz/vyzvy/vyzva-c-02_23_024-erdf-vyzva-pro-vs-studenti-se-sp/" TargetMode="External"/><Relationship Id="rId127" Type="http://schemas.openxmlformats.org/officeDocument/2006/relationships/hyperlink" Target="https://biblio.oui.technology/camelot" TargetMode="External"/><Relationship Id="rId10" Type="http://schemas.openxmlformats.org/officeDocument/2006/relationships/header" Target="header1.xml"/><Relationship Id="rId31" Type="http://schemas.openxmlformats.org/officeDocument/2006/relationships/hyperlink" Target="https://mmr.gov.cz/getmedia/b79e98de-7136-4243-855a-70d9654badf8/Zakladni-prehled-pristupnosti-budov-Ministerstva-pro-mistni-rozvoj.pdf.aspx?ext=.pdf" TargetMode="External"/><Relationship Id="rId52" Type="http://schemas.openxmlformats.org/officeDocument/2006/relationships/hyperlink" Target="https://mapy.spravazeleznic.cz/" TargetMode="External"/><Relationship Id="rId73" Type="http://schemas.openxmlformats.org/officeDocument/2006/relationships/hyperlink" Target="https://www.mzcr.cz/informace-ve-snadnem-cteni/" TargetMode="External"/><Relationship Id="rId78" Type="http://schemas.openxmlformats.org/officeDocument/2006/relationships/hyperlink" Target="https://www.nzip.cz/clanek/1641-adhd-u-dospelych" TargetMode="External"/><Relationship Id="rId94" Type="http://schemas.openxmlformats.org/officeDocument/2006/relationships/hyperlink" Target="https://www.mpsv.cz/web/cz/vyzva-c.-31_24_113-rozvoj-a-modernizace-sluzeb-komunitniho-typu-pro-ohrozene-deti-vybudovani-a-renovace-infrastruktury-pobytove-pece-o-deti" TargetMode="External"/><Relationship Id="rId99" Type="http://schemas.openxmlformats.org/officeDocument/2006/relationships/hyperlink" Target="http://www.zapojmevsechny.cz" TargetMode="External"/><Relationship Id="rId101" Type="http://schemas.openxmlformats.org/officeDocument/2006/relationships/hyperlink" Target="https://digifolio.rvp.cz/view/view.php?t=3s9jdCcuxhfJoy40iGa8%20" TargetMode="External"/><Relationship Id="rId122" Type="http://schemas.openxmlformats.org/officeDocument/2006/relationships/hyperlink" Target="https://www.mvcr.cz/volby/clanek/prohlaseni-o-pristupnosti-prohlaseni-o-pristupnosti.aspx"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pacientskeorganizace.mzcr.cz/index.php?pg=home&amp;aid=15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pk.nkp.cz/docs/aktualizovana-verze-publikace-rovny-pristup.-standard-handicap-friendly-201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552F0-B8B9-4ED7-82FC-891D85F0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9216</TotalTime>
  <Pages>127</Pages>
  <Words>56571</Words>
  <Characters>333770</Characters>
  <Application>Microsoft Office Word</Application>
  <DocSecurity>0</DocSecurity>
  <Lines>2781</Lines>
  <Paragraphs>779</Paragraphs>
  <ScaleCrop>false</ScaleCrop>
  <HeadingPairs>
    <vt:vector size="2" baseType="variant">
      <vt:variant>
        <vt:lpstr>Název</vt:lpstr>
      </vt:variant>
      <vt:variant>
        <vt:i4>1</vt:i4>
      </vt:variant>
    </vt:vector>
  </HeadingPairs>
  <TitlesOfParts>
    <vt:vector size="1" baseType="lpstr">
      <vt:lpstr/>
    </vt:vector>
  </TitlesOfParts>
  <Company>UVCR</Company>
  <LinksUpToDate>false</LinksUpToDate>
  <CharactersWithSpaces>389562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dc:creator>
  <cp:lastModifiedBy>Jelínková1 Martina</cp:lastModifiedBy>
  <cp:revision>5604</cp:revision>
  <cp:lastPrinted>2020-08-05T07:07:00Z</cp:lastPrinted>
  <dcterms:created xsi:type="dcterms:W3CDTF">2022-03-23T13:49:00Z</dcterms:created>
  <dcterms:modified xsi:type="dcterms:W3CDTF">2024-06-30T21:41:00Z</dcterms:modified>
</cp:coreProperties>
</file>