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E2B2" w14:textId="2DF92F67" w:rsidR="00C42CDB" w:rsidRPr="005943AD" w:rsidRDefault="00C42CDB" w:rsidP="6D35A5C4">
      <w:pPr>
        <w:pStyle w:val="K-nzev"/>
        <w:rPr>
          <w:rFonts w:eastAsiaTheme="minorEastAsia" w:cstheme="minorBidi"/>
        </w:rPr>
      </w:pPr>
      <w:bookmarkStart w:id="0" w:name="_Toc68888766"/>
      <w:r w:rsidRPr="6D35A5C4">
        <w:rPr>
          <w:rFonts w:eastAsiaTheme="minorEastAsia" w:cstheme="minorBidi"/>
        </w:rPr>
        <w:t>1.2 Digitální systémy veřejné správy</w:t>
      </w:r>
      <w:bookmarkEnd w:id="0"/>
      <w:r w:rsidRPr="6D35A5C4">
        <w:rPr>
          <w:rFonts w:eastAsiaTheme="minorEastAsia" w:cstheme="minorBidi"/>
        </w:rPr>
        <w:t xml:space="preserve"> </w:t>
      </w:r>
    </w:p>
    <w:p w14:paraId="55FE9EB4" w14:textId="3A847F7D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1. Popis komponenty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7DC5" w:rsidRPr="00535CE0" w14:paraId="5B54D3A2" w14:textId="77777777" w:rsidTr="33C5CFFC">
        <w:tc>
          <w:tcPr>
            <w:tcW w:w="9776" w:type="dxa"/>
          </w:tcPr>
          <w:p w14:paraId="1799D820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>Digitální systémy veřejné správy</w:t>
            </w:r>
          </w:p>
          <w:p w14:paraId="216A0418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Oblast politiky: </w:t>
            </w: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Digitalizace,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eGovernment</w:t>
            </w:r>
            <w:proofErr w:type="spellEnd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, veřejná správa</w:t>
            </w:r>
          </w:p>
          <w:p w14:paraId="5173A4FB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Cíl: </w:t>
            </w:r>
          </w:p>
          <w:p w14:paraId="5C8D1E21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Vytvořit efektivní prostředí pro digitalizaci agend vykonávaných veřejnou správou (a zdravotnictvím jako komplexním oborem ekonomiky financovaným především z veřejných zdrojů), a to především z pohledu:</w:t>
            </w:r>
          </w:p>
          <w:p w14:paraId="2CC9B5E0" w14:textId="5FFB0459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Sdílení dat mezi jednotlivými systémy (orgány a institucemi) prostřednictvím základních registrů, propojeného datového fondu a Informačního systému sdílené služby (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eGovernment</w:t>
            </w:r>
            <w:proofErr w:type="spellEnd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S</w:t>
            </w:r>
            <w:r w:rsidR="004C71E4"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ervice</w:t>
            </w:r>
            <w:proofErr w:type="spellEnd"/>
            <w:r w:rsidR="004C71E4"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Bus),</w:t>
            </w:r>
          </w:p>
          <w:p w14:paraId="51531CB4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Vytvoření či rozvoj stávajících či nových funkcionalit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backendových</w:t>
            </w:r>
            <w:proofErr w:type="spellEnd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informačních systémů jednotlivých orgánů a institucí, které slouží především k vlastnímu výkonu agend. Hlavní důraz je zde kladen na vzájemnou spolupráci umožňující vyšší míru vnitřní digitalizace úřadů a institucí,</w:t>
            </w:r>
          </w:p>
          <w:p w14:paraId="7C81066B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Kybernetické bezpečnosti vybraných centrálních orgánů a poskytovatelů zdravotnických služeb především v regionu Prahy,</w:t>
            </w:r>
          </w:p>
          <w:p w14:paraId="7CE03FB0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Sdílení znalostí, kompetencí, metodik a standardů poskytovaných prostřednictvím kompetenčních center vč. jejich přenosu na jednotlivé úřady a instituce.</w:t>
            </w:r>
          </w:p>
          <w:p w14:paraId="41F836DA" w14:textId="6F15FA6F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Reformy a investice: </w:t>
            </w:r>
          </w:p>
          <w:p w14:paraId="39356C10" w14:textId="5FD440BE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  <w:t>Reformy</w:t>
            </w:r>
          </w:p>
          <w:p w14:paraId="5F25153F" w14:textId="638BC96D" w:rsidR="00AC7DC5" w:rsidRPr="002A784F" w:rsidRDefault="00AC7DC5" w:rsidP="33C5CFFC">
            <w:pPr>
              <w:pStyle w:val="Odrka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Kompetenční centra pro podporu </w:t>
            </w:r>
            <w:proofErr w:type="spellStart"/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eGovernmentu</w:t>
            </w:r>
            <w:proofErr w:type="spellEnd"/>
            <w:r w:rsidR="3598BC28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</w:t>
            </w:r>
            <w:proofErr w:type="spellStart"/>
            <w:r w:rsidR="3598BC28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kyberbezpečnosti</w:t>
            </w:r>
            <w:proofErr w:type="spellEnd"/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 elektronizace zdravotnictví </w:t>
            </w:r>
          </w:p>
          <w:p w14:paraId="3D0E3577" w14:textId="0812482E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Budování a rozvoj systémů podporujících elektronizaci zdravotnictví </w:t>
            </w:r>
          </w:p>
          <w:p w14:paraId="02601ECA" w14:textId="31975B06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  <w:t>Investice</w:t>
            </w:r>
          </w:p>
          <w:p w14:paraId="1215E1F2" w14:textId="5E1F3C7D" w:rsidR="00AC7DC5" w:rsidRPr="002A784F" w:rsidRDefault="00AC7DC5" w:rsidP="33C5CFFC">
            <w:pPr>
              <w:pStyle w:val="Odrka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bookmarkStart w:id="1" w:name="_Hlk68445358"/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Budování a rozvoj </w:t>
            </w:r>
            <w:r w:rsidR="40E918CA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jednotlivých</w:t>
            </w: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informačních systémů </w:t>
            </w:r>
          </w:p>
          <w:p w14:paraId="79C8F2C6" w14:textId="75C864ED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Budování a rozvoj základních registrů a zázemí pro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eGovernment</w:t>
            </w:r>
            <w:proofErr w:type="spellEnd"/>
          </w:p>
          <w:p w14:paraId="2D16880C" w14:textId="37CE2FE5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Kybernetická bezpečnost</w:t>
            </w:r>
          </w:p>
          <w:p w14:paraId="0E94CABE" w14:textId="7C103928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Vytvoření předpokladů pro digitální justici</w:t>
            </w:r>
          </w:p>
          <w:bookmarkEnd w:id="1"/>
          <w:p w14:paraId="048A6EE3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Odhadované náklady: </w:t>
            </w:r>
          </w:p>
          <w:p w14:paraId="22957922" w14:textId="606B5B51" w:rsidR="00AC7DC5" w:rsidRPr="002A784F" w:rsidRDefault="003C5414" w:rsidP="33C5CFF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7</w:t>
            </w:r>
            <w:r w:rsidR="00ED5819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73F7A73F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54,5</w:t>
            </w:r>
            <w:r w:rsidR="00AC7DC5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Kč.</w:t>
            </w:r>
            <w:r w:rsidR="00D91849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(plně zahrnuto do RRF)</w:t>
            </w:r>
          </w:p>
        </w:tc>
      </w:tr>
    </w:tbl>
    <w:p w14:paraId="6A153638" w14:textId="77777777" w:rsidR="00C42CDB" w:rsidRPr="00535CE0" w:rsidRDefault="00C42CDB" w:rsidP="6D35A5C4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5C9AC2A6" w14:textId="2CF77B6F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se primárně zaměřuje na úřady vykonávající veřejnou správu na centrální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 úrovni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podporuje práci jednotlivých úředníků,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služeb klientům, kdy zajišťuje digitální odbavení klienta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interních informačních systémů, tak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zajištění vnitřního fungování úřadu. Souběžně pak vytváří předpoklady pro realizaci komponenty Digitální služby pro občany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firmy. Základními předpoklady pro realizaci komponenty je rozvoj základních registrů (a zdravotnických registrů)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propojeného datového fondu umožňující on-line přístup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informacím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občanovi či podnikateli, které se vyskytují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informačních systémech státu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tom nejširším možném kontextu, ale při zachování bezpečnostních rolí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oprávnění pro jednotlivé úředníky. </w:t>
      </w:r>
    </w:p>
    <w:p w14:paraId="382A5184" w14:textId="6A04EA8E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Součástí komponenty je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realizačního prostředí pro úspěšné dokončení jednotlivých programů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podobě vybudování nového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rozvoje stávajících kompetenčních center. Zároveň dojde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vyšší standardizaci vykonávaných agend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přenesené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 působnosti.</w:t>
      </w:r>
    </w:p>
    <w:p w14:paraId="4A860E6B" w14:textId="64B285D4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propojeného datového fondu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této komponenty bude spočívat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generační obměně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Bus, vytvoření Informačního systému sdílené služby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napojení jednotlivých klíčových informačních systémů do ISSS tak, aby bylo možné si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veřejné správy vyměňovat zabezpečeně data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na jejich základě pak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předvyplňovat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jednotlivé formuláře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podání při zachování zásady „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only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once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“. Tedy klient poskytne příslušná data státní správě pouze jedenkrát. </w:t>
      </w:r>
    </w:p>
    <w:p w14:paraId="13E3F411" w14:textId="428B28C1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Vybudování informační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komunikační infrastruktury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resortu justice umožní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technologického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hmotného hlediska budoucí poskytování digitálních služeb, včetně fungování justice vzdáleně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dobách běžných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 krizových situacích. Publikace nových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zpřístupnění již existujících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dat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justice ve webovém prostoru (prostřednictvím Portálu justice) umožní široké veřejnosti využít služeb justice online.</w:t>
      </w:r>
    </w:p>
    <w:p w14:paraId="2B16F7CF" w14:textId="45D5A90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komplexně digitalizovaných – bezpapírových úřadů spočívá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zásadní transformaci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jejich agend dle principu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digital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first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>, vytváření maticových týmů pro řešení potřeb vnitřních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vnějších klientů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vývoje, příp. úprav stávajících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agendových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podpůrných informačních systémů, digitální transformace je zároveň podporována prací kompetenčních center, která budou nastavovat principy vývoje nových digitálních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služeb vč. konzultační podpory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především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oblastech  analýz, procesních analýz,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enterprise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architektury, návrhu UX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UI, kybernetické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lastRenderedPageBreak/>
        <w:t>bezpečnosti, portálových řešení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agilního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projektového řízení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implementace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změn do ekosystému úřadu. </w:t>
      </w:r>
    </w:p>
    <w:p w14:paraId="2B2D8C8E" w14:textId="706F0F8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Redukce technologického dluhu na úrovni jednotlivých systémů centrálních úřadů (vč. přenesené působnosti) příp. krajů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obcí, zejména prostřednictvím aktualizace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budování nových informačních systémů úřadu.</w:t>
      </w:r>
    </w:p>
    <w:p w14:paraId="3525D14F" w14:textId="1E548469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Průřezově všemi oblastmi bude řešena otázka zajištění kybernetické bezpečnostmi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ochrany osobních údajů</w:t>
      </w:r>
      <w:r w:rsidR="00230123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dle příslušných právních předpisů (Zákona o kybernetické bezpečnosti a souvisejících předpisů a Zákona </w:t>
      </w:r>
      <w:r w:rsidR="00484068" w:rsidRPr="002A784F">
        <w:rPr>
          <w:rFonts w:asciiTheme="minorHAnsi" w:eastAsiaTheme="minorEastAsia" w:hAnsiTheme="minorHAnsi" w:cstheme="minorHAnsi"/>
          <w:sz w:val="20"/>
          <w:szCs w:val="20"/>
        </w:rPr>
        <w:t>o ochranně osobních údajů a souvisejících předpisů)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.</w:t>
      </w:r>
    </w:p>
    <w:p w14:paraId="06DB8D5C" w14:textId="186E5C1B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2. Hlavní výzvy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>cíle</w:t>
      </w:r>
    </w:p>
    <w:p w14:paraId="2FCAA4BE" w14:textId="216E27F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Vytvořit efektivní systémové, technologické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znalost</w:t>
      </w:r>
      <w:r w:rsidR="00FB0474" w:rsidRPr="002A784F">
        <w:rPr>
          <w:rFonts w:asciiTheme="minorHAnsi" w:eastAsiaTheme="minorEastAsia" w:hAnsiTheme="minorHAnsi" w:cstheme="minorHAnsi"/>
          <w:sz w:val="20"/>
          <w:szCs w:val="20"/>
        </w:rPr>
        <w:t>n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í prostředí pro digitalizaci agend vykonávaných státem (a zdravotnictvím) jako komplexním oborem ekonomiky,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výrazným zastoupením státních institucí. Cílem je vytvoření příp. úpravy systémů sloužících ke sdílení dat mezi jednotlivými informačními systémy (orgánů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institucí) prostřednictvím základních (a zdravotnických) registrů, propojeného datového fondu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Informačního systému sdílené služby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Bus). Dále vytvoření nebo rozvoj stávajících či nových funkcionalit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backendových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informačních systémů jednotlivých orgánů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sloužící především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vlastnímu výkonu agend tak, aby agendy byly vykonávány jako plně digitální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úřady se tak postupně stávaly zcela bezpapírovými. Hlavní důraz je zde kladen na vzájemnou spolupráci umožňující vyšší míru vnitřní digitalizace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přechodem na tzv. bezpapírový úřad.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souvislosti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nedávno proběhlými kybernetickými útoky na některé centrální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poskytovatele zdravotnických služeb je cílem masivní posílení zejména oblasti kybernetické bezpečnosti,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na úrovni centrálního řízení (CMS 2.0), tak na úrovni konkrétních institucí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poskytovatelů zdravotnických služeb. </w:t>
      </w:r>
    </w:p>
    <w:p w14:paraId="0C1EC7D8" w14:textId="269E6C88" w:rsidR="00C42CDB" w:rsidRPr="00535CE0" w:rsidRDefault="00C42CDB" w:rsidP="002A784F">
      <w:pPr>
        <w:spacing w:after="120"/>
        <w:jc w:val="both"/>
        <w:rPr>
          <w:rFonts w:eastAsiaTheme="minorEastAsia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Rozvoje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sdílení znalostí, kompetencí, metodik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standardů poskytovaných prostřednictvím kompetenčních center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center excelence pro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instituce.</w:t>
      </w:r>
    </w:p>
    <w:p w14:paraId="13E57380" w14:textId="77777777" w:rsidR="00C42CDB" w:rsidRPr="003A17B4" w:rsidRDefault="00C42CDB" w:rsidP="003A17B4">
      <w:pPr>
        <w:spacing w:after="120"/>
        <w:rPr>
          <w:rFonts w:eastAsiaTheme="minorEastAsia"/>
          <w:b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a) Hlavní výzvy</w:t>
      </w:r>
    </w:p>
    <w:p w14:paraId="648CBAA8" w14:textId="723DFFAD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Česká republika má dlouhodobý technologický deficit, který mj. spočívá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 velmi omezeném sdílení dat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veřejné správy. Do stávajícího systému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je připojeno velmi omezené množství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vzájemná výměna dat je minimální. Výměna dat je tak mnohdy řešena prostřednictvím vzájemného propojení jednotlivých systémů,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to především na úrovni resortu. Tyto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agendové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informační systémy jsou pak obtížně rozšířitelné příp.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napojitelné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na moderní sběrnice služeb. Výkon agend jednotlivými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institucemi je tak digitální pouze částečně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 tedy vykonávána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kombinované podobě. Další velkou výzvou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komponenty je kybernetická bezpečnost. </w:t>
      </w:r>
      <w:r w:rsidR="00065FFD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Další velkou výzvou v rámci komponenty je adekvátní zajištění kybernetické bezpečnosti. I přes povinnosti uvedené v zákoně o kybernetické bezpečnosti a s ním spojených předpisů je faktický stav a úroveň kybernetické bezpečnosti u povinných subjektů z veřejné správy i přes pokrok a snahu o řešení nadále neuspokojivý. U poskytovatelů zdravotních služeb je úroveň zajištění kybernetické bezpečnosti zpravidla ještě nižší. </w:t>
      </w:r>
      <w:r w:rsidR="001836E1" w:rsidRPr="002A784F">
        <w:rPr>
          <w:rFonts w:asciiTheme="minorHAnsi" w:eastAsiaTheme="minorEastAsia" w:hAnsiTheme="minorHAnsi" w:cstheme="minorHAnsi"/>
          <w:sz w:val="20"/>
          <w:szCs w:val="20"/>
        </w:rPr>
        <w:t>Současně</w:t>
      </w:r>
      <w:r w:rsidR="00065FFD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uvedené subjekty nedisponují dostatečným počtem kvalifikovaných odborníků, kteří by zlepšení situaci mohli napomoci.</w:t>
      </w:r>
      <w:r w:rsidR="00AD592F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35462C" w:rsidRPr="002A784F">
        <w:rPr>
          <w:rFonts w:asciiTheme="minorHAnsi" w:eastAsiaTheme="minorEastAsia" w:hAnsiTheme="minorHAnsi" w:cstheme="minorHAnsi"/>
          <w:sz w:val="20"/>
          <w:szCs w:val="20"/>
        </w:rPr>
        <w:t>V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eřejná správa </w:t>
      </w:r>
      <w:r w:rsidR="0035462C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velmi omezená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vysoce kvalitních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kvalifikovaných odborníků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prostředí IT (architektura, služby, kybernetická bezpečnost, vývoj, řízení, …)</w:t>
      </w:r>
      <w:r w:rsidR="00C04D0C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. </w:t>
      </w:r>
      <w:r w:rsidR="005E6AD7" w:rsidRPr="002A784F">
        <w:rPr>
          <w:rFonts w:asciiTheme="minorHAnsi" w:eastAsiaTheme="minorEastAsia" w:hAnsiTheme="minorHAnsi" w:cstheme="minorHAnsi"/>
          <w:sz w:val="20"/>
          <w:szCs w:val="20"/>
        </w:rPr>
        <w:t>Často je pak nucena nakupovat tyto specialisty na volném trhu a po ukončení kontraktu tak z pravidla ztrácí cenné know-how.</w:t>
      </w:r>
    </w:p>
    <w:p w14:paraId="2ADC9E14" w14:textId="77777777" w:rsidR="00C04D0C" w:rsidRPr="002A784F" w:rsidRDefault="00C04D0C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jako celek i její jednotlivé investice a reformy (a na ně navázané programy a projekty) odpovídají na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především v následujících oblastech:</w:t>
      </w:r>
    </w:p>
    <w:p w14:paraId="6CA93AE8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digitální infrastruktury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2019/2020)</w:t>
      </w:r>
    </w:p>
    <w:p w14:paraId="3345C7B9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Snížení administrativní zátěže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170BDE59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Zlepšení elektronické veřejné správy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3D5DC384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digitální transformace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512267DC" w14:textId="77777777" w:rsidR="00C04D0C" w:rsidRPr="002A784F" w:rsidRDefault="00C04D0C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Jednotlivé projekty pak podporují i zaměstnávání žen s malými dětmi např. prostřednictvím umožnění plnohodnotné práce na dálku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2019/2020)</w:t>
      </w:r>
    </w:p>
    <w:p w14:paraId="05E1B1FA" w14:textId="20133CFD" w:rsidR="00C42CDB" w:rsidRPr="003A17B4" w:rsidRDefault="00C42CDB" w:rsidP="003A17B4">
      <w:pPr>
        <w:spacing w:after="200" w:line="276" w:lineRule="auto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b) Cíle </w:t>
      </w:r>
    </w:p>
    <w:p w14:paraId="3E75695C" w14:textId="1171072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Vytvořit propojený datový fond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eGovernement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jako základní prvek pro vysoce bezpečné sdílení infrastruktury,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dat. Vytvoření komplexně digitalizovaných – bezpapírových úřadů. Redukce technologického dluhu na úrovni jednotlivých systémů centrálních úřadů (vč. přenesené působnosti), příp. krajů. Zajištění odpovídající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lastRenderedPageBreak/>
        <w:t>úrovně sdílených znalostí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kompetencí tak, aby byly dostupné všem veřejným úřadům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institucím. Komponenta zároveň zcela naplňuje Doporučení 2020/2021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oblasti digitální transformace vnitřního chodu úřadů. </w:t>
      </w:r>
    </w:p>
    <w:p w14:paraId="3957C856" w14:textId="7777777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c) Národní strategický kontext</w:t>
      </w:r>
    </w:p>
    <w:p w14:paraId="77AD63E1" w14:textId="6D42DDF5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„Digitální systémy veřejné správy“ úzce navazuje na strategii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The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Country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for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The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Future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>. Tato strategie je postavena na devíti pilířích. Jedním ze stěžejních pilířů je pak digitalizace,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ve smyslu digitalizace služeb poskytovaných veřejnými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institucemi vč. jejich vnitřní digitalizace, tak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 průmyslu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rozvoje sítí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vysokou přenosovou kapacitou. Digitalizace má dále významnou oporu ve vládním programu Digitální Česko, mezi jehož hlavní cíle patří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 státní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veřejné správy. Program Digitální Česko je koordinačním místem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znalostním centrem (ve spolupráci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jednotlivými útvary Ministerstva vnitra)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transformace. Součástí programu Digitální Česko je Informační koncepce ČR, která udává základní směry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digitalizace veřejné správy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jejího technologického rozvoje. Na Informační koncepci ČR následně navazují informační koncepce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(povinností je soulad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Informační koncepcí ČR), které identifikují jejich digitalizační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technologické výzvy. Mimo informačních koncepcí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pak existují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další resortní strategické dokumenty, které se dotýkají oblastí rozvoje technologií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zdravotnictví se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tomto ohledu jedná především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Strategii Zdraví 2030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Národní strategií elektronického zdravotnictví.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justice se pak jedná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Resortní strategii pro rozvoj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eJustice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2016-2020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Resortní strategii pro rozvoj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eJustice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2021–2027, která je aktuálně před schválením reflektující naplnění cílů předchozí resortní strategie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rozpracovává nové základní strategické cíle: digitální služby pro občany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společnosti; podpora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 digitálních technologií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justici; vytvoření robustního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bezpečného IT prostředí; podpora podmínek pro digitalizaci justice</w:t>
      </w:r>
      <w:r w:rsidRPr="002A784F">
        <w:rPr>
          <w:rFonts w:asciiTheme="minorHAnsi" w:eastAsiaTheme="minorEastAsia" w:hAnsiTheme="minorHAnsi" w:cstheme="minorHAnsi"/>
          <w:webHidden/>
          <w:sz w:val="20"/>
          <w:szCs w:val="20"/>
        </w:rPr>
        <w:t>.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Veškeré zde prezentované projekty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ní pak vychází.</w:t>
      </w:r>
    </w:p>
    <w:p w14:paraId="51DDAA5F" w14:textId="7D547C6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Podpora digitalizace je ze strany Vlády ČR zakotvena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Programovém prohlášení vlády. Na politické úrovni je pak prezentována širokou shodou vládních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opozičních stran při přijímání legislativy podporující digitální aktivity. </w:t>
      </w:r>
    </w:p>
    <w:p w14:paraId="3FDDCD43" w14:textId="32E04A5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Národní plán obnovy veškeré stávající digitalizační aktivity dále akceleruje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umožňuje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absorpčními kapacitami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zrychlit tempo digitalizace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ČR. </w:t>
      </w:r>
    </w:p>
    <w:p w14:paraId="3B185982" w14:textId="73ECCAA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Z legislativního hlediska Česká republika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letošním roce přijala, kromě řady dílčích digitálně přívětivých právních aktů, také zákon č. 12/2020 Sb.,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právu na digitální služby, který má za cíl urychlit digitalizační snahy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stanovit časový rámec, ve kterém budou jednotlivé veřejné služby poskytované občanům, ze strany veřejné správy, plně digitalizované. Tento legislativní akt je tedy možné považovat za výrazný strategický prvek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digitalizaci české veřejné správy.</w:t>
      </w:r>
    </w:p>
    <w:p w14:paraId="59C1A390" w14:textId="7777777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Přidružené programy: </w:t>
      </w:r>
    </w:p>
    <w:p w14:paraId="74ACAA2B" w14:textId="40DAB631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 prostřednictvím IROP 2014-2020, např. Digitalizace stavebního řízení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územního plánování, vč. projektu Digitální mapy veřejné správy, kybernetická bezpečnost apod.</w:t>
      </w:r>
    </w:p>
    <w:p w14:paraId="1F09322D" w14:textId="40400862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prioritních projektů prostřednictvím státního rozpočtu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programu Digitální Česko (cca 490 mil. Kč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r. 2019, cca 1,2 mld.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r. 2020).</w:t>
      </w:r>
    </w:p>
    <w:p w14:paraId="3ED6BA3F" w14:textId="37C8AE92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prostřednictvím OP PIK 2014-2020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projektů, např. Digitální technické mapy.</w:t>
      </w:r>
    </w:p>
    <w:p w14:paraId="4EB3CAD1" w14:textId="69E19461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 prostřednictvím IROP 2021+, předpokládané investice do oblasti kybernetické bezpečnosti jednotlivých centrálních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lokálních úřadů, poskytovatelů zdravotní péče apod.</w:t>
      </w:r>
    </w:p>
    <w:p w14:paraId="62789C26" w14:textId="4F86863C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1.1 Digitální </w:t>
      </w:r>
      <w:r w:rsidR="004412C8" w:rsidRPr="002A784F">
        <w:rPr>
          <w:rFonts w:asciiTheme="minorHAnsi" w:eastAsiaTheme="minorEastAsia" w:hAnsiTheme="minorHAnsi" w:cstheme="minorHAnsi"/>
          <w:sz w:val="20"/>
          <w:szCs w:val="20"/>
        </w:rPr>
        <w:t>služby pro občany a firmy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(RRF – pilíř Digitální infrastruktura), která zahrnuje rozvoj služeb poskytovaných koncovým zákazníkům, služby poskytované na centrální úrovni, nástroje pro publikaci otevřených dat vč. tvorby otevřených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veřejných datových sad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služby elektronického zdravotnictví. </w:t>
      </w:r>
    </w:p>
    <w:p w14:paraId="480B510B" w14:textId="21215D19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1.3 Digitální vysokorychlostní sítě (RRF – pilíř Digitální infrastruktura), která zahrnuje také Vybudování vysokorychlostního připojení pro další socioekonomické aktéry, vč. objektů státní správy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územní samosprávy.</w:t>
      </w:r>
    </w:p>
    <w:p w14:paraId="7530FAC5" w14:textId="76D88555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1.</w:t>
      </w:r>
      <w:r w:rsidR="002D4BBC" w:rsidRPr="002A784F">
        <w:rPr>
          <w:rFonts w:asciiTheme="minorHAnsi" w:eastAsiaTheme="minorEastAsia" w:hAnsiTheme="minorHAnsi" w:cstheme="minorHAnsi"/>
          <w:sz w:val="20"/>
          <w:szCs w:val="20"/>
        </w:rPr>
        <w:t>6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Zrychlení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 stavebního řízení (RRF – pilíř Digitální transformace), která zahrnuje vytvoření potřebných informačních systémů, zajištění migrace dat do nových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konsolidace dat spočívající ve vybudování databáze územně analytických podkladů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jednotném standardu pro zajištění potřeb veřejné správy.</w:t>
      </w:r>
    </w:p>
    <w:p w14:paraId="244A7A1B" w14:textId="77777777" w:rsidR="003A17B4" w:rsidRDefault="003A17B4">
      <w:pPr>
        <w:spacing w:after="200" w:line="276" w:lineRule="auto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br w:type="page"/>
      </w:r>
    </w:p>
    <w:p w14:paraId="7311475B" w14:textId="4D0A6ED3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d) Předchozí snahy</w:t>
      </w:r>
    </w:p>
    <w:p w14:paraId="78EB6E8F" w14:textId="6B80106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 minulých obdobích směřovaly investice do oblasti IT infrastruktury,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 veřejné správy, elektronizace zdravotnictví, kybernetické bezpečnosti apod. především ze státního rozpočtu. Od r. 2018 se stává významným koordinačním prvkem těchto investic program Digitální Česko,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jehož portfoliu jsou tyto jednotlivé projekty evidovány,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prioritizovány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následně doporučovány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financování. Velmi výrazný objem investic byl do této oblasti směřován také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prostředků E</w:t>
      </w:r>
      <w:r w:rsidR="00D047E4" w:rsidRPr="002A784F">
        <w:rPr>
          <w:rFonts w:asciiTheme="minorHAnsi" w:eastAsiaTheme="minorEastAsia" w:hAnsiTheme="minorHAnsi" w:cstheme="minorHAnsi"/>
          <w:sz w:val="20"/>
          <w:szCs w:val="20"/>
        </w:rPr>
        <w:t>RDF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, především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IROP (investice do rozvoje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eGovernmentu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>, elektronického zdravotnictví, kybernetické bezpečnosti, komunikační infrastruktury apod.). Celkově bylo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období 2014-2020 podpořeno 226 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celkovém objemu 2,5 mld. Kč. Významnými projekty podpořenými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IROP bylo Zvyšování kybernetické bezpečnosti nemocnic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jednotlivých regionech ČR (např. FN Brno, FN Ostrava, FN Plzeň, Městská nemocnice Ostrava, …). Mezi významné infrastrukturní projekty patří např. Vybudování základní resortní infrastruktury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eHealth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– Informační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datové resortní rozhraní, na jehož základech staví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některé projekty Národního plánu obnovy.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těchto „historických“ projektech byly položeny kvalitní základy pro další rozvoj. Komponenta 1.2 Digitální systémy veřejné správy tyto dřívější snahy akceleruje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výrazně přispívá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dalšímu rozvoji např. vytvářením předpokladů pro realizaci 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výzev (především IROP) nového období 2021-2027. </w:t>
      </w:r>
    </w:p>
    <w:p w14:paraId="4E190F5C" w14:textId="0CFCAECB" w:rsidR="00EB5176" w:rsidRPr="003A17B4" w:rsidRDefault="00386254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e</w:t>
      </w:r>
      <w:r w:rsidR="00EB5176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 xml:space="preserve">) 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Rovný přístup</w:t>
      </w:r>
    </w:p>
    <w:p w14:paraId="78C93A01" w14:textId="77777777" w:rsidR="001057B2" w:rsidRDefault="00770320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Při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vývoj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 implementac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nových či inovovaných informačních systémů ve všech výše uvedených reformách a investicích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budou dodrže</w:t>
      </w:r>
      <w:r w:rsidR="003701A4" w:rsidRPr="002A784F">
        <w:rPr>
          <w:rFonts w:asciiTheme="minorHAnsi" w:eastAsiaTheme="minorEastAsia" w:hAnsiTheme="minorHAnsi" w:cstheme="minorHAnsi"/>
          <w:sz w:val="20"/>
          <w:szCs w:val="20"/>
        </w:rPr>
        <w:t>ny zásady přístupnosti a použitelnosti definované národní legislativou (</w:t>
      </w:r>
      <w:r w:rsidR="00F51497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zákonem č. 99/2019 Sb., o přístupnosti internetových stránek a mobilních aplikací a zákonem č. 365/2000 Sb., o informačních systémech veřejné správy, které provádí </w:t>
      </w:r>
      <w:r w:rsidR="005B2771" w:rsidRPr="002A784F">
        <w:rPr>
          <w:rFonts w:asciiTheme="minorHAnsi" w:eastAsiaTheme="minorEastAsia" w:hAnsiTheme="minorHAnsi" w:cstheme="minorHAnsi"/>
          <w:sz w:val="20"/>
          <w:szCs w:val="20"/>
        </w:rPr>
        <w:t>Směrnici Evropského parlamentu a Rady (EU) 2016/2102 ze dne 26. října 2016, o přístupnosti internetových stránek a mobilních aplikací).</w:t>
      </w:r>
      <w:r w:rsidR="009B5F0F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</w:p>
    <w:p w14:paraId="7AFD5191" w14:textId="5AC32528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632F1DFC" w14:textId="334C6D13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3. Popis reforem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investic komponenty </w:t>
      </w:r>
    </w:p>
    <w:p w14:paraId="219E458F" w14:textId="7777777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 xml:space="preserve">a) Popis reforem </w:t>
      </w:r>
    </w:p>
    <w:p w14:paraId="4FDF3FD6" w14:textId="1B0A3BE0" w:rsidR="00C42CDB" w:rsidRPr="003A17B4" w:rsidRDefault="00174CDE" w:rsidP="33C5CFFC">
      <w:pPr>
        <w:spacing w:after="120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K</w:t>
      </w:r>
      <w:r w:rsidR="00C42CDB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ompetenční centra pro podporu </w:t>
      </w:r>
      <w:proofErr w:type="spellStart"/>
      <w:r w:rsidR="00C42CDB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eGovernmentu</w:t>
      </w:r>
      <w:proofErr w:type="spellEnd"/>
      <w:r w:rsidR="6AD4CA37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, </w:t>
      </w:r>
      <w:proofErr w:type="spellStart"/>
      <w:r w:rsidR="6AD4CA37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kyberbezpečnosti</w:t>
      </w:r>
      <w:proofErr w:type="spellEnd"/>
      <w:r w:rsidR="6AD4CA37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 a elektronického zdravotnictví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6F44E80B" w14:textId="77777777" w:rsidTr="2C9CA232">
        <w:tc>
          <w:tcPr>
            <w:tcW w:w="2405" w:type="dxa"/>
          </w:tcPr>
          <w:p w14:paraId="42A0DA1F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2FDCA7E3" w14:textId="1368196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Nedostatečně koordinovaný rozvoj digitalizace veřejné správy vedoucí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zdlouhavé realizaci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neefektivnímu vynakládání státních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dotačních prostředků. </w:t>
            </w:r>
          </w:p>
          <w:p w14:paraId="3F217406" w14:textId="5585E38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Nepřipravenost či omezená připravenost centrálních institucí na výzvy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požadavky digitalizace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zaostávání ČR vůči EU ve vytváření digitálních služeb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jejich adopci konečnými uživateli. </w:t>
            </w:r>
          </w:p>
          <w:p w14:paraId="016CEBBE" w14:textId="7EA6019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Nedostatečná metodická podpora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 veřejné správy před,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průběhu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 implementaci digitální služby. Tato podpora poskytne návody pro realizaci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vytvoří povinné standardy.</w:t>
            </w:r>
          </w:p>
          <w:p w14:paraId="709C2095" w14:textId="3892FDE8" w:rsidR="00801B1F" w:rsidRPr="00535CE0" w:rsidRDefault="00096511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</w:t>
            </w:r>
            <w:r w:rsidR="001B7F39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práce s existujícími daty vč. nízké míry 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rozhodování na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jejich 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základě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rámci </w:t>
            </w:r>
            <w:r w:rsidR="00907769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veřejné správy</w:t>
            </w:r>
            <w:r w:rsidR="00801B1F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jako celku vč. aktivit v oblasti digitalizace a digitální transformace. </w:t>
            </w:r>
          </w:p>
          <w:p w14:paraId="6FBAE089" w14:textId="0B94F5C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Nedostatek vysoce kvalifikovaných specialistů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IT na jednotlivých úřadech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institucích.</w:t>
            </w:r>
          </w:p>
        </w:tc>
      </w:tr>
      <w:tr w:rsidR="00C42CDB" w:rsidRPr="00535CE0" w14:paraId="55EBE87E" w14:textId="77777777" w:rsidTr="2C9CA232">
        <w:tc>
          <w:tcPr>
            <w:tcW w:w="2405" w:type="dxa"/>
          </w:tcPr>
          <w:p w14:paraId="4186ED0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703EEE57" w14:textId="1714B64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absorpční kapacitu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úspěšnost realizace programů NPO, projektů komponent 1.1 Digitální služby pro občany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firmy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1.2 Digitální systémy veřejné správy Národního plánu obnovy prostřednictvím vysoce odborných služeb poskytovaných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oblastech, kde jednotlivým institucím či úřadům chybí příslušné kompetence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vysoce kvalifikovaní specialisté (a to především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oblastech architektury, kybernetické bezpečnosti, UX/UI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projektového managementu). </w:t>
            </w:r>
          </w:p>
          <w:p w14:paraId="394A7B8A" w14:textId="1A9DC8B4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naplnění cílů strategických programů digitalizace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digitální transformace (především programu Digitální Česko, Strategie Zdraví 2030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Resortní strategie pro rozvoj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eJustice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).</w:t>
            </w:r>
          </w:p>
          <w:p w14:paraId="79722164" w14:textId="76F1771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Vyřešit výše definované výzvy ukotvením kompetenčních center do struktur veřejné správy tak, aby mohly poskytovat své služby širokému spektru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institucí. Kapacitně rozšířit možnosti poskytovaných služeb těmito centry.</w:t>
            </w:r>
          </w:p>
          <w:p w14:paraId="2A77E560" w14:textId="55DF2885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odpovídající standardizační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metodickou základnu vč. podpory její implementace na jednotlivých orgánech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vytvořit nezbytnou podporu pro realizaci cílů jednotlivých resortů ČR.</w:t>
            </w:r>
          </w:p>
          <w:p w14:paraId="6D225D1E" w14:textId="5BC1CFB9" w:rsidR="00907769" w:rsidRPr="00535CE0" w:rsidRDefault="00801B1F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 využitím existující datové základny z</w:t>
            </w:r>
            <w:r w:rsidR="0090776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ajistit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kompetence pro tvorbu podkladů pro kvalifikované rozhodování na základě dat především v oblasti digitalizace a digitální transformace a postupný přenos této kompetence i do dalších oblastí výkonu veřejné správy. </w:t>
            </w:r>
          </w:p>
          <w:p w14:paraId="54A76B04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Oblast resortu zdravotnictví: </w:t>
            </w:r>
          </w:p>
          <w:p w14:paraId="35C15BCF" w14:textId="742BADF6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Vytvořit funkční ekosystém elektronizace zdravotnictví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ČR prostřednictvím posílení kompetencí</w:t>
            </w:r>
            <w:r w:rsidRPr="3A842B1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Národního centra elektronického zdravotnictví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) dle doporučení Evropské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Network EHEALTH NETWORK RECOMMENDATIONS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for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Development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of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Digital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Networks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EU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Member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States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listopadu 2020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dle strategie WHO vytvořit společný rámec „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Strategy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Toolkit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“ pro rozvoj interoperability systémů ve zdravotnictví. </w:t>
            </w:r>
          </w:p>
        </w:tc>
      </w:tr>
      <w:tr w:rsidR="00C42CDB" w:rsidRPr="00535CE0" w14:paraId="076022D5" w14:textId="77777777" w:rsidTr="2C9CA232">
        <w:tc>
          <w:tcPr>
            <w:tcW w:w="2405" w:type="dxa"/>
          </w:tcPr>
          <w:p w14:paraId="564310E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65EB38D0" w14:textId="370F6525" w:rsidR="00C42CDB" w:rsidRPr="00535CE0" w:rsidRDefault="2E000CE9" w:rsidP="2C9CA23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Reforma je složena z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pěti vzájemně propojených projektů. Jejich koordinaci bude vykonávat programová kancelář Digitální Česko ve spolupráci s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Ministerstvem vnitra jako gestorem digitalizace veřejné správy a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Ministerstvem zdravotnictví jako gestorem elektronizace zdravotnictví. </w:t>
            </w:r>
            <w:r w:rsidR="18DF5FFE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</w:t>
            </w:r>
            <w:r w:rsidR="007CF47A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covní pozice v rámci jednotlivých kompetenčních center budou vytvořeny pouze po dobu realizace projektu</w:t>
            </w:r>
            <w:r w:rsidR="270C29F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</w:t>
            </w:r>
            <w:r w:rsidR="452205A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tj. </w:t>
            </w:r>
            <w:r w:rsidR="633EB697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</w:t>
            </w:r>
            <w:r w:rsidR="452205A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 konce roku 2025 (konec posledního z projektů kompetenčního centra). Činnost všech kompetenčních center je vždy přímo spojena s realizací jednotlivých projektů RRF. Kompetenční centra tak vytvářejí prostředí podporující úspěšnou implementaci projektů RRF.</w:t>
            </w:r>
          </w:p>
          <w:p w14:paraId="0BEF82CB" w14:textId="3080F7C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E79698D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 zdravotnictví:</w:t>
            </w:r>
          </w:p>
          <w:p w14:paraId="12D35530" w14:textId="4476F092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Projekt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je vyčleněn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ostatních kompetenčních center především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důvodu výrazné odlišnosti oproti ostatním kompetenčním centrům, neboť zdravotnictví je svým charakterem výrazně odlišné od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eGovernmentu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zvláště pak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širokém propojení státních, veřejných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komerčních subjektů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vyžaduje výrazné specifické kompetence.</w:t>
            </w:r>
          </w:p>
          <w:p w14:paraId="5077DBCB" w14:textId="7521378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Ministerstvo zdravotnictví posílí svou kompetenci zřízením externí organizace, která následně zajistí odborné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projektové kapacity. Tato organizace bude součástí ekosystému rozvoje elektronizace, bude řízena Ministerstvem zdravotnictví, které bude prostřednictvím této organizace poskytovat podporu jednotlivých organizací ve své přímé působnosti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poskytovatelům zdravotních služeb při realizaci programů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projektů Národního plánu obnovy (následně pak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IROP)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realizaci akčních plánů elektronizace zdravotnictví, které jsou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souladu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nadřazenými strategiemi.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rámci NPO se předpokládá zapojení většiny poskytovatelů zdravotních služeb, což vyžaduje značnou přípravu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koordinaci těchto subjektů, tak aby byly dosaženy nastavené cíle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parametry.</w:t>
            </w:r>
            <w:r w:rsidRPr="6D35A5C4"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2137CDEB" w14:textId="3563D238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Pro zajištění chodu této organizace předpokládáme nábor cca 15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seniorních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expertů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oblastech zdravotnické informatiky,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</w:t>
            </w: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nterprise</w:t>
            </w:r>
            <w:proofErr w:type="spellEnd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Architektury, vytváření národních standardů elektronizace, UX/UI, kybernetické bezpečnosti, projektového řízení, legislativy apod.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Tito pracovníci budou své služby poskytovat Ministerstvu zdravotnictví, jím zřizovaným organizacím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poskytovatelům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zdravotních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služeb. Nebudou však administrátory ani administrativní podporou pro Národní plán obnovy. </w:t>
            </w:r>
          </w:p>
          <w:p w14:paraId="74E37BAC" w14:textId="36517B36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Výstupy práce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specifikace návrhů na elektronizaci agend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postupů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resortu zdravotnictví,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podpora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  <w:t xml:space="preserve">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řízení procesů standardizace elektronického zdravotnictví pro zajištění interoperability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specifikaci rozhraní, use case profilů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vytváření architektur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pravidly stanovenými Národním architektonickým plánem ČR.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začleněno do ekosystému elektronizace vedené klíčovými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stakeholdery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autoritami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čele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Ministerstvem zdravotnictví, tyto autority se budou podílet na rozhodování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realizaci předkládaných návrhů.</w:t>
            </w:r>
          </w:p>
          <w:p w14:paraId="560C6461" w14:textId="30F3EDD0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provádět dohled nad implementací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elektronických služeb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naplňováním stanovených cílů dle akčních plánů.</w:t>
            </w:r>
          </w:p>
          <w:p w14:paraId="3473B07C" w14:textId="3207A30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Součástí vykonávaných činností bude zajištění udržitelné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kontinuální mezinárodní spolupráce dle doporučení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regulací stanovených EU.</w:t>
            </w:r>
          </w:p>
          <w:p w14:paraId="55465751" w14:textId="41ACBC94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 Kompetenčního centra kybernetické bezpečnosti se zaměřuje na rozvoj již existujících bezpečnostních struktur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MVČR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cílem podpořit zajištění strategických cílů kybernetické bezpečnosti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digitalizace státní správy/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 Jedná se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pořízení nových moderních bezpečnostních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dohledových technologií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nástrojů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vytvoření nových kapacit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nových kompetencí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zajištění bezpečné infrastruktury státních systémů.</w:t>
            </w:r>
          </w:p>
          <w:p w14:paraId="0690A934" w14:textId="7DCD251D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rámci rozvoje schopností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kapacit kompetenčního centra se projekt zaměřuje také na rozvoj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personální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podobě navýšení počtu bezpečnostních specialistů, jejich specializaci,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především zajištění potřebných kompetencí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kybernetické bezpečnosti včetně vzdělávání. Součástí rozvoje bude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 řešení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DevSecOps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76B7DD25" w14:textId="22A802E5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Projekt Kompetenčního centra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je zaměřen především na personální posílení již existujícího kompetenčního centra, které se aktuálně zaměřuje dominantně na poradenství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informačních koncepcí jednotlivých orgánů veřejné správy. Kompetence centra budou výrazně posíleny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architektury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enterprise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business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solution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), uživatelské přívětivosti (UX/UI)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projektového řízení. Centrum pak bude schopné poskytovat konzultační kapacity při realizaci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zároveň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projekty řídit (v případě orgánů, kde interní kapacity nejsou dostatečné).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Národního plánu obnovy je předloženo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komponentách reformách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investicích více jak 100 projektů. Na základě konzultací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jednotlivými gestory je vhodné u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cca </w:t>
            </w:r>
            <w:proofErr w:type="gram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30%</w:t>
            </w:r>
            <w:proofErr w:type="gram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projektů poskytnout konzultační či realizační podporu. Tuto podporu je možné nakoupit na volném trhu.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okamžiku ukončení projektu či jeho části pak získané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know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zůstává u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daného komerčního subjektu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není zpět přeneseno do veřejné správy. Na tomto základě nedochází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růstu kompetencí, ale je naopak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oblasti konzultací vytvářen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vendor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lock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-in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omezována suverenita veřejné správy.</w:t>
            </w:r>
          </w:p>
          <w:p w14:paraId="06ABC98F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Seznam jednotlivých projektů reformy viz Příloha</w:t>
            </w:r>
          </w:p>
        </w:tc>
      </w:tr>
      <w:tr w:rsidR="00C42CDB" w:rsidRPr="00535CE0" w14:paraId="29A8303C" w14:textId="77777777" w:rsidTr="2C9CA232">
        <w:trPr>
          <w:trHeight w:val="70"/>
        </w:trPr>
        <w:tc>
          <w:tcPr>
            <w:tcW w:w="2405" w:type="dxa"/>
          </w:tcPr>
          <w:p w14:paraId="0E24FB7B" w14:textId="37864622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BD056B4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29B19F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34126F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zdravotnictví</w:t>
            </w:r>
          </w:p>
          <w:p w14:paraId="0581086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422C517A" w14:textId="77777777" w:rsidR="00C42CDB" w:rsidRPr="00535CE0" w:rsidRDefault="00C42CDB" w:rsidP="6D35A5C4">
            <w:pPr>
              <w:pStyle w:val="K-TextInfo"/>
              <w:numPr>
                <w:ilvl w:val="0"/>
                <w:numId w:val="23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6DAFE277" w14:textId="79ADC616" w:rsidR="008E700B" w:rsidRDefault="008E700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Národní úřad pro kybernetickou </w:t>
            </w:r>
            <w:r w:rsidR="00772309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informační 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bezpečnost</w:t>
            </w:r>
          </w:p>
          <w:p w14:paraId="393E8B0A" w14:textId="6EB3401F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dopravy</w:t>
            </w:r>
          </w:p>
          <w:p w14:paraId="2F68D0AE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Ministerstvo financí </w:t>
            </w:r>
          </w:p>
          <w:p w14:paraId="631A7914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kultury</w:t>
            </w:r>
          </w:p>
          <w:p w14:paraId="09A3D441" w14:textId="0D1EDACE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sociálních věcí</w:t>
            </w:r>
          </w:p>
          <w:p w14:paraId="6D1268E0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Ministerstvo pro místní rozvoj</w:t>
            </w:r>
          </w:p>
          <w:p w14:paraId="764E3A1B" w14:textId="2DF76963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průmyslu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obchodu </w:t>
            </w:r>
          </w:p>
          <w:p w14:paraId="32180AD5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spravedlnosti</w:t>
            </w:r>
          </w:p>
          <w:p w14:paraId="5F644BF1" w14:textId="269EB8A6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školství, mládeže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tělovýchovy</w:t>
            </w:r>
          </w:p>
          <w:p w14:paraId="25C25018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zahraničních věcí</w:t>
            </w:r>
          </w:p>
          <w:p w14:paraId="2A875FA5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zdravotnictví</w:t>
            </w:r>
          </w:p>
          <w:p w14:paraId="266CF5E4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zemědělství</w:t>
            </w:r>
          </w:p>
          <w:p w14:paraId="3D21E11A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životního prostředí</w:t>
            </w:r>
          </w:p>
          <w:p w14:paraId="57C581E7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Jednotlivé krajské úřady</w:t>
            </w:r>
          </w:p>
          <w:p w14:paraId="4F15647E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64FA6E3D" w14:textId="77777777" w:rsidR="00C42CDB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02BD0CFE" w14:textId="3576E215" w:rsidR="004B5B33" w:rsidRPr="00535CE0" w:rsidRDefault="004B5B33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0E818A43" w14:textId="77777777" w:rsidTr="2C9CA232">
        <w:tc>
          <w:tcPr>
            <w:tcW w:w="2405" w:type="dxa"/>
          </w:tcPr>
          <w:p w14:paraId="344F3DF9" w14:textId="568C4D22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5F095192" w14:textId="19CDE2B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Rizikem je nedostatečná koordinace ústředních orgánů při schvalování vzniku doposud neexistujících kompetenčních center (zejména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období přetrvávající pandemie).</w:t>
            </w:r>
          </w:p>
          <w:p w14:paraId="038B3F42" w14:textId="310AFE0D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vyžadováním plnění vládních usnesení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digitalizace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zlepšením podmínek pro najímání expertů.</w:t>
            </w:r>
          </w:p>
          <w:p w14:paraId="10068C10" w14:textId="77777777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Nevhodné nastavení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governance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modelů jednotlivých kompetenčních center.</w:t>
            </w:r>
          </w:p>
          <w:p w14:paraId="6638076B" w14:textId="3FC194B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zajištěním koordinační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řídící role prostřednictvím Rady vlády pro informační společnost. </w:t>
            </w:r>
          </w:p>
        </w:tc>
      </w:tr>
      <w:tr w:rsidR="00C42CDB" w:rsidRPr="00535CE0" w14:paraId="750A99DD" w14:textId="77777777" w:rsidTr="2C9CA232">
        <w:tc>
          <w:tcPr>
            <w:tcW w:w="2405" w:type="dxa"/>
          </w:tcPr>
          <w:p w14:paraId="1AA1DF85" w14:textId="557A1ED3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4F08A71D" w14:textId="0A329655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Ministerstva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další centrální orgány státní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veřejné správy</w:t>
            </w:r>
          </w:p>
          <w:p w14:paraId="19FFED69" w14:textId="66FD1051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1567CF37" w14:textId="0BD37845" w:rsidR="00AC638D" w:rsidRPr="00535CE0" w:rsidRDefault="00AC638D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Kraje</w:t>
            </w:r>
          </w:p>
          <w:p w14:paraId="0A43A1E0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5FA5C1D9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Poskytovatelé zdravotnických služeb</w:t>
            </w:r>
            <w:r w:rsidRPr="6D35A5C4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</w:tc>
      </w:tr>
      <w:tr w:rsidR="00C42CDB" w:rsidRPr="00535CE0" w14:paraId="7FE9278B" w14:textId="77777777" w:rsidTr="2C9CA232">
        <w:tc>
          <w:tcPr>
            <w:tcW w:w="2405" w:type="dxa"/>
          </w:tcPr>
          <w:p w14:paraId="32BDB30A" w14:textId="7EE3C56D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28A54EF" w14:textId="7A2382B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3</w:t>
            </w:r>
            <w:r w:rsidR="000C14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6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4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 Kč</w:t>
            </w:r>
          </w:p>
        </w:tc>
      </w:tr>
      <w:tr w:rsidR="00C42CDB" w:rsidRPr="00535CE0" w14:paraId="36FF1187" w14:textId="77777777" w:rsidTr="2C9CA232">
        <w:tc>
          <w:tcPr>
            <w:tcW w:w="2405" w:type="dxa"/>
          </w:tcPr>
          <w:p w14:paraId="2E9EEDB8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21266D1" w14:textId="18459575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Žádný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reformy nezakládá veřejnou podporu</w:t>
            </w:r>
            <w:r w:rsidR="003A17B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Všechny služby jsou poskytovány na nekomerčním základě mezi jednotlivými státní organizacemi a úřady.</w:t>
            </w:r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Nebude tedy poskytnuta žádná státní podpora. (</w:t>
            </w:r>
            <w:proofErr w:type="spellStart"/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</w:t>
            </w:r>
            <w:proofErr w:type="spellEnd"/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GT D/31)</w:t>
            </w:r>
          </w:p>
        </w:tc>
      </w:tr>
      <w:tr w:rsidR="00C42CDB" w:rsidRPr="00535CE0" w14:paraId="2FC23F8B" w14:textId="77777777" w:rsidTr="2C9CA232">
        <w:tc>
          <w:tcPr>
            <w:tcW w:w="2405" w:type="dxa"/>
          </w:tcPr>
          <w:p w14:paraId="72504B52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D667C7B" w14:textId="6F0E360D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47 měsíců. Předpokládané dokončení je ve 4Q 202</w:t>
            </w:r>
            <w:r w:rsidR="1038EDE6"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1A080271" w14:textId="77777777" w:rsidR="002A784F" w:rsidRDefault="002A784F" w:rsidP="002A784F">
      <w:pPr>
        <w:rPr>
          <w:rFonts w:eastAsiaTheme="minorEastAsia"/>
          <w:i/>
          <w:iCs/>
          <w:szCs w:val="20"/>
        </w:rPr>
      </w:pPr>
    </w:p>
    <w:p w14:paraId="6E5F467B" w14:textId="5E37F7ED" w:rsidR="002A784F" w:rsidRPr="003A17B4" w:rsidRDefault="002A784F" w:rsidP="002A784F">
      <w:pPr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3A17B4">
        <w:rPr>
          <w:rFonts w:asciiTheme="minorHAnsi" w:eastAsiaTheme="minorEastAsia" w:hAnsiTheme="minorHAnsi" w:cstheme="minorHAnsi"/>
          <w:i/>
          <w:iCs/>
          <w:sz w:val="20"/>
          <w:szCs w:val="20"/>
        </w:rPr>
        <w:t>Přehled realizovaných projektů v rámci reformy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8"/>
        <w:gridCol w:w="1513"/>
        <w:gridCol w:w="47"/>
      </w:tblGrid>
      <w:tr w:rsidR="007B6CF7" w:rsidRPr="002A784F" w14:paraId="33943983" w14:textId="77777777" w:rsidTr="007B6CF7">
        <w:trPr>
          <w:gridAfter w:val="1"/>
          <w:wAfter w:w="47" w:type="dxa"/>
          <w:trHeight w:val="360"/>
        </w:trPr>
        <w:tc>
          <w:tcPr>
            <w:tcW w:w="7928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396C1BAA" w14:textId="77777777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13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33B09391" w14:textId="7C9A0342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41A81DC0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86F20D8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Digitální Česko KC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0ABEBFFD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90,00</w:t>
            </w:r>
          </w:p>
        </w:tc>
      </w:tr>
      <w:tr w:rsidR="007B6CF7" w:rsidRPr="002A784F" w14:paraId="23CE2781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98A364C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Dohledové centrum </w:t>
            </w:r>
            <w:proofErr w:type="spellStart"/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eGovernmentu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344986D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80,00</w:t>
            </w:r>
          </w:p>
        </w:tc>
      </w:tr>
      <w:tr w:rsidR="007B6CF7" w:rsidRPr="002A784F" w14:paraId="2F89F968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36CE40AD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Národní centrum elektronického zdravotnictví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780B7B8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108,00</w:t>
            </w:r>
          </w:p>
        </w:tc>
      </w:tr>
      <w:tr w:rsidR="007B6CF7" w:rsidRPr="002A784F" w14:paraId="631A3AC7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B31E5E5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Podpora tvorby a aktualizací Informačních koncepcí úřadů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61878DB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70,00</w:t>
            </w:r>
          </w:p>
        </w:tc>
      </w:tr>
      <w:tr w:rsidR="007B6CF7" w:rsidRPr="002A784F" w14:paraId="6A0ED990" w14:textId="77777777" w:rsidTr="007B6CF7">
        <w:trPr>
          <w:trHeight w:val="34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vAlign w:val="bottom"/>
            <w:hideMark/>
          </w:tcPr>
          <w:p w14:paraId="004DD19E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Zajištění kompetence bezpečného vývoje pro digitální systém státní správy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7D1F7B24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16,00</w:t>
            </w:r>
          </w:p>
        </w:tc>
      </w:tr>
    </w:tbl>
    <w:p w14:paraId="53E3B3F4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D68DE07" w14:textId="4D1B0EE6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Budování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rozvoj systémů podporujících elektronizaci zdravotnictví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FF8AC91" w14:textId="77777777" w:rsidTr="3A842B16">
        <w:tc>
          <w:tcPr>
            <w:tcW w:w="2405" w:type="dxa"/>
          </w:tcPr>
          <w:p w14:paraId="4B1A9DB1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7205F66" w14:textId="462F0E1D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Urychlit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usnadnit zavádění elektronických služeb prostřednictvím propojené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systematicky vytvářené infrastruktury elektronizace zdravotnictví včetně stabilizace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standardizace datového fondu zdravotnictví.  </w:t>
            </w:r>
          </w:p>
        </w:tc>
      </w:tr>
      <w:tr w:rsidR="00C42CDB" w:rsidRPr="00535CE0" w14:paraId="254D3574" w14:textId="77777777" w:rsidTr="3A842B16">
        <w:tc>
          <w:tcPr>
            <w:tcW w:w="2405" w:type="dxa"/>
          </w:tcPr>
          <w:p w14:paraId="5200E85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DEAEF3" w14:textId="4758C8C2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Rozvoj resortní infrastruktury elektronického zdravotnictví ČR. Infrastruktura sestává zejména z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referenčních registrů Poskytovatelů zdravotních služeb, zdravotníků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pacientů, vzájemně propojených s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referenčními registry </w:t>
            </w:r>
            <w:proofErr w:type="spellStart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dalšími systémy jako například správa souhlasů.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  <w:p w14:paraId="04EA431F" w14:textId="217F1CC2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Vybudování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rozvoj zdravotnických registrů (Hygienické registry, registry NZIS). Jedná se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zdravotnické registry hygienické služby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informační systémy související s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řešením pandemických situací, zdravotnické registry onkologických, kardiovaskulárních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dalších onemocnění).</w:t>
            </w:r>
          </w:p>
          <w:p w14:paraId="2A1DC17F" w14:textId="39D6488B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Vybudování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rozvoj informačního systému pro podporu řízení hygienické služby ve čtrnácti regionech ČR (Informační systém KHS).</w:t>
            </w:r>
          </w:p>
          <w:p w14:paraId="5294F8AE" w14:textId="5741EDCD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Rozšíření stávající funkcionality </w:t>
            </w:r>
            <w:proofErr w:type="spellStart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eReceptů</w:t>
            </w:r>
            <w:proofErr w:type="spellEnd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recepty na omamné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psychotropní látky. Druhým cílem je zavádění služby elektronické poukazy, v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nepovinném režimu umožnit elektronické předepisování poukazů na zdravotnické prostředky pro všechny osoby oprávněné předepisovat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umožnit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výdej takto předepsaných prostředků u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poskytovatelů zdravotních služeb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smluvních výdejen.</w:t>
            </w:r>
          </w:p>
          <w:p w14:paraId="3815195B" w14:textId="0692BE8B" w:rsidR="00C42CDB" w:rsidRPr="00AD592F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Vybudování infrastruktury pro podporu systému péče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pacienty se vzácnými chorobami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zajištění odborných kapacit.</w:t>
            </w:r>
          </w:p>
          <w:p w14:paraId="46A482E2" w14:textId="210D23CE" w:rsidR="0073550F" w:rsidRPr="00535CE0" w:rsidRDefault="0073550F" w:rsidP="3A842B16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Během budování výše </w:t>
            </w:r>
            <w:proofErr w:type="spellStart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uvedenách</w:t>
            </w:r>
            <w:proofErr w:type="spellEnd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</w:t>
            </w:r>
            <w:r w:rsidR="00A16FF2"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systémů a infrastruktury</w:t>
            </w: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bude od počátku dbáno na zajišťování kybernetické bezpečnosti dle příslušných předpisů.</w:t>
            </w:r>
          </w:p>
          <w:p w14:paraId="1C7A925A" w14:textId="2064F128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Zajištění vzdělávacích programů pro rozšíření využívání elektronických zdravotnických služeb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digitálních služeb ve zdravotnictví zaměřených především na zdravotnický personál.</w:t>
            </w:r>
          </w:p>
        </w:tc>
      </w:tr>
      <w:tr w:rsidR="00C42CDB" w:rsidRPr="00535CE0" w14:paraId="0150A8A3" w14:textId="77777777" w:rsidTr="3A842B16">
        <w:tc>
          <w:tcPr>
            <w:tcW w:w="2405" w:type="dxa"/>
          </w:tcPr>
          <w:p w14:paraId="1E0863CE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42E9A64F" w14:textId="7D8009B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Reforma je složena ze sedmi vzájemně propojených či na sebe navazujících projektů majících společného jmenovatele – vytvoření provázané infrastruktury využívající společná data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sdílené funkcionality.</w:t>
            </w:r>
          </w:p>
          <w:p w14:paraId="189E01B0" w14:textId="0FD637A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Projekty jsou realizovány organizacemi zřizovanými Ministerstvem zdravotnictví – ÚZIS, SÚKL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krajskými hygienickými stanicemi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00936081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poskytovateli </w:t>
            </w:r>
            <w:r w:rsidR="00CA574F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zdravotních služeb především pak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Všeobecnou fakultní nemocnicí.</w:t>
            </w:r>
          </w:p>
          <w:p w14:paraId="4126BE79" w14:textId="77777777" w:rsidR="00C42CDB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Národní centrum elektronizace zdravotnictví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úzce spolupracovat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programu Digitální Česko, která bude mít ve vrcholných řídících strukturách projektů svého zástupce, který bude monitorovat vývoj projektu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00B38061" w14:textId="3C1792C5" w:rsidR="00B17097" w:rsidRPr="00AD592F" w:rsidRDefault="00B1709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kroků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 podobě 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přípravy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architektonického modelu služby či systému (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získání Souhlasného stanoviska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a</w:t>
            </w:r>
            <w:r w:rsidR="00047F03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podání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06CABBCD" w14:textId="77777777" w:rsidTr="3A842B16">
        <w:trPr>
          <w:trHeight w:val="70"/>
        </w:trPr>
        <w:tc>
          <w:tcPr>
            <w:tcW w:w="2405" w:type="dxa"/>
          </w:tcPr>
          <w:p w14:paraId="0E622CD1" w14:textId="45B082DD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75E045B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1CDA11FB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zdravotnictví</w:t>
            </w:r>
          </w:p>
          <w:p w14:paraId="74F0902A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Národní centrum elektronického zdravotnictví</w:t>
            </w:r>
          </w:p>
          <w:p w14:paraId="7ED6414B" w14:textId="77777777" w:rsidR="0062461C" w:rsidRPr="0062461C" w:rsidRDefault="0062461C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Institut postgraduálního vzdělávání ve zdravotnictví</w:t>
            </w:r>
          </w:p>
          <w:p w14:paraId="36221B2A" w14:textId="6F66686E" w:rsidR="005C4FB7" w:rsidRPr="00AD592F" w:rsidRDefault="0062461C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Všeobecná fakultní nemocnice v</w:t>
            </w:r>
            <w:r w:rsidR="005C4FB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Praze</w:t>
            </w:r>
          </w:p>
          <w:p w14:paraId="4BD78E1F" w14:textId="6653C10E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hygienické stanice</w:t>
            </w:r>
          </w:p>
          <w:p w14:paraId="277426A3" w14:textId="512ADE0F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Ústav zdravotnických informací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statistiky</w:t>
            </w:r>
          </w:p>
          <w:p w14:paraId="2DFAF9DB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Státní ústav pro kontrolu léčiv</w:t>
            </w:r>
          </w:p>
          <w:p w14:paraId="10501AB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42758950" w14:textId="77777777" w:rsidR="000B5901" w:rsidRDefault="000B5901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6C1D448E" w14:textId="463A37A5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zdravotních služeb</w:t>
            </w:r>
          </w:p>
          <w:p w14:paraId="39DBDB4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Kraje, které jsou zřizovateli nebo zakladateli poskytovatelů zdravotních služeb. </w:t>
            </w:r>
          </w:p>
          <w:p w14:paraId="06A32A1A" w14:textId="77777777" w:rsidR="00C42CDB" w:rsidRPr="00AD592F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Municipality, které jsou zřizovateli nebo zakladateli poskytovatelů zdravotních služeb.</w:t>
            </w:r>
          </w:p>
          <w:p w14:paraId="4277BE42" w14:textId="16A8848E" w:rsidR="00765514" w:rsidRPr="00535CE0" w:rsidRDefault="000B5901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3FF118AE" w14:textId="77777777" w:rsidTr="3A842B16">
        <w:tc>
          <w:tcPr>
            <w:tcW w:w="2405" w:type="dxa"/>
          </w:tcPr>
          <w:p w14:paraId="2A936870" w14:textId="2F3D128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41A56AB" w14:textId="0A70DD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17BD0FD" w14:textId="1E218A24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eskalaci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následném zapojení specialistů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na jednotlivé problémové domény případně specialistů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dalších kompetenčních center.</w:t>
            </w:r>
          </w:p>
          <w:p w14:paraId="760D3EEB" w14:textId="0114AFE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 tím související delší vydávání souhlasných stanovisek</w:t>
            </w:r>
          </w:p>
          <w:p w14:paraId="7533A25F" w14:textId="46ED0913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Zahlcení OHA bude prostřednictvím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eskalováno na Radu vlády pro informační společnost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navýšení kapacit OHA.</w:t>
            </w:r>
          </w:p>
          <w:p w14:paraId="58E9110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003EC60F" w14:textId="3E9B04B8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zapojení architektů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specialistů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dalších kompetenčních center do příprav,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předkonzultací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konzultací architektonických návrhů.</w:t>
            </w:r>
          </w:p>
          <w:p w14:paraId="0340EDBE" w14:textId="1088143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6CED3FA7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4AFE9A2" w14:textId="7B09005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4BA2CF22" w14:textId="2DC7E754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současně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příp. dalších kompetenčních center, která budou moci poskytnout specialisty pro řešení situace.</w:t>
            </w:r>
          </w:p>
        </w:tc>
      </w:tr>
      <w:tr w:rsidR="00C42CDB" w:rsidRPr="00535CE0" w14:paraId="5DDDE414" w14:textId="77777777" w:rsidTr="3A842B16">
        <w:tc>
          <w:tcPr>
            <w:tcW w:w="2405" w:type="dxa"/>
          </w:tcPr>
          <w:p w14:paraId="1F4C9013" w14:textId="1B26DBD8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73FD99B" w14:textId="13C838C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poskytovatelé zdravotnických služeb, ministerstvo zdravotnictví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Krajské hygienické stanice. </w:t>
            </w:r>
          </w:p>
          <w:p w14:paraId="478BEBB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elektronického zdravotnictví.</w:t>
            </w:r>
          </w:p>
        </w:tc>
      </w:tr>
      <w:tr w:rsidR="00C42CDB" w:rsidRPr="00535CE0" w14:paraId="7D788B44" w14:textId="77777777" w:rsidTr="3A842B16">
        <w:tc>
          <w:tcPr>
            <w:tcW w:w="2405" w:type="dxa"/>
          </w:tcPr>
          <w:p w14:paraId="2483B9FF" w14:textId="42D94D8B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6C83203C" w14:textId="6ED038A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RRF jsou 3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 mil. Kč.</w:t>
            </w:r>
          </w:p>
        </w:tc>
      </w:tr>
      <w:tr w:rsidR="00C42CDB" w:rsidRPr="00535CE0" w14:paraId="74BB48AB" w14:textId="77777777" w:rsidTr="3A842B16">
        <w:tc>
          <w:tcPr>
            <w:tcW w:w="2405" w:type="dxa"/>
          </w:tcPr>
          <w:p w14:paraId="14839815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76E1228" w14:textId="596DD4C6" w:rsidR="00C42CDB" w:rsidRPr="00137447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Reforma nezakládá veřejnou podporu.</w:t>
            </w:r>
            <w:r w:rsidR="009E6435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rámci jednotlivých projektů bude docházet k datovému propojování státních organizací a subjektů vlastněných státem v jednotlivých případech poskytujících zdravotnické služby dle </w:t>
            </w:r>
            <w:r w:rsidR="009E6435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GT b/i/14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 Tato propojení budou realizován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a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že stát bude za pořizované služby platit tržní ceny, nebude tedy poskytnuta žádná státní podpora </w:t>
            </w:r>
          </w:p>
        </w:tc>
      </w:tr>
      <w:tr w:rsidR="00C42CDB" w:rsidRPr="00535CE0" w14:paraId="1FC0C9C8" w14:textId="77777777" w:rsidTr="3A842B16">
        <w:tc>
          <w:tcPr>
            <w:tcW w:w="2405" w:type="dxa"/>
          </w:tcPr>
          <w:p w14:paraId="4FDFB48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Uveďte dobu implementace</w:t>
            </w:r>
          </w:p>
        </w:tc>
        <w:tc>
          <w:tcPr>
            <w:tcW w:w="7223" w:type="dxa"/>
          </w:tcPr>
          <w:p w14:paraId="541E0C0A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4209B195" w14:textId="29D3A819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5607718C" w14:textId="77777777" w:rsidR="002A784F" w:rsidRPr="003A17B4" w:rsidRDefault="002A784F" w:rsidP="002A784F">
      <w:pPr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3A17B4">
        <w:rPr>
          <w:rFonts w:asciiTheme="minorHAnsi" w:eastAsiaTheme="minorEastAsia" w:hAnsiTheme="minorHAnsi" w:cstheme="minorHAnsi"/>
          <w:i/>
          <w:iCs/>
          <w:sz w:val="20"/>
          <w:szCs w:val="20"/>
        </w:rPr>
        <w:t>Přehled realizovaných projektů v rámci reformy</w:t>
      </w:r>
    </w:p>
    <w:tbl>
      <w:tblPr>
        <w:tblW w:w="9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4"/>
        <w:gridCol w:w="1276"/>
      </w:tblGrid>
      <w:tr w:rsidR="007B6CF7" w:rsidRPr="002A784F" w14:paraId="50BCCF7C" w14:textId="77777777" w:rsidTr="007B6CF7">
        <w:trPr>
          <w:trHeight w:val="360"/>
        </w:trPr>
        <w:tc>
          <w:tcPr>
            <w:tcW w:w="835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4D5E3E06" w14:textId="77777777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276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0F1476B3" w14:textId="56F76B14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237FE39B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670B0DE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Digitalizace a optimalizace systému zdravotní péče o pacienty se vzácnými chorobami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A27F963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8,00</w:t>
            </w:r>
          </w:p>
        </w:tc>
      </w:tr>
      <w:tr w:rsidR="007B6CF7" w:rsidRPr="002A784F" w14:paraId="555D8B3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C4B6DD9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Hygienické registry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4AE2089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25,00</w:t>
            </w:r>
          </w:p>
        </w:tc>
      </w:tr>
      <w:tr w:rsidR="007B6CF7" w:rsidRPr="002A784F" w14:paraId="09E8C1A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0B238DD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Rezortní informační systém KHS MZČR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2F294EDE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30,00</w:t>
            </w:r>
          </w:p>
        </w:tc>
      </w:tr>
      <w:tr w:rsidR="007B6CF7" w:rsidRPr="002A784F" w14:paraId="521FE4AE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1595A04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Rozvoj rezortní infrastruktury elektronického zdravotnictví 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7790484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150,00</w:t>
            </w:r>
          </w:p>
        </w:tc>
      </w:tr>
      <w:tr w:rsidR="007B6CF7" w:rsidRPr="002A784F" w14:paraId="5A3977CE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2C94D881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Rozvoj technologické platformy registrů NZIS, modernizace vytěžování jejich obsahu a rozšíření jejich informační kapacity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6F130DC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  <w:tr w:rsidR="007B6CF7" w:rsidRPr="002A784F" w14:paraId="176C50D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9B607C1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Sdílený lékový </w:t>
            </w:r>
            <w:proofErr w:type="gramStart"/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záznam - rozšíření</w:t>
            </w:r>
            <w:proofErr w:type="gramEnd"/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služby v oblasti správy souhlasů, evidence přístupů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B617367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  <w:tr w:rsidR="007B6CF7" w:rsidRPr="002A784F" w14:paraId="248EEEEE" w14:textId="77777777" w:rsidTr="007B6CF7">
        <w:trPr>
          <w:trHeight w:val="34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3165A32B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Vzdělávací programy pro zvyšování kvality a efektivity využívání služeb elektronického zdravotnictví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3A3EFEE1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12,00</w:t>
            </w:r>
          </w:p>
        </w:tc>
      </w:tr>
    </w:tbl>
    <w:p w14:paraId="2BF33B1F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08EE7640" w14:textId="769BEF08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b) Popis investic</w:t>
      </w:r>
    </w:p>
    <w:p w14:paraId="3F3B35EA" w14:textId="4E14CCAE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Budování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rozvoj základních registrů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 xml:space="preserve">zázemí pro </w:t>
      </w:r>
      <w:proofErr w:type="spellStart"/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eGovernment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57EB7AEB" w14:textId="77777777" w:rsidTr="33C5CFFC">
        <w:tc>
          <w:tcPr>
            <w:tcW w:w="2405" w:type="dxa"/>
          </w:tcPr>
          <w:p w14:paraId="5D90227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D87A5AB" w14:textId="0218F18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Vytvořit efektivní systémové, technologické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znalostí prostředí pro digitalizaci agend vykonávaných veřejnou správou. </w:t>
            </w:r>
          </w:p>
        </w:tc>
      </w:tr>
      <w:tr w:rsidR="00C42CDB" w:rsidRPr="00535CE0" w14:paraId="0D288CE0" w14:textId="77777777" w:rsidTr="33C5CFFC">
        <w:tc>
          <w:tcPr>
            <w:tcW w:w="2405" w:type="dxa"/>
          </w:tcPr>
          <w:p w14:paraId="7FD7757D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C340BD" w14:textId="13FD49BD" w:rsidR="00C42CDB" w:rsidRDefault="00C42CDB" w:rsidP="6D35A5C4">
            <w:pPr>
              <w:pStyle w:val="K-TextInfo"/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Rozvoj základních registrů (Registr osob, Registr obyvatel, Registr práv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povinností, Registr územní identifikace, adres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nemovitostí, Informační systém ORG), jejich modernizace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rozšíření v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souladu novými požadavky na rozsah jimi poskytovaných referenčních údajů. Součástí je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budování Informačního systému sdílené služby, který propojuje data z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jednotlivých </w:t>
            </w:r>
            <w:proofErr w:type="spellStart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agendových</w:t>
            </w:r>
            <w:proofErr w:type="spellEnd"/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 xml:space="preserve"> systémů,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tak vytváří základ propojeného datového fondu.</w:t>
            </w:r>
          </w:p>
          <w:p w14:paraId="39D9B5C8" w14:textId="77777777" w:rsidR="00096511" w:rsidRPr="00535CE0" w:rsidRDefault="00096511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Vytváření propojeného datového fondu ČR a propojení mezirezortních průřezových agend, tak aby občan nemusel obíhat úřady, ale data putovala napříč úřady.</w:t>
            </w:r>
          </w:p>
          <w:p w14:paraId="68973DBE" w14:textId="781B950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technologické infrastruktury veřejné správy včetně radikálního navýšení její přenosové kapacity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rozvojem sítí nové generace, implementací nových zákaznických služeb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 vysoce náročných na přenosovou kapacitu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propustnost infrastruktury (např.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digitalizací stavebního řízení je předpokládáno desetinásobné navýšení datového toku na centrálním uzlu oproti stavu r. 2020).  </w:t>
            </w:r>
          </w:p>
        </w:tc>
      </w:tr>
      <w:tr w:rsidR="00C42CDB" w:rsidRPr="00535CE0" w14:paraId="2AF651E3" w14:textId="77777777" w:rsidTr="33C5CFFC">
        <w:tc>
          <w:tcPr>
            <w:tcW w:w="2405" w:type="dxa"/>
          </w:tcPr>
          <w:p w14:paraId="67B12199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162DB94" w14:textId="1A701EC8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je složena z</w:t>
            </w:r>
            <w:r w:rsidR="7DB313A3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patnácti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vzájemně propojených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 sebe navazujících projektů (detailnější informace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Celkovou koordinaci bude vykonávat programová kancelář Digitální Česko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</w:t>
            </w:r>
            <w:r w:rsidR="00D6798F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Radou základních registrů – pracovní skupinou Rady vlády</w:t>
            </w:r>
            <w:bookmarkStart w:id="2" w:name="_GoBack"/>
            <w:bookmarkEnd w:id="2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 informační společnost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v případě </w:t>
            </w:r>
            <w:r w:rsidR="00253D48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průřezových infrastrukturních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projektů</w:t>
            </w:r>
            <w:r w:rsidR="00253D48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–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Pracovní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výbor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em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 rozvoj celkového prostředí podporujícího digitální technologie</w:t>
            </w:r>
            <w:r w:rsidR="00D838C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při Radě vlády pro informační společnost.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projektů na rozvoji Základních registrů (jako celku) na operativní úrovni pak bude realizovat Rada základních registrů.</w:t>
            </w:r>
            <w:r w:rsidR="00254FF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průřezových infrastrukturních projektů pak bude realizovat Pracovní výbor pro rozvoj celkového prostředí podporujícího digitální technologie příp. k tomuto účelu nově zřízená pra</w:t>
            </w:r>
            <w:r w:rsidR="00EC7227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covní skupina při Radě vlády pro informační společnost.</w:t>
            </w:r>
          </w:p>
          <w:p w14:paraId="0C09655E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čase vč. stavu naplňování jeho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188E6CF2" w14:textId="4D2145EE" w:rsidR="00047F03" w:rsidRPr="00AD592F" w:rsidRDefault="00047F03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návrhu architektonického modelu systému (souhlasné Stanovisko odboru hlavního architekta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) a podání informace na vládu o záměru učinit výdaj (na základě Usnesení vlády č. 86/2020).  </w:t>
            </w:r>
          </w:p>
        </w:tc>
      </w:tr>
      <w:tr w:rsidR="00C42CDB" w:rsidRPr="00535CE0" w14:paraId="3EB1A86B" w14:textId="77777777" w:rsidTr="33C5CFFC">
        <w:trPr>
          <w:trHeight w:val="70"/>
        </w:trPr>
        <w:tc>
          <w:tcPr>
            <w:tcW w:w="2405" w:type="dxa"/>
          </w:tcPr>
          <w:p w14:paraId="46B0405D" w14:textId="727108B6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72A213E3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EE1DF14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Český statistický úřad</w:t>
            </w:r>
          </w:p>
          <w:p w14:paraId="4A37E698" w14:textId="10848CE9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Český úřad zeměměři</w:t>
            </w:r>
            <w:r w:rsidR="003564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ký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katastrální</w:t>
            </w:r>
          </w:p>
          <w:p w14:paraId="5D963760" w14:textId="28DD8848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práce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sociálních věcí</w:t>
            </w:r>
          </w:p>
          <w:p w14:paraId="66D735C4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69367C83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Správa základních registrů</w:t>
            </w:r>
          </w:p>
          <w:p w14:paraId="6A53A566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Úřad pro ochranu osobních údajů</w:t>
            </w:r>
          </w:p>
          <w:p w14:paraId="25FD24E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1843702A" w14:textId="77777777" w:rsidR="000913CD" w:rsidRDefault="000913CD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7B7D8C81" w14:textId="54A6A637" w:rsidR="00C42CDB" w:rsidRPr="000913CD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Orgány veřejné správy</w:t>
            </w:r>
          </w:p>
          <w:p w14:paraId="1A8421D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5A13A51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</w:tc>
      </w:tr>
      <w:tr w:rsidR="00C42CDB" w:rsidRPr="00535CE0" w14:paraId="716FD0EE" w14:textId="77777777" w:rsidTr="33C5CFFC">
        <w:tc>
          <w:tcPr>
            <w:tcW w:w="2405" w:type="dxa"/>
          </w:tcPr>
          <w:p w14:paraId="4096DFC5" w14:textId="0FBD8E09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7136CAB" w14:textId="4803650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F3CCFBC" w14:textId="34D3795C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AFA43A1" w14:textId="4597DF1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0E013349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5F19290C" w14:textId="2A68F72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63488DAB" w14:textId="2E47229A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4F23BB10" w14:textId="77777777" w:rsidTr="33C5CFFC">
        <w:tc>
          <w:tcPr>
            <w:tcW w:w="2405" w:type="dxa"/>
          </w:tcPr>
          <w:p w14:paraId="69AF254E" w14:textId="04E6955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F37226F" w14:textId="614E24B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orgány veřejné správy využívající data základních registrů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propojeného datového fondu vč. krajských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municipalit. </w:t>
            </w:r>
          </w:p>
          <w:p w14:paraId="0130FB4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jejichž součástí jsou data ze základních registrů či propojeného datového fondu. Základním přínosem je princip „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only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once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“.</w:t>
            </w:r>
          </w:p>
        </w:tc>
      </w:tr>
      <w:tr w:rsidR="00C42CDB" w:rsidRPr="00535CE0" w14:paraId="62EEE942" w14:textId="77777777" w:rsidTr="33C5CFFC">
        <w:tc>
          <w:tcPr>
            <w:tcW w:w="2405" w:type="dxa"/>
          </w:tcPr>
          <w:p w14:paraId="28CC3579" w14:textId="57967408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D2C2E09" w14:textId="1941ACF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  <w:r w:rsidR="002A784F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84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2A784F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16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63A2498E" w14:textId="77777777" w:rsidTr="33C5CFFC">
        <w:tc>
          <w:tcPr>
            <w:tcW w:w="2405" w:type="dxa"/>
          </w:tcPr>
          <w:p w14:paraId="02776897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7646BF5F" w14:textId="77777777" w:rsidR="00244664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nezakládá veřejnou podporu.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57C011A6" w14:textId="7E71FEBE" w:rsidR="00244664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projekty budou realizovány v souladu s pravidly pro zadávání veřejných zakázek (otevřen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zajištěno, že stát bude za pořizované služby platit tržní ceny, nebude tedy poskytnuta žádná státní podpora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39F413A4" w14:textId="20868622" w:rsidR="00C42CDB" w:rsidRPr="00137447" w:rsidRDefault="00244664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Projekty v rámci této investice </w:t>
            </w:r>
            <w:proofErr w:type="spellStart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vytvářejní</w:t>
            </w:r>
            <w:proofErr w:type="spellEnd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základní stavební kameny a předpoklady pro digitalizaci veřejné moci. Na tomto základě lze státní podporu považovat za vyloučenou dle GT A/a/13.</w:t>
            </w:r>
          </w:p>
        </w:tc>
      </w:tr>
      <w:tr w:rsidR="00C42CDB" w:rsidRPr="00535CE0" w14:paraId="12B508BA" w14:textId="77777777" w:rsidTr="33C5CFFC">
        <w:tc>
          <w:tcPr>
            <w:tcW w:w="2405" w:type="dxa"/>
          </w:tcPr>
          <w:p w14:paraId="63ECA84C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Uveďte dobu implementace</w:t>
            </w:r>
          </w:p>
        </w:tc>
        <w:tc>
          <w:tcPr>
            <w:tcW w:w="7223" w:type="dxa"/>
          </w:tcPr>
          <w:p w14:paraId="0901520A" w14:textId="5A324E93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Plánovaná doba realizace je 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61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měsíců. Předpokládané dokončení je ve 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Q 202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6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CCF9CC1" w14:textId="1C5C89F5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211C5685" w14:textId="37F0B6E1" w:rsidR="002A784F" w:rsidRPr="002A784F" w:rsidRDefault="002A784F" w:rsidP="002A784F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2A784F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0"/>
        <w:gridCol w:w="1559"/>
      </w:tblGrid>
      <w:tr w:rsidR="007B6CF7" w:rsidRPr="002A784F" w14:paraId="77497238" w14:textId="77777777" w:rsidTr="007B6CF7">
        <w:trPr>
          <w:trHeight w:val="360"/>
        </w:trPr>
        <w:tc>
          <w:tcPr>
            <w:tcW w:w="8070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0ABCA423" w14:textId="77777777" w:rsidR="007B6CF7" w:rsidRPr="002A784F" w:rsidRDefault="007B6CF7" w:rsidP="002A784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59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27883090" w14:textId="443A41DC" w:rsidR="007B6CF7" w:rsidRPr="007B6CF7" w:rsidRDefault="007B6CF7" w:rsidP="002A784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7B6CF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626E98BD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7AFD66A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CMS – posílení centrálních komponent v souvislosti se zavedením digitálního stavebního řízení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0BB08352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600,75</w:t>
            </w:r>
          </w:p>
        </w:tc>
      </w:tr>
      <w:tr w:rsidR="007B6CF7" w:rsidRPr="002A784F" w14:paraId="0BC70CD4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7E66DCA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Informační systém </w:t>
            </w:r>
            <w:proofErr w:type="spell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cloud</w:t>
            </w:r>
            <w:proofErr w:type="spell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computingu</w:t>
            </w:r>
            <w:proofErr w:type="spell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Portál </w:t>
            </w:r>
            <w:proofErr w:type="spell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eGovernment</w:t>
            </w:r>
            <w:proofErr w:type="spell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cloud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47873FD1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23,18</w:t>
            </w:r>
          </w:p>
        </w:tc>
      </w:tr>
      <w:tr w:rsidR="007B6CF7" w:rsidRPr="002A784F" w14:paraId="7CE20635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E43D1CB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Modernizace a optimalizace MPLS komunikační a informační infrastruktury MV (ITS)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7B1285E3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570,00</w:t>
            </w:r>
          </w:p>
        </w:tc>
      </w:tr>
      <w:tr w:rsidR="007B6CF7" w:rsidRPr="002A784F" w14:paraId="7BF364E3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6152D2C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MPSV - Pořízení</w:t>
            </w:r>
            <w:proofErr w:type="gram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softwarově definovaného DC a obnova systémových prostředků DC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4A4A1278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82,64</w:t>
            </w:r>
          </w:p>
        </w:tc>
      </w:tr>
      <w:tr w:rsidR="007B6CF7" w:rsidRPr="002A784F" w14:paraId="7C31EFE9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37256B8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Národní certifikační autorita (NCA)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018388D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</w:tr>
      <w:tr w:rsidR="007B6CF7" w:rsidRPr="002A784F" w14:paraId="169FE50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22CDB69E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Navyšování kapacity datových center a datových úložišť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5EE8369C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243,00</w:t>
            </w:r>
          </w:p>
        </w:tc>
      </w:tr>
      <w:tr w:rsidR="007B6CF7" w:rsidRPr="002A784F" w14:paraId="1190A475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F231D7C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Obměna HW/SW na ZR (dodatečné požadavky)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0D1D285D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150,00</w:t>
            </w:r>
          </w:p>
        </w:tc>
      </w:tr>
      <w:tr w:rsidR="007B6CF7" w:rsidRPr="002A784F" w14:paraId="13FA5068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501C975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ROS - 2020+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24242B8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38,84</w:t>
            </w:r>
          </w:p>
        </w:tc>
      </w:tr>
      <w:tr w:rsidR="007B6CF7" w:rsidRPr="002A784F" w14:paraId="4DE419D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4EB67B9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ROS - IAIS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78D73097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10,74</w:t>
            </w:r>
          </w:p>
        </w:tc>
      </w:tr>
      <w:tr w:rsidR="007B6CF7" w:rsidRPr="002A784F" w14:paraId="231A5BE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2C15FFF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Rozvoj </w:t>
            </w: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NIA - systém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plní požadavky zákona 250/2017 Sb. o elektronické identifikaci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1D2DF613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</w:tr>
      <w:tr w:rsidR="007B6CF7" w:rsidRPr="002A784F" w14:paraId="5A26231A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545AA27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Rozvoj ROB a souvisejících AIS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608C35FB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</w:tr>
      <w:tr w:rsidR="007B6CF7" w:rsidRPr="002A784F" w14:paraId="7C7D7624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41D95C2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RÚIAN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6A470B44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45,00</w:t>
            </w:r>
          </w:p>
        </w:tc>
      </w:tr>
      <w:tr w:rsidR="007B6CF7" w:rsidRPr="002A784F" w14:paraId="7CE2603D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42A412E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SZR - ISZR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ISSS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9B6D369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183,00</w:t>
            </w:r>
          </w:p>
        </w:tc>
      </w:tr>
      <w:tr w:rsidR="007B6CF7" w:rsidRPr="002A784F" w14:paraId="582E243E" w14:textId="77777777" w:rsidTr="007B6CF7">
        <w:trPr>
          <w:trHeight w:val="4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1392F4DB" w14:textId="77777777" w:rsidR="007B6CF7" w:rsidRPr="002A784F" w:rsidRDefault="007B6C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sz w:val="20"/>
                <w:szCs w:val="20"/>
              </w:rPr>
              <w:t xml:space="preserve">Vybudování 1.etapy státní částí </w:t>
            </w:r>
            <w:proofErr w:type="spellStart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eGovernment</w:t>
            </w:r>
            <w:proofErr w:type="spellEnd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cloudu</w:t>
            </w:r>
            <w:proofErr w:type="spellEnd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 xml:space="preserve"> (Druhá etapa datového centra </w:t>
            </w:r>
            <w:proofErr w:type="spellStart"/>
            <w:proofErr w:type="gramStart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eGovernmentu</w:t>
            </w:r>
            <w:proofErr w:type="spellEnd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 xml:space="preserve"> - Zeleneč</w:t>
            </w:r>
            <w:proofErr w:type="gramEnd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25EF0387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222,00</w:t>
            </w:r>
          </w:p>
        </w:tc>
      </w:tr>
      <w:tr w:rsidR="007B6CF7" w:rsidRPr="002A784F" w14:paraId="10102B76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D313177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Vybudování referenčního rozhraní PPDF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352B691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255,00</w:t>
            </w:r>
          </w:p>
        </w:tc>
      </w:tr>
    </w:tbl>
    <w:p w14:paraId="25254031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13BD5A6E" w14:textId="2079D277" w:rsidR="00C42CDB" w:rsidRPr="003A17B4" w:rsidRDefault="00C42CDB" w:rsidP="33C5CFFC">
      <w:pPr>
        <w:spacing w:after="120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Budování a</w:t>
      </w:r>
      <w:r w:rsidR="00EE51EC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 </w:t>
      </w: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rozvoj </w:t>
      </w:r>
      <w:r w:rsidR="2482F149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jednotlivých</w:t>
      </w: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 informačních systémů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A68B5B3" w14:textId="77777777" w:rsidTr="3A842B16">
        <w:tc>
          <w:tcPr>
            <w:tcW w:w="2405" w:type="dxa"/>
          </w:tcPr>
          <w:p w14:paraId="6242D7E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96247C9" w14:textId="2F5CB5D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 rámci veřejné správy existuje výrazný technologický deficit u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jednotlivých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agendových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informačních systémů, které jsou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mnoha případech staré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více jak 10 let, postavené na dnes již nepodporovaných technologiích, budované jako monolitické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velice obtížně propojitelné či připojitelné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centrálním službám. Tyto systémy pak brání plné digitalizaci jednotlivých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</w:tc>
      </w:tr>
      <w:tr w:rsidR="00C42CDB" w:rsidRPr="00535CE0" w14:paraId="6B6AB891" w14:textId="77777777" w:rsidTr="3A842B16">
        <w:tc>
          <w:tcPr>
            <w:tcW w:w="2405" w:type="dxa"/>
          </w:tcPr>
          <w:p w14:paraId="6E0F5909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DD79345" w14:textId="52A5D51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Vybudovat moderní informační systémy postavené na modulární architektuře podporující snadnou propojitelnost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  <w:p w14:paraId="3239B893" w14:textId="6B517F10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Vytvoření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rozvoj stávajících či nových funkcionalit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backendových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informačních systémů jednotlivých orgánů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institucí, které slouží především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vlastnímu výkonu agend. Hlavní důraz je zde kladen na komplexní digitalizaci těchto systémů,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tedy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úřadů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vzájemné předávání dat mezi systémy prostřednictvím propojeného datového fondu. </w:t>
            </w:r>
          </w:p>
        </w:tc>
      </w:tr>
      <w:tr w:rsidR="00C42CDB" w:rsidRPr="00535CE0" w14:paraId="0C5F33C3" w14:textId="77777777" w:rsidTr="3A842B16">
        <w:tc>
          <w:tcPr>
            <w:tcW w:w="2405" w:type="dxa"/>
          </w:tcPr>
          <w:p w14:paraId="7837725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22B0B9E" w14:textId="0543758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je složena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255A767B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šestnácti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projektů, které jsou částečně vzájemně propojené či na sebe navazující (detailnější informace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jednotlivých projektech viz Příloha). Jejich koordinaci bude vykonávat programová kancelář Digitální Česko ve spolupráci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jednotlivými gestory projektů. </w:t>
            </w:r>
          </w:p>
          <w:p w14:paraId="7E03ECA4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486957EE" w14:textId="0E2335D2" w:rsidR="00047F03" w:rsidRPr="00AD592F" w:rsidRDefault="00047F03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tvorby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architektonického modelu systému (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souhlasné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tanovisko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odboru hlavního architekta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a 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podání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62FDF4FA" w14:textId="77777777" w:rsidTr="3A842B16">
        <w:trPr>
          <w:trHeight w:val="70"/>
        </w:trPr>
        <w:tc>
          <w:tcPr>
            <w:tcW w:w="2405" w:type="dxa"/>
          </w:tcPr>
          <w:p w14:paraId="3B517258" w14:textId="3886CB6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E9C5DC7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0FC683E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Česká správa sociálního zabezpečení</w:t>
            </w:r>
          </w:p>
          <w:p w14:paraId="4DBEB18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kultury</w:t>
            </w:r>
          </w:p>
          <w:p w14:paraId="27AE1B08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D4FCD3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59805926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2BE8DA0D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krajské úřady</w:t>
            </w:r>
          </w:p>
          <w:p w14:paraId="1F01F6F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7163AF0A" w14:textId="0018CF85" w:rsidR="00C42CDB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Muzea</w:t>
            </w:r>
          </w:p>
          <w:p w14:paraId="52DDCB6D" w14:textId="1CE96E5E" w:rsidR="00E81962" w:rsidRDefault="00E81962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296D590C" w14:textId="0D9D70E7" w:rsidR="004634D8" w:rsidRPr="00535CE0" w:rsidRDefault="004634D8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Organizace zřizované orgány veřejné správy</w:t>
            </w:r>
          </w:p>
        </w:tc>
      </w:tr>
      <w:tr w:rsidR="00C42CDB" w:rsidRPr="00535CE0" w14:paraId="6AB5FBA6" w14:textId="77777777" w:rsidTr="3A842B16">
        <w:tc>
          <w:tcPr>
            <w:tcW w:w="2405" w:type="dxa"/>
          </w:tcPr>
          <w:p w14:paraId="43AC0FEF" w14:textId="132C96C0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3AEC19FE" w14:textId="028ECCB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schvalování nové legislativy</w:t>
            </w:r>
          </w:p>
          <w:p w14:paraId="0EADFAC5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437A14B5" w14:textId="40AC083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Rychlé ustanovení vlády po volbách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10/2021</w:t>
            </w:r>
          </w:p>
          <w:p w14:paraId="3D7945FC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707EB367" w14:textId="538A94D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47B574F9" w14:textId="5839C352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755465B" w14:textId="19DD353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3D78D8FE" w14:textId="61949EB3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vydávání stanovisek OHA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60294A2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2B0DED98" w14:textId="14AC3DDE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5060A1A1" w14:textId="348BFDC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26258D48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Riziko je nutné akceptovat. </w:t>
            </w:r>
          </w:p>
          <w:p w14:paraId="09A9DD4C" w14:textId="137DF10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49B73CA" w14:textId="15B6D850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11C6CDEB" w14:textId="77777777" w:rsidTr="3A842B16">
        <w:tc>
          <w:tcPr>
            <w:tcW w:w="2405" w:type="dxa"/>
          </w:tcPr>
          <w:p w14:paraId="62840564" w14:textId="5107335F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DCFB15B" w14:textId="3221200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23D3DCB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5C83777E" w14:textId="77777777" w:rsidTr="3A842B16">
        <w:tc>
          <w:tcPr>
            <w:tcW w:w="2405" w:type="dxa"/>
          </w:tcPr>
          <w:p w14:paraId="12D672C3" w14:textId="58A23A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47FD53C5" w14:textId="7DDB866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31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29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7D25C347" w14:textId="77777777" w:rsidTr="3A842B16">
        <w:tc>
          <w:tcPr>
            <w:tcW w:w="2405" w:type="dxa"/>
          </w:tcPr>
          <w:p w14:paraId="3A8C0F31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F210ADA" w14:textId="77777777" w:rsidR="00505945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nezakládá veřejnou podporu.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2A2F8C4A" w14:textId="2D296CE9" w:rsidR="00C42CDB" w:rsidRPr="00137447" w:rsidRDefault="00505945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Agendové</w:t>
            </w:r>
            <w:proofErr w:type="spellEnd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 systémy slouží k výkonu veřejné moci. Státní podporu lze tedy považovat za vyloučenou, neboť se jedná o digitalizaci výkonu státní moci dle GT A/a/13. Zároveň budou j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ednotlivé projekty realizovány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18C649AB" w14:textId="77777777" w:rsidTr="3A842B16">
        <w:tc>
          <w:tcPr>
            <w:tcW w:w="2405" w:type="dxa"/>
          </w:tcPr>
          <w:p w14:paraId="2CC1772D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505C0E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0A04E03E" w14:textId="26690101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495C3C5" w14:textId="77777777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4"/>
        <w:gridCol w:w="1234"/>
      </w:tblGrid>
      <w:tr w:rsidR="007B6CF7" w:rsidRPr="009B54CC" w14:paraId="06E1CA42" w14:textId="77777777" w:rsidTr="007B6CF7">
        <w:trPr>
          <w:trHeight w:val="360"/>
        </w:trPr>
        <w:tc>
          <w:tcPr>
            <w:tcW w:w="835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hideMark/>
          </w:tcPr>
          <w:p w14:paraId="46B97B39" w14:textId="77777777" w:rsidR="007B6CF7" w:rsidRPr="009B54CC" w:rsidRDefault="007B6CF7" w:rsidP="009B54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234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593E69E7" w14:textId="3A5B4403" w:rsidR="007B6CF7" w:rsidRPr="009B54CC" w:rsidRDefault="007B6CF7" w:rsidP="009B54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27D2E473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F190D29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Agendový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integrovaný cizinecký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agendový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systém (ICAS)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5C7DD632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300,00</w:t>
            </w:r>
          </w:p>
        </w:tc>
      </w:tr>
      <w:tr w:rsidR="007B6CF7" w:rsidRPr="009B54CC" w14:paraId="2B3AF339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092D1CA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Centralizace OSVČ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71216B4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80,00</w:t>
            </w:r>
          </w:p>
        </w:tc>
      </w:tr>
      <w:tr w:rsidR="007B6CF7" w:rsidRPr="009B54CC" w14:paraId="6EE6F7CC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F9191E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EESSI v národních APV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23D2331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120,00</w:t>
            </w:r>
          </w:p>
        </w:tc>
      </w:tr>
      <w:tr w:rsidR="007B6CF7" w:rsidRPr="009B54CC" w14:paraId="08A9A3EF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2DBD4A9E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GRIS - Grantový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 systém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E564C7E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20,00</w:t>
            </w:r>
          </w:p>
        </w:tc>
      </w:tr>
      <w:tr w:rsidR="007B6CF7" w:rsidRPr="009B54CC" w14:paraId="71E58D33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F02B6C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LPS - Lékařská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posudková služba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A33A40A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98,00</w:t>
            </w:r>
          </w:p>
        </w:tc>
      </w:tr>
      <w:tr w:rsidR="007B6CF7" w:rsidRPr="009B54CC" w14:paraId="5B53EE98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E66D950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Odkládání historických </w:t>
            </w: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 - optimalizace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agend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41964C26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50,00</w:t>
            </w:r>
          </w:p>
        </w:tc>
      </w:tr>
      <w:tr w:rsidR="007B6CF7" w:rsidRPr="009B54CC" w14:paraId="7CA08F51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3DF523A5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Rezortní systém elektronické spisové služby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4AB03848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55,00</w:t>
            </w:r>
          </w:p>
        </w:tc>
      </w:tr>
      <w:tr w:rsidR="007B6CF7" w:rsidRPr="009B54CC" w14:paraId="6FE97D4F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36A72158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Roll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out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CAAIS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B341464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34,00</w:t>
            </w:r>
          </w:p>
        </w:tc>
      </w:tr>
      <w:tr w:rsidR="007B6CF7" w:rsidRPr="009B54CC" w14:paraId="07E2B6F7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B79326A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Roll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out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CzechPOINT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2.0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30EAFDF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54,00</w:t>
            </w:r>
          </w:p>
        </w:tc>
      </w:tr>
      <w:tr w:rsidR="007B6CF7" w:rsidRPr="009B54CC" w14:paraId="6E517D9D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F91DE46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SIS_0_Centrální autentizační bod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4902143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4,00</w:t>
            </w:r>
          </w:p>
        </w:tc>
      </w:tr>
      <w:tr w:rsidR="007B6CF7" w:rsidRPr="009B54CC" w14:paraId="03279D07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hideMark/>
          </w:tcPr>
          <w:p w14:paraId="474CE2C0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SIS_5_Soustava statistických registrů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39DA153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20,00</w:t>
            </w:r>
          </w:p>
        </w:tc>
      </w:tr>
      <w:tr w:rsidR="007B6CF7" w:rsidRPr="009B54CC" w14:paraId="591E776D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hideMark/>
          </w:tcPr>
          <w:p w14:paraId="21BFC978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Správa a evidence muzejních sbírek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1633A526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77,00</w:t>
            </w:r>
          </w:p>
        </w:tc>
      </w:tr>
      <w:tr w:rsidR="007B6CF7" w:rsidRPr="009B54CC" w14:paraId="68C1DA82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0D87A53" w14:textId="0B7565D9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agendového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informačního systému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ePasy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dle novely Zákona o cestovních dokladech č. 329/199 Sb.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2347FA2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2,80</w:t>
            </w:r>
          </w:p>
        </w:tc>
      </w:tr>
      <w:tr w:rsidR="007B6CF7" w:rsidRPr="009B54CC" w14:paraId="2B1D31E9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FE8A512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agendového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informačního systému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ePasy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dle NAP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7EF45F7E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2,00</w:t>
            </w:r>
          </w:p>
        </w:tc>
      </w:tr>
      <w:tr w:rsidR="007B6CF7" w:rsidRPr="009B54CC" w14:paraId="032A7C9B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A107BD5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agendového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informačního systému EVC2 dle programu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euINIS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456B10A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3,32</w:t>
            </w:r>
          </w:p>
        </w:tc>
      </w:tr>
      <w:tr w:rsidR="007B6CF7" w:rsidRPr="009B54CC" w14:paraId="7DFF5022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FFAF8B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agendového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informačního systému EVC2 dle prováděcího rozhodnutí EK z 30.4.2020 o zavedení digitální pečeti na jednotném vzoru víz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E695D39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11,17</w:t>
            </w:r>
          </w:p>
        </w:tc>
      </w:tr>
    </w:tbl>
    <w:p w14:paraId="2558392A" w14:textId="77777777" w:rsidR="009B54CC" w:rsidRPr="00535CE0" w:rsidRDefault="009B54CC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781B6A0F" w14:textId="27B45D9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Kybernetická bezpečnost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1D27621E" w14:textId="77777777" w:rsidTr="33C5CFFC">
        <w:tc>
          <w:tcPr>
            <w:tcW w:w="2405" w:type="dxa"/>
          </w:tcPr>
          <w:p w14:paraId="4EC0C2D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3FFF358" w14:textId="48137B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Nedostatečné zajištění kybernetické bezpečnosti centrálních úřadů, institucí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 zdravotnických služeb. </w:t>
            </w:r>
            <w:r w:rsidR="00CA201E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Dle Zprávy o stavu kybernetické bezpečnosti za rok 2019, kterou publikoval NÚKIB, dochází k nárůstu počtu kybernetických útoků proti institucím, organizacím a firmám v České republice. Terčem kybernetických útoků se v roce 2020 opakovaně stala i zdravotnická zařízení. S ohledem na zvyšující se počet kybernetických útoků je žádoucí u zmíněných subjektů kontinuálně pracovat na navyšovaní úrovně kybernetické bezpečnosti.</w:t>
            </w:r>
          </w:p>
        </w:tc>
      </w:tr>
      <w:tr w:rsidR="00C42CDB" w:rsidRPr="00535CE0" w14:paraId="678CE67B" w14:textId="77777777" w:rsidTr="33C5CFFC">
        <w:tc>
          <w:tcPr>
            <w:tcW w:w="2405" w:type="dxa"/>
          </w:tcPr>
          <w:p w14:paraId="0AEBE90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7565F26" w14:textId="284EB2F7" w:rsidR="00C42CDB" w:rsidRPr="00535CE0" w:rsidRDefault="00261952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Zvýšit úroveň kybernetické bezpečnosti u centrálních úřadů, institucí, poskytovatelů zdravotnických služeb a dalších subjektů dle zákona o kybernetické bezpečnosti a souvisejících předpisů. </w:t>
            </w:r>
          </w:p>
        </w:tc>
      </w:tr>
      <w:tr w:rsidR="00C42CDB" w:rsidRPr="00535CE0" w14:paraId="25445EC3" w14:textId="77777777" w:rsidTr="33C5CFFC">
        <w:tc>
          <w:tcPr>
            <w:tcW w:w="2405" w:type="dxa"/>
          </w:tcPr>
          <w:p w14:paraId="2372E6EF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0CF8BC7" w14:textId="77777777" w:rsidR="00BC66D9" w:rsidRDefault="009A4494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Budování digitalizované infrastruktury veřejné správy musí probíhat s maximálním důrazem na zajištění kybernetické bezpečnosti již v počátcích samotné výstavby. Samotný chod celé infrastruktury a její správa však musí také dbát na vysokou míru zabezpečení proti kybernetickým hrozbám. V tomto směru je potřeba reflektovat aktuální bezpečnostní situaci, pravidelně provádět koordinovanou a kontinuální analýzu hrozeb a rizik a na jejím základě přijímat patřičná opatření. </w:t>
            </w:r>
          </w:p>
          <w:p w14:paraId="0A122808" w14:textId="73E1BFD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je složena ze </w:t>
            </w:r>
            <w:r w:rsidR="71DD9D14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šesti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částečně vzájemně propojených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jednoho samostatného programu (detailněji viz Příloha). 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Tyto projekty (a program) budou realizovány s ohledem na vize a cíle definované Národní strategií kybernetické bezpečnosti České republiky</w:t>
            </w:r>
            <w:r w:rsidR="00CC013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zákon o kybernetické bezpečnosti</w:t>
            </w:r>
            <w:r w:rsidR="00CC013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související předpisy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programová kancelář Digitální Česko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Národním centrem elektronizace zdravotnictví, Ministerstvem vnitra jako gestorem kybernetické bezpečnosti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centrálních systémů kybernetické bezpečnosti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zahraničních věcí. </w:t>
            </w:r>
          </w:p>
          <w:p w14:paraId="75968023" w14:textId="1E2BD91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29BEB8A0" w14:textId="28C77A7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Nositelem programu Kybernetické bezpečnosti poskytovatelů zdravotní péče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Praze je Ministerstvo zdravotnictví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Národním centrem elektronizace zdravotnictví.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vytvoří </w:t>
            </w:r>
            <w:r w:rsidR="004C1832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 základě Minimálního bezpečnostního standardu (</w:t>
            </w:r>
            <w:r w:rsidR="00FE1A1B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vydaného NÚKIB) vlastní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standardy kybernetické bezpečnosti</w:t>
            </w:r>
            <w:r w:rsidR="009A3A8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se zahrnutím specifik </w:t>
            </w:r>
            <w:r w:rsidR="0069496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poskytovatelů </w:t>
            </w:r>
            <w:r w:rsidR="2EB9A0C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zdravo</w:t>
            </w:r>
            <w:r w:rsidR="2659E72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</w:t>
            </w:r>
            <w:r w:rsidR="2EB9A0C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ní</w:t>
            </w:r>
            <w:r w:rsidR="0069496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péče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 </w:t>
            </w:r>
            <w:r w:rsidRPr="3A842B1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  <w:p w14:paraId="14BD99FC" w14:textId="1F5366C6" w:rsidR="00C42CDB" w:rsidRPr="00535CE0" w:rsidRDefault="00C42CDB" w:rsidP="6D35A5C4">
            <w:pPr>
              <w:pStyle w:val="K-TextInfo"/>
              <w:spacing w:after="0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do oblasti kybernetické bezpečnosti je zaměřena především na centrální orgány státní správy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resortu Ministerstva zdravotnictví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 poskytovatele zdravotních služeb ve smyslu zákona č. 372/2011 Sb., působící na území hl. m. Prahy, přičemž cílem investice je zajištění rozvoje kybernetické bezpečnosti těchto organizací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jimi provozovaných informačních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obecně zvýšení odolnosti státní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organizací poskytujících zdravotní služby. </w:t>
            </w:r>
          </w:p>
          <w:p w14:paraId="48C91371" w14:textId="5CA36D23" w:rsidR="00C42CDB" w:rsidRPr="00535CE0" w:rsidRDefault="00C42CDB" w:rsidP="3A842B16">
            <w:pPr>
              <w:pStyle w:val="K-TextInfo"/>
              <w:spacing w:after="0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Inovativnost investice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nastolení komplexního přístupu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zajištění kybernetické bezpečnosti napříč sektorem zdravotních služeb, přičemž bude pokrývat výraznou většinu komponent jak centrální, tak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lokální ICT infrastruktury ve zdravotnictví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cílovém regionu. Zaměří se na (i) zajištění podmínek pro bezproblémové fungování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informačních služeb;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budování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znalostní základny, umožňující prevenci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detekci hrozeb, včetně definice účelného postupu pro jejich předcházení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mitigaci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iii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podporu partnerů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plnění závazků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oblasti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legislativou, legislativou EU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přijatými strategiemi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této oblasti;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iv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zajištění rozvoje bezpečnostních infrastruktury informačních systémů provozovatelů základní služby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bezpečnosti informační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komunikační infrastruktury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sektoru zdravotnictví; (v) budování důvěry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efektivního modelu spolupráce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národním </w:t>
            </w:r>
            <w:r w:rsidR="008B032D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vládním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CERT (národním koordinačním místem pro okamžitou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reakci na kybernetické bezpečnostní incidenty provozovaným Národním úřadem pro kybernetickou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informační bezpečnost)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resortním kompetenčním centrem kybernetické bezpečnosti (součást Národního centra elektronického zdravotnictví).</w:t>
            </w:r>
          </w:p>
          <w:p w14:paraId="04C02984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Dílčí projekty budu realizovány poskytovateli zdravotních služeb ve spolupráci se specializovanými organizacemi za podmínek KPI stanovených Národním centrem elektronického zdravotnictví.</w:t>
            </w:r>
          </w:p>
          <w:p w14:paraId="64FBA70C" w14:textId="09047E34" w:rsidR="00E21279" w:rsidRPr="00AD592F" w:rsidRDefault="00E21279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tvorby architektonického modelu služby či systému (jako podkladu pro Stanovisko odboru hlavního architekta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) a podání informace na vládu o záměru učinit výdaj (na základě Usnesení vlády č. 86/2020).  </w:t>
            </w:r>
          </w:p>
        </w:tc>
      </w:tr>
      <w:tr w:rsidR="00C42CDB" w:rsidRPr="00535CE0" w14:paraId="5E2C5C1B" w14:textId="77777777" w:rsidTr="33C5CFFC">
        <w:trPr>
          <w:trHeight w:val="70"/>
        </w:trPr>
        <w:tc>
          <w:tcPr>
            <w:tcW w:w="2405" w:type="dxa"/>
          </w:tcPr>
          <w:p w14:paraId="4AF42BCA" w14:textId="5742260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1440D321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programů jsou:</w:t>
            </w:r>
          </w:p>
          <w:p w14:paraId="15F05E4D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415E641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Ministerstvo zdravotnictví </w:t>
            </w:r>
          </w:p>
          <w:p w14:paraId="5D33E349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2AA3422F" w14:textId="47D8ECF8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jím zřizované organizace</w:t>
            </w:r>
          </w:p>
          <w:p w14:paraId="542ED6A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23EE56E8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centrum elektronizace zdravotnictví</w:t>
            </w:r>
          </w:p>
          <w:p w14:paraId="0988D4A2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6151EFDD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5745BF89" w14:textId="423BBEE0" w:rsidR="00D77658" w:rsidRDefault="00D77658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09167018" w14:textId="51910047" w:rsidR="00E81962" w:rsidRDefault="00E81962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1F6BE726" w14:textId="1E845F39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úřady, které jsou zřizovateli poskytovatelů zdravotnických služeb</w:t>
            </w:r>
          </w:p>
          <w:p w14:paraId="098F6BE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Municipality, které jsou zřizovateli poskytovatelů zdravotnických služeb</w:t>
            </w:r>
          </w:p>
        </w:tc>
      </w:tr>
      <w:tr w:rsidR="00C42CDB" w:rsidRPr="00535CE0" w14:paraId="37C50E15" w14:textId="77777777" w:rsidTr="33C5CFFC">
        <w:tc>
          <w:tcPr>
            <w:tcW w:w="2405" w:type="dxa"/>
          </w:tcPr>
          <w:p w14:paraId="66D65F0F" w14:textId="0AD9D6D4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4909A7D4" w14:textId="1851B8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127840A4" w14:textId="3854ECAC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zadávacích dokumentací využity eskalační procedury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následně využity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2A549824" w14:textId="320D4D6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0A5D5846" w14:textId="09B24BB9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vydávání stanovisek OHA využity eskalační procedury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3A103BF0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1BD83D1B" w14:textId="2BEF6D9C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</w:p>
          <w:p w14:paraId="51AD0342" w14:textId="6C1928B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7562DBA2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C90BBD4" w14:textId="56631DA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0782961A" w14:textId="38C82422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K eliminaci rizika slouží vícestupňový dohled nad realizací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současně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center, která budou moci poskytnout specialisty pro řešení situace.</w:t>
            </w:r>
          </w:p>
        </w:tc>
      </w:tr>
      <w:tr w:rsidR="00C42CDB" w:rsidRPr="00535CE0" w14:paraId="59D1B3D4" w14:textId="77777777" w:rsidTr="33C5CFFC">
        <w:tc>
          <w:tcPr>
            <w:tcW w:w="2405" w:type="dxa"/>
          </w:tcPr>
          <w:p w14:paraId="1DB9FCAB" w14:textId="4F03AE8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031EF914" w14:textId="0CCB051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5646164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26652A46" w14:textId="77777777" w:rsidTr="33C5CFFC">
        <w:tc>
          <w:tcPr>
            <w:tcW w:w="2405" w:type="dxa"/>
          </w:tcPr>
          <w:p w14:paraId="5CECBD88" w14:textId="2984AD0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012FEB5E" w14:textId="6E3469D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26</w:t>
            </w:r>
            <w:r w:rsidR="06A58C81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94,96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mil. Kč.</w:t>
            </w:r>
          </w:p>
        </w:tc>
      </w:tr>
      <w:tr w:rsidR="00C42CDB" w:rsidRPr="00535CE0" w14:paraId="640C2755" w14:textId="77777777" w:rsidTr="33C5CFFC">
        <w:tc>
          <w:tcPr>
            <w:tcW w:w="2405" w:type="dxa"/>
          </w:tcPr>
          <w:p w14:paraId="121390F5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CE8FE01" w14:textId="77777777" w:rsidR="00505945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nezakládá veřejnou podporu. </w:t>
            </w:r>
          </w:p>
          <w:p w14:paraId="13ACB799" w14:textId="4603619F" w:rsidR="00C42CDB" w:rsidRPr="00535CE0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udou realizovány v souladu s pravidly pro zadávání veřejných zakázek (otevřen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00505945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Zároveň realizace projektů přispívá k bezpečnému výkonu veřejné moci. Státní podporu lze tedy považovat za vyloučenou dle GT A/a/13.</w:t>
            </w:r>
          </w:p>
        </w:tc>
      </w:tr>
      <w:tr w:rsidR="00C42CDB" w:rsidRPr="00535CE0" w14:paraId="45111658" w14:textId="77777777" w:rsidTr="33C5CFFC">
        <w:tc>
          <w:tcPr>
            <w:tcW w:w="2405" w:type="dxa"/>
          </w:tcPr>
          <w:p w14:paraId="414DD9A8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2A3E83B" w14:textId="20F0372A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Plánovaná doba realizace je 58 měsíců. Předpokládané dokončení je ve 4Q </w:t>
            </w:r>
            <w:r w:rsidRPr="07B310C3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202</w:t>
            </w:r>
            <w:r w:rsidR="00FA57A1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B9311EC" w14:textId="7A6D64E9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580A7126" w14:textId="77777777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4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8"/>
        <w:gridCol w:w="1559"/>
      </w:tblGrid>
      <w:tr w:rsidR="007B6CF7" w:rsidRPr="009B54CC" w14:paraId="28D4B782" w14:textId="77777777" w:rsidTr="007B6CF7">
        <w:trPr>
          <w:trHeight w:val="360"/>
        </w:trPr>
        <w:tc>
          <w:tcPr>
            <w:tcW w:w="7928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hideMark/>
          </w:tcPr>
          <w:p w14:paraId="72C2D356" w14:textId="77777777" w:rsidR="007B6CF7" w:rsidRPr="009B54CC" w:rsidRDefault="007B6CF7" w:rsidP="009B54C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59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29B9805E" w14:textId="70E753EC" w:rsidR="007B6CF7" w:rsidRPr="009B54CC" w:rsidRDefault="007B6CF7" w:rsidP="009B54C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7D02BD4B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0390B911" w14:textId="2DD7B879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Digitální transformace úřadu za účelem zvýšení kybernetické bezpečnosti a zlepšení poskytování služeb občanovi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5F627AC9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804,96</w:t>
            </w:r>
          </w:p>
        </w:tc>
      </w:tr>
      <w:tr w:rsidR="007B6CF7" w:rsidRPr="009B54CC" w14:paraId="1ED5891F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6D24D477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Implementace požadavků zákona č. 181/2014 Sb., o kybernetické bezpečnosti, kybernetická bezpečnost SZR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12BCFE5B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</w:tr>
      <w:tr w:rsidR="007B6CF7" w:rsidRPr="009B54CC" w14:paraId="07DF16F9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00FA2F93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Kybernetická </w:t>
            </w:r>
            <w:proofErr w:type="gramStart"/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bezpečnost - zákon</w:t>
            </w:r>
            <w:proofErr w:type="gramEnd"/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č. 181/2014 Sb.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28A3E140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350,00</w:t>
            </w:r>
          </w:p>
        </w:tc>
      </w:tr>
      <w:tr w:rsidR="007B6CF7" w:rsidRPr="009B54CC" w14:paraId="770F62D1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1480FAEE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Kybernetická bezpečnost IIS ČSSZ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325D7C1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40,00</w:t>
            </w:r>
          </w:p>
        </w:tc>
      </w:tr>
      <w:tr w:rsidR="007B6CF7" w:rsidRPr="009B54CC" w14:paraId="23DE41BB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244EEA7B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Kybernetická bezpečnost nemocnic v Praze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73B5160F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990,00</w:t>
            </w:r>
          </w:p>
        </w:tc>
      </w:tr>
      <w:tr w:rsidR="007B6CF7" w:rsidRPr="009B54CC" w14:paraId="3221C868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208C5B48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Modernizace a zabezpečení provozní infrastruktury a digitalizace Policie ČR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507CD36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400,00</w:t>
            </w:r>
          </w:p>
        </w:tc>
      </w:tr>
      <w:tr w:rsidR="007B6CF7" w:rsidRPr="009B54CC" w14:paraId="6704C8D8" w14:textId="77777777" w:rsidTr="007B6CF7">
        <w:trPr>
          <w:trHeight w:val="34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55120D21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Zajištění zvýšení kybernetické bezpečnosti Policie ČR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8989305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</w:tbl>
    <w:p w14:paraId="40A282C8" w14:textId="77777777" w:rsidR="009B54CC" w:rsidRPr="00535CE0" w:rsidRDefault="009B54CC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1423706A" w14:textId="3A810AAB" w:rsidR="00C42CDB" w:rsidRPr="003A17B4" w:rsidRDefault="00C42CDB" w:rsidP="003A17B4">
      <w:pPr>
        <w:spacing w:after="200" w:line="276" w:lineRule="auto"/>
        <w:rPr>
          <w:rStyle w:val="K-Nadpis3Char"/>
          <w:rFonts w:eastAsiaTheme="minorEastAsia"/>
          <w:bCs/>
          <w:color w:val="auto"/>
          <w:szCs w:val="20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Vytvoření předpokladů pro digitální justici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33B38A82" w14:textId="77777777" w:rsidTr="4F9FC08E">
        <w:tc>
          <w:tcPr>
            <w:tcW w:w="2405" w:type="dxa"/>
          </w:tcPr>
          <w:p w14:paraId="2E9C58A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F016604" w14:textId="4857671A" w:rsidR="00C42CDB" w:rsidRPr="00535CE0" w:rsidRDefault="00C42CDB" w:rsidP="6D35A5C4">
            <w:pPr>
              <w:pStyle w:val="K-TextInfo"/>
              <w:rPr>
                <w:rStyle w:val="K-Nadpis3Char"/>
                <w:rFonts w:asciiTheme="minorHAnsi" w:eastAsiaTheme="minorEastAsia" w:hAnsiTheme="minorHAnsi" w:cstheme="minorBidi"/>
                <w:b w:val="0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 současnosti resort justice nedisponuje dostačujícími technickými prostředky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infrastrukturou, aby byl schopen poskytovat své služby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 době omezení fyzických kontaktů na požadované úrovni.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tohoto důvodu je třeba posílit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modernizovat pracovní zázemí.</w:t>
            </w:r>
            <w:r w:rsidRPr="6D35A5C4">
              <w:rPr>
                <w:rStyle w:val="K-Nadpis3Char"/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="00C42CDB" w:rsidRPr="00535CE0" w14:paraId="2456EB92" w14:textId="77777777" w:rsidTr="4F9FC08E">
        <w:tc>
          <w:tcPr>
            <w:tcW w:w="2405" w:type="dxa"/>
          </w:tcPr>
          <w:p w14:paraId="09D57C0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E035050" w14:textId="7F6AE55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color w:val="2196FF" w:themeColor="accent2" w:themeTint="99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Cílem projektu je zajištění moderního pracovního prostředí pro zaměstnance resortu justice na takové úrovni, aby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krizových situacích, jakou je například pandemie Covid-19, nedocházelo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omezování práceschopnosti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snižování kvality poskytovaných služeb. </w:t>
            </w:r>
          </w:p>
          <w:p w14:paraId="402CE301" w14:textId="21E591F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Rozšířením videokonferenčních setů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resortu justice chceme dosáhnout vyšší odolnosti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flexibility veškerých pracovních procesů. </w:t>
            </w:r>
          </w:p>
          <w:p w14:paraId="4299E0EE" w14:textId="011A824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Vzhledem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vyššímu využití distanční práce je nezbytné posílení centrální infrastruktury,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důvodu její nedostatečné kapacity pro souběžné zapojení potřebného počtu zaměstnanců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resortu. </w:t>
            </w:r>
          </w:p>
        </w:tc>
      </w:tr>
      <w:tr w:rsidR="00C42CDB" w:rsidRPr="00535CE0" w14:paraId="2C31475B" w14:textId="77777777" w:rsidTr="4F9FC08E">
        <w:tc>
          <w:tcPr>
            <w:tcW w:w="2405" w:type="dxa"/>
          </w:tcPr>
          <w:p w14:paraId="3598031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23BBC5BA" w14:textId="6272EF9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je složena ze </w:t>
            </w:r>
            <w:r w:rsidR="002118B6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tří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vzájemně propojených projektů (detailnější informace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Jejich koordinaci bude vykonávat Ministerstvo spravedlnosti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</w:p>
          <w:p w14:paraId="632CA310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59D3CC5" w14:textId="46BE2A08" w:rsidR="00E21279" w:rsidRPr="00AD592F" w:rsidRDefault="00E21279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tvorby architektonického modelu (jako podkladu pro Stanovisko odboru hlavního architekta </w:t>
            </w:r>
            <w:proofErr w:type="spellStart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eGovernmentu</w:t>
            </w:r>
            <w:proofErr w:type="spellEnd"/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) a podání informace na vládu o záměru učinit výdaj (na základě Usnesení vlády č. 86/2020).  </w:t>
            </w:r>
          </w:p>
        </w:tc>
      </w:tr>
      <w:tr w:rsidR="00C42CDB" w:rsidRPr="00535CE0" w14:paraId="064F230F" w14:textId="77777777" w:rsidTr="4F9FC08E">
        <w:trPr>
          <w:trHeight w:val="70"/>
        </w:trPr>
        <w:tc>
          <w:tcPr>
            <w:tcW w:w="2405" w:type="dxa"/>
          </w:tcPr>
          <w:p w14:paraId="798B3636" w14:textId="54B32761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CABB2BF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Hlavním nositelem investice je Ministerstvo spravedlnosti – odbor informatiky.</w:t>
            </w:r>
          </w:p>
          <w:p w14:paraId="11F5306B" w14:textId="4F450BA1" w:rsidR="0012550F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Spolupracujícími útvary jsou pak odbor investic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majetku Ministerstva spravedlnosti ČR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ostatními věcně příslušnými odbory dotčených složek.</w:t>
            </w:r>
          </w:p>
        </w:tc>
      </w:tr>
      <w:tr w:rsidR="00C42CDB" w:rsidRPr="00535CE0" w14:paraId="314415AE" w14:textId="77777777" w:rsidTr="4F9FC08E">
        <w:tc>
          <w:tcPr>
            <w:tcW w:w="2405" w:type="dxa"/>
          </w:tcPr>
          <w:p w14:paraId="2500B40B" w14:textId="7E5BAA94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2707C950" w14:textId="682D4E5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70C2C831" w14:textId="336BD899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7B870099" w14:textId="123E089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Nedostatečně detailní vypracování technických specifikací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zadávacích dokumentací; identifikace hodnotících kritérií u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analýzy</w:t>
            </w:r>
          </w:p>
          <w:p w14:paraId="052EF714" w14:textId="7D6841A5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Příprava detailní zadávací dokumentace na široké multioborové základně, příp.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 využitím externích specialistů.</w:t>
            </w:r>
          </w:p>
          <w:p w14:paraId="75C979BA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Potenciální nutnost úpravy legislativy</w:t>
            </w:r>
          </w:p>
          <w:p w14:paraId="4D4FCF01" w14:textId="7B82E662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Provedení interní legislativní analýzy jako jednoho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prvních kroků realizace projektu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 jejím základě provést případné úpravy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scope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jeho harmonogramu.</w:t>
            </w:r>
          </w:p>
          <w:p w14:paraId="09C52BB7" w14:textId="45F44E9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Zajištění bezpečnosti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ochrany osobních údajů</w:t>
            </w:r>
          </w:p>
          <w:p w14:paraId="6C2AB07E" w14:textId="457180A4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Již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návrhu budou do projektu zapojeni specialisté na kybernetickou bezpečnost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ochranu osobních údajů,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případě nedostatečných interních kapacit pak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využitím kompetenčních center.</w:t>
            </w:r>
          </w:p>
          <w:p w14:paraId="3CC1C7A3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71148769" w14:textId="5752F59C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3B9BC71F" w14:textId="75F9737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ÚOHS. </w:t>
            </w:r>
          </w:p>
          <w:p w14:paraId="6232D364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Při zachování výše uvedených principů je riziko je nutné akceptovat </w:t>
            </w:r>
          </w:p>
          <w:p w14:paraId="52E48914" w14:textId="26F6274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3745740" w14:textId="0294B66A" w:rsidR="00C42CDB" w:rsidRPr="00596825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color w:val="2196FF" w:themeColor="accent2" w:themeTint="99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27108A01" w14:textId="77777777" w:rsidTr="4F9FC08E">
        <w:tc>
          <w:tcPr>
            <w:tcW w:w="2405" w:type="dxa"/>
          </w:tcPr>
          <w:p w14:paraId="1C008F7A" w14:textId="08EE2A2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C8CF7F0" w14:textId="7DF5C60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Zaměstnanci resortu justice, právní zástupci, notáři, soudci, státní zástupci, občané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firmy.</w:t>
            </w:r>
          </w:p>
        </w:tc>
      </w:tr>
      <w:tr w:rsidR="00C42CDB" w:rsidRPr="00535CE0" w14:paraId="6B9DFA43" w14:textId="77777777" w:rsidTr="4F9FC08E">
        <w:tc>
          <w:tcPr>
            <w:tcW w:w="2405" w:type="dxa"/>
          </w:tcPr>
          <w:p w14:paraId="408B1DB5" w14:textId="7A1D7D85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3FF7E53" w14:textId="5E9FEE9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154</w:t>
            </w:r>
            <w:r w:rsidR="00C933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96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46A920C2" w14:textId="77777777" w:rsidTr="4F9FC08E">
        <w:tc>
          <w:tcPr>
            <w:tcW w:w="2405" w:type="dxa"/>
          </w:tcPr>
          <w:p w14:paraId="2696BA7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16F3800" w14:textId="77777777" w:rsidR="00505945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nezakládá veřejnou podporu. </w:t>
            </w:r>
          </w:p>
          <w:p w14:paraId="7F7BAD02" w14:textId="6A777B40" w:rsidR="00C42CDB" w:rsidRPr="00535CE0" w:rsidRDefault="00505945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rámci jednotlivých projektů (seznam viz níže) lze státní podporu považovat za vyloučenou, neboť se jedná o digitalizaci výkonu státní moci dle GT A/a/13. Zároveň budou j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ednotlivé projekty realizovány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41421F0A" w14:textId="77777777" w:rsidTr="4F9FC08E">
        <w:tc>
          <w:tcPr>
            <w:tcW w:w="2405" w:type="dxa"/>
          </w:tcPr>
          <w:p w14:paraId="615A963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B414006" w14:textId="6FB8FA89" w:rsidR="00C42CDB" w:rsidRPr="00535CE0" w:rsidRDefault="3FFDE2D2" w:rsidP="4F9FC08E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48 </w:t>
            </w:r>
            <w:r w:rsidR="00C42CDB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měsíců; do 31. 12. 202</w:t>
            </w:r>
            <w:r w:rsidR="2C108F1E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4</w:t>
            </w:r>
            <w:r w:rsidR="00C42CDB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  <w:commentRangeStart w:id="3"/>
            <w:commentRangeStart w:id="4"/>
            <w:commentRangeEnd w:id="4"/>
            <w:commentRangeEnd w:id="3"/>
          </w:p>
        </w:tc>
      </w:tr>
    </w:tbl>
    <w:p w14:paraId="6D845F1C" w14:textId="77777777" w:rsidR="009B54CC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</w:p>
    <w:p w14:paraId="26FF9896" w14:textId="368D806B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4"/>
        <w:gridCol w:w="2919"/>
      </w:tblGrid>
      <w:tr w:rsidR="007B6CF7" w:rsidRPr="009B54CC" w14:paraId="605E69A6" w14:textId="77777777" w:rsidTr="007B6CF7">
        <w:trPr>
          <w:trHeight w:val="360"/>
        </w:trPr>
        <w:tc>
          <w:tcPr>
            <w:tcW w:w="660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nil"/>
            </w:tcBorders>
            <w:shd w:val="clear" w:color="D9E1F2" w:fill="333F4F"/>
            <w:noWrap/>
            <w:vAlign w:val="center"/>
            <w:hideMark/>
          </w:tcPr>
          <w:p w14:paraId="3ED3D681" w14:textId="77777777" w:rsidR="007B6CF7" w:rsidRPr="009B54CC" w:rsidRDefault="007B6CF7" w:rsidP="00B27DE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2919" w:type="dxa"/>
            <w:tcBorders>
              <w:top w:val="single" w:sz="8" w:space="0" w:color="D9E1F2"/>
              <w:left w:val="nil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5FD8E37C" w14:textId="77777777" w:rsidR="007B6CF7" w:rsidRPr="009B54CC" w:rsidRDefault="007B6CF7" w:rsidP="007B6CF7">
            <w:pPr>
              <w:ind w:left="827" w:hanging="82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0EE012D4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vAlign w:val="bottom"/>
            <w:hideMark/>
          </w:tcPr>
          <w:p w14:paraId="2107F22D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Digitální transformace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8E27F44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90,91</w:t>
            </w:r>
          </w:p>
        </w:tc>
      </w:tr>
      <w:tr w:rsidR="007B6CF7" w:rsidRPr="009B54CC" w14:paraId="767F78E8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53F0EA1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Posílení infrastruktury pro digitální pracoviště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1F21187F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33,06</w:t>
            </w:r>
          </w:p>
        </w:tc>
      </w:tr>
      <w:tr w:rsidR="007B6CF7" w:rsidRPr="009B54CC" w14:paraId="55121B2D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134E5358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Videokonference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3EE02292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30,99</w:t>
            </w:r>
          </w:p>
        </w:tc>
      </w:tr>
    </w:tbl>
    <w:p w14:paraId="225A6A96" w14:textId="77777777" w:rsidR="009B54CC" w:rsidRDefault="009B54CC" w:rsidP="6D35A5C4">
      <w:pPr>
        <w:pStyle w:val="K-1"/>
        <w:rPr>
          <w:rFonts w:eastAsiaTheme="minorEastAsia" w:cstheme="minorBidi"/>
          <w:sz w:val="20"/>
          <w:szCs w:val="20"/>
        </w:rPr>
      </w:pPr>
    </w:p>
    <w:p w14:paraId="304A4189" w14:textId="7ADD9999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4. Strategická autonomie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>bezpečnostní problematika</w:t>
      </w:r>
    </w:p>
    <w:p w14:paraId="2BC0F0C0" w14:textId="23B3D9D3" w:rsidR="00C42CDB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Komponenta jako celek je zcela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aktuálními opatřeními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trendy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oblasti kybernetické bezpečnosti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mnohé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nich rozvíjí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implementuje. Pravidla pro strategickou autonomii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oblasti informačních systémů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digitálních služeb nejsou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současnosti jasně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závazně definována. Projekty využívající (příp. budou využívat)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cloudové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služby tak využívají výhradně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cloudová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centra provozovaná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EU.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této komponenty bude realizován i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projekt technologického rozšíření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Cloudu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>. Do tohoto prostředí pak budou následně přeneseny klíčové informační systémy veřejné správy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nově připravovanou národní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cloudovou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legislativou.</w:t>
      </w:r>
    </w:p>
    <w:p w14:paraId="1686192F" w14:textId="77777777" w:rsidR="00FD054F" w:rsidRPr="00FD054F" w:rsidRDefault="00FD054F" w:rsidP="00FD054F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FD054F">
        <w:rPr>
          <w:rFonts w:eastAsiaTheme="minorEastAsia" w:cstheme="minorBidi"/>
          <w:sz w:val="24"/>
          <w:szCs w:val="24"/>
        </w:rPr>
        <w:t xml:space="preserve">4.1 </w:t>
      </w:r>
      <w:proofErr w:type="spellStart"/>
      <w:r w:rsidRPr="00FD054F">
        <w:rPr>
          <w:rFonts w:eastAsiaTheme="minorEastAsia" w:cstheme="minorBidi"/>
          <w:sz w:val="24"/>
          <w:szCs w:val="24"/>
        </w:rPr>
        <w:t>Security</w:t>
      </w:r>
      <w:proofErr w:type="spellEnd"/>
      <w:r w:rsidRPr="00FD054F">
        <w:rPr>
          <w:rFonts w:eastAsiaTheme="minorEastAsia" w:cstheme="minorBidi"/>
          <w:sz w:val="24"/>
          <w:szCs w:val="24"/>
        </w:rPr>
        <w:t xml:space="preserve"> </w:t>
      </w:r>
      <w:proofErr w:type="spellStart"/>
      <w:r w:rsidRPr="00FD054F">
        <w:rPr>
          <w:rFonts w:eastAsiaTheme="minorEastAsia" w:cstheme="minorBidi"/>
          <w:sz w:val="24"/>
          <w:szCs w:val="24"/>
        </w:rPr>
        <w:t>self-assessment</w:t>
      </w:r>
      <w:proofErr w:type="spellEnd"/>
      <w:r w:rsidRPr="00FD054F">
        <w:rPr>
          <w:rFonts w:eastAsiaTheme="minorEastAsia" w:cstheme="minorBidi"/>
          <w:sz w:val="24"/>
          <w:szCs w:val="24"/>
        </w:rPr>
        <w:t xml:space="preserve"> </w:t>
      </w:r>
    </w:p>
    <w:p w14:paraId="3180DEF1" w14:textId="3AAB58E3" w:rsidR="00FD054F" w:rsidRPr="00FD054F" w:rsidRDefault="00FD054F" w:rsidP="00FD05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V rámci realizace dílčích částí komponenty </w:t>
      </w:r>
      <w:r>
        <w:rPr>
          <w:rFonts w:asciiTheme="minorHAnsi" w:eastAsiaTheme="minorEastAsia" w:hAnsiTheme="minorHAnsi" w:cstheme="minorHAnsi"/>
          <w:sz w:val="20"/>
          <w:szCs w:val="20"/>
        </w:rPr>
        <w:t>v souvislosti s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rozšíření</w:t>
      </w:r>
      <w:r>
        <w:rPr>
          <w:rFonts w:asciiTheme="minorHAnsi" w:eastAsiaTheme="minorEastAsia" w:hAnsiTheme="minorHAnsi" w:cstheme="minorHAnsi"/>
          <w:sz w:val="20"/>
          <w:szCs w:val="20"/>
        </w:rPr>
        <w:t>m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eGovernment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Cloudu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>, ale i dílčích částí využívajících, případně která budou využívat</w:t>
      </w:r>
      <w:r>
        <w:rPr>
          <w:rFonts w:asciiTheme="minorHAnsi" w:eastAsiaTheme="minorEastAsia" w:hAnsiTheme="minorHAnsi" w:cstheme="minorHAnsi"/>
          <w:sz w:val="20"/>
          <w:szCs w:val="20"/>
        </w:rPr>
        <w:t>,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cloudové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služby výhradně </w:t>
      </w:r>
      <w:r>
        <w:rPr>
          <w:rFonts w:asciiTheme="minorHAnsi" w:eastAsiaTheme="minorEastAsia" w:hAnsiTheme="minorHAnsi" w:cstheme="minorHAnsi"/>
          <w:sz w:val="20"/>
          <w:szCs w:val="20"/>
        </w:rPr>
        <w:t xml:space="preserve">od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cloudových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poskytovatelů provozovaných v rámci EU platí plně pravidla a požadavky platné národní legislativy pro využívání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cloudových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služeb v rámci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eGovernmentu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>
        <w:rPr>
          <w:rFonts w:asciiTheme="minorHAnsi" w:eastAsiaTheme="minorEastAsia" w:hAnsiTheme="minorHAnsi" w:cstheme="minorHAnsi"/>
          <w:sz w:val="20"/>
          <w:szCs w:val="20"/>
        </w:rPr>
        <w:t>(Z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ákon 365/2000 Sb. o informačních systémech veřejné správy a o změně některých dalších zákonů</w:t>
      </w:r>
      <w:r>
        <w:rPr>
          <w:rFonts w:asciiTheme="minorHAnsi" w:eastAsiaTheme="minorEastAsia" w:hAnsiTheme="minorHAnsi" w:cstheme="minorHAnsi"/>
          <w:sz w:val="20"/>
          <w:szCs w:val="20"/>
        </w:rPr>
        <w:t>)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. Bezpečnost informací je řešena v souladu se zákony č. 181/2014 Sb. o kybernetické bezpečnosti a o změně souvisejících zákonů, a jeho prováděcí vyhlášk</w:t>
      </w:r>
      <w:r>
        <w:rPr>
          <w:rFonts w:asciiTheme="minorHAnsi" w:eastAsiaTheme="minorEastAsia" w:hAnsiTheme="minorHAnsi" w:cstheme="minorHAnsi"/>
          <w:sz w:val="20"/>
          <w:szCs w:val="20"/>
        </w:rPr>
        <w:t>o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u č. 82/2018 Sb. Vyhláška o bezpečnostních opatřeních, kybernetických bezpečnostních incidentech, reaktivních opatřeních, náležitostech podání v oblasti kybernetické bezpečnosti a likvidaci dat (vyhláška o kybernetické bezpečnosti), zákon č. 110/2020 Sb. Zákon o zpracování osobních údajů atd.). </w:t>
      </w:r>
    </w:p>
    <w:p w14:paraId="0CDB9B2B" w14:textId="77777777" w:rsidR="00D97D89" w:rsidRPr="00D97D89" w:rsidRDefault="00FD054F" w:rsidP="00D97D89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>V souvislosti s doporučením čl. 18 odst. 4 písm. G) nařízení o RRF (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Recovery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and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Resilience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Facility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)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všechny 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odpovědné subjekty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zajistí identifikaci a eliminaci bezpečnostních rizik v souladu s výše uvedenými 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pravidl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y a legislativou. </w:t>
      </w:r>
      <w:r w:rsidR="00D97D89" w:rsidRPr="00D97D89">
        <w:rPr>
          <w:rFonts w:asciiTheme="minorHAnsi" w:eastAsiaTheme="minorEastAsia" w:hAnsiTheme="minorHAnsi" w:cstheme="minorHAnsi"/>
          <w:sz w:val="20"/>
          <w:szCs w:val="20"/>
        </w:rPr>
        <w:t>V rámci projektů je identifikován aktuální stav vlastních opatření pro zajištění bezpečnosti informací a dále budou stanoveny cíle pro jejich zlepšení.</w:t>
      </w:r>
    </w:p>
    <w:p w14:paraId="45B84B52" w14:textId="16175780" w:rsidR="00FD054F" w:rsidRPr="009B54CC" w:rsidRDefault="00FD054F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Stanovená pravidla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>bude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plně respektovat požadavky platné národní legislativy pro bezpečnost informací</w:t>
      </w:r>
      <w:r>
        <w:rPr>
          <w:rFonts w:asciiTheme="minorHAnsi" w:eastAsiaTheme="minorEastAsia" w:hAnsiTheme="minorHAnsi" w:cstheme="minorHAnsi"/>
          <w:sz w:val="20"/>
          <w:szCs w:val="20"/>
        </w:rPr>
        <w:t>, která e plně harmonizovaná s evropskou legislativou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. Stanovená pravidla nezakládají nové požadavky na bezpečnost informací. Kontrolní cíle a techniky jsou odvozeny přímo z dlouhodobých požadavků stanovených ve strategiích, politikách a pokynech pro bezpečnost informací dotčených informačních systémů a digitálních služeb. </w:t>
      </w:r>
    </w:p>
    <w:p w14:paraId="7DD71B95" w14:textId="71966618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lastRenderedPageBreak/>
        <w:t>5. Přeshraniční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mezinárodní projekty </w:t>
      </w:r>
    </w:p>
    <w:p w14:paraId="404A1F23" w14:textId="428A37CE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reformy ani jejich jednotlivé části nemají charakter přeshraniční spolupráce. Jednotlivé projekty pak vytvářejí prostředí pro realizaci projektů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přeshraniční spoluprací (např. projekt Interoperabilita ve zdravotnictví). </w:t>
      </w:r>
    </w:p>
    <w:p w14:paraId="7226C19A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6. </w:t>
      </w:r>
      <w:proofErr w:type="gramStart"/>
      <w:r w:rsidRPr="008C1949">
        <w:rPr>
          <w:rFonts w:eastAsiaTheme="minorEastAsia" w:cstheme="minorBidi"/>
          <w:sz w:val="24"/>
          <w:szCs w:val="24"/>
        </w:rPr>
        <w:t>Zelený</w:t>
      </w:r>
      <w:proofErr w:type="gramEnd"/>
      <w:r w:rsidRPr="008C1949">
        <w:rPr>
          <w:rFonts w:eastAsiaTheme="minorEastAsia" w:cstheme="minorBidi"/>
          <w:sz w:val="24"/>
          <w:szCs w:val="24"/>
        </w:rPr>
        <w:t xml:space="preserve"> rozměr komponenty </w:t>
      </w:r>
    </w:p>
    <w:p w14:paraId="53DE32F2" w14:textId="156DB2FD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Veškeré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komponenty je možné považovat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pohledu zelené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tranzice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za neutrální. Nemají tedy měřitelný vliv na cíle zohledňování klimatických změn.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obecné rovině pak lze konstatovat, že svým zaměřením přispívají ke snižování emisí skleníkových plynů. Velká část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této komponentě vytváří prostředí pro tvorbu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realizaci služeb snižujících mobilitu obyvatelstva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souvislosti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cestami na úřad. Navrhovaná opatření jsou tak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požadavkem na zavádění nových technologií pro dosažení cílů zelené agendy. </w:t>
      </w:r>
    </w:p>
    <w:p w14:paraId="17A9D01A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 xml:space="preserve">7. Digitální rozměr komponenty </w:t>
      </w:r>
    </w:p>
    <w:p w14:paraId="68A139DA" w14:textId="70AC143F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Komponenta je zcela zaměřena na digitální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tranzici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veřejného sektoru, především pak na vytváření předpokladů pro digitální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tranzici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>. Cíle jednotlivých reforem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 nejsou ve své podstatě přímo měřitelné prostřednictvím DESI, ale vytvářením prostředí pro poskytování služeb občanům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firmám, které umožňuje jednoduchou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uživatelsky přívětivou komunikaci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veřejnými orgány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institucemi. Tímto postupem pak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této komponenty výrazně posilují odolnost státní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veřejné správy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celkově urychlují proces odbavení úřední záležitosti, tudíž přispívají k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vyšší ekonomické efektivitě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snižování administrativních nákladů jak na straně veřejné správy, tak u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cílových skupin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podobě široké občanské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podnikatelské veřejnosti.</w:t>
      </w:r>
    </w:p>
    <w:p w14:paraId="0C355A2F" w14:textId="1F95B177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Komponenta naplňuje Digitální agendu, výrazně zlepšuje podmínky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předpoklady pro rozvoj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eGovernmentu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 jednotlivých částech pak přímo přispívá k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jeho rozvoji. Její obsah je zcela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programem Digitální Česko jako základního kamene národního digitálního plánu. Jednotlivé reformy jsou tematickým souhrnem vybraných digitálních záměrů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projektů. Investice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reformy popsané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jednotlivých přílohách jsou pak,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ohledem na parametry RRF, projekty programu Digitální Česko, jejichž realizaci akcelerovala možnost je financovat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prostředků Národního plánu obnovy.</w:t>
      </w:r>
    </w:p>
    <w:p w14:paraId="557DF677" w14:textId="4965A7F2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  <w:lang w:val="en-US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Dopad na digitální přechod je popsán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tabulce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70DBCCE9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8. Uplatnění zásady „významně nepoškozovat“</w:t>
      </w:r>
    </w:p>
    <w:p w14:paraId="3B50F829" w14:textId="0DA79A0F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Veškeré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investice vyhovují principu „do no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significant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harm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“. </w:t>
      </w:r>
    </w:p>
    <w:p w14:paraId="5D533D96" w14:textId="5BE8D26B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Princip DNSH je popsán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04CFE7FE" w14:textId="5C0F9332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bookmarkStart w:id="5" w:name="_Hlk67516678"/>
      <w:r w:rsidRPr="008C1949">
        <w:rPr>
          <w:rFonts w:eastAsiaTheme="minorEastAsia" w:cstheme="minorBidi"/>
          <w:sz w:val="24"/>
          <w:szCs w:val="24"/>
        </w:rPr>
        <w:t>9. Milníky, cíle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harmonogram </w:t>
      </w:r>
    </w:p>
    <w:bookmarkEnd w:id="5"/>
    <w:p w14:paraId="458F5367" w14:textId="0DDD351B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Milníky, cíle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časová osa jsou popsány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tabulce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538D2812" w14:textId="741EB4E3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bookmarkStart w:id="6" w:name="_Hlk67516698"/>
      <w:r w:rsidRPr="008C1949">
        <w:rPr>
          <w:rFonts w:eastAsiaTheme="minorEastAsia" w:cstheme="minorBidi"/>
          <w:sz w:val="24"/>
          <w:szCs w:val="24"/>
        </w:rPr>
        <w:t>10. Financování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proofErr w:type="spellStart"/>
      <w:r w:rsidRPr="008C1949">
        <w:rPr>
          <w:rFonts w:eastAsiaTheme="minorEastAsia" w:cstheme="minorBidi"/>
          <w:sz w:val="24"/>
          <w:szCs w:val="24"/>
        </w:rPr>
        <w:t>costing</w:t>
      </w:r>
      <w:proofErr w:type="spellEnd"/>
      <w:r w:rsidRPr="008C1949">
        <w:rPr>
          <w:rFonts w:eastAsiaTheme="minorEastAsia" w:cstheme="minorBidi"/>
          <w:sz w:val="24"/>
          <w:szCs w:val="24"/>
        </w:rPr>
        <w:t xml:space="preserve"> </w:t>
      </w:r>
    </w:p>
    <w:p w14:paraId="04128D36" w14:textId="77777777" w:rsidR="000E35BA" w:rsidRPr="009B54CC" w:rsidRDefault="000E35BA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bookmarkStart w:id="7" w:name="_nj1ks6p3kwye"/>
      <w:bookmarkStart w:id="8" w:name="_30j0zll"/>
      <w:bookmarkStart w:id="9" w:name="_1fob9te"/>
      <w:bookmarkStart w:id="10" w:name="_Toc68035740"/>
      <w:bookmarkStart w:id="11" w:name="_Toc68035916"/>
      <w:bookmarkStart w:id="12" w:name="_Toc68035741"/>
      <w:bookmarkStart w:id="13" w:name="_Toc68035917"/>
      <w:bookmarkStart w:id="14" w:name="_Toc68035746"/>
      <w:bookmarkStart w:id="15" w:name="_Toc68035922"/>
      <w:bookmarkStart w:id="16" w:name="_Toc68035762"/>
      <w:bookmarkStart w:id="17" w:name="_Toc68035938"/>
      <w:bookmarkStart w:id="18" w:name="_Toc68035763"/>
      <w:bookmarkStart w:id="19" w:name="_Toc68035939"/>
      <w:bookmarkStart w:id="20" w:name="_Toc68035764"/>
      <w:bookmarkStart w:id="21" w:name="_Toc68035940"/>
      <w:bookmarkStart w:id="22" w:name="_Toc68035765"/>
      <w:bookmarkStart w:id="23" w:name="_Toc68035941"/>
      <w:bookmarkStart w:id="24" w:name="_Toc68035766"/>
      <w:bookmarkStart w:id="25" w:name="_Toc68035942"/>
      <w:bookmarkStart w:id="26" w:name="_Toc68035767"/>
      <w:bookmarkStart w:id="27" w:name="_Toc68035943"/>
      <w:bookmarkStart w:id="28" w:name="_Toc68035768"/>
      <w:bookmarkStart w:id="29" w:name="_Toc68035944"/>
      <w:bookmarkStart w:id="30" w:name="_Toc68035769"/>
      <w:bookmarkStart w:id="31" w:name="_Toc68035945"/>
      <w:bookmarkStart w:id="32" w:name="_Toc68035770"/>
      <w:bookmarkStart w:id="33" w:name="_Toc68035946"/>
      <w:bookmarkStart w:id="34" w:name="_Toc68035771"/>
      <w:bookmarkStart w:id="35" w:name="_Toc68035947"/>
      <w:bookmarkStart w:id="36" w:name="_Toc68035773"/>
      <w:bookmarkStart w:id="37" w:name="_Toc68035949"/>
      <w:bookmarkStart w:id="38" w:name="_Toc68035774"/>
      <w:bookmarkStart w:id="39" w:name="_Toc68035950"/>
      <w:bookmarkStart w:id="40" w:name="_Toc68035778"/>
      <w:bookmarkStart w:id="41" w:name="_Toc68035954"/>
      <w:bookmarkStart w:id="42" w:name="_Toc68035779"/>
      <w:bookmarkStart w:id="43" w:name="_Toc68035955"/>
      <w:bookmarkStart w:id="44" w:name="_Toc68035780"/>
      <w:bookmarkStart w:id="45" w:name="_Toc68035956"/>
      <w:bookmarkStart w:id="46" w:name="_Toc68035781"/>
      <w:bookmarkStart w:id="47" w:name="_Toc68035957"/>
      <w:bookmarkStart w:id="48" w:name="_Toc68035782"/>
      <w:bookmarkStart w:id="49" w:name="_Toc68035958"/>
      <w:bookmarkStart w:id="50" w:name="_Toc68035783"/>
      <w:bookmarkStart w:id="51" w:name="_Toc68035959"/>
      <w:bookmarkStart w:id="52" w:name="_Toc68035784"/>
      <w:bookmarkStart w:id="53" w:name="_Toc68035960"/>
      <w:bookmarkStart w:id="54" w:name="_Toc68035785"/>
      <w:bookmarkStart w:id="55" w:name="_Toc68035961"/>
      <w:bookmarkStart w:id="56" w:name="_Toc68035786"/>
      <w:bookmarkStart w:id="57" w:name="_Toc68035962"/>
      <w:bookmarkStart w:id="58" w:name="_Toc68035787"/>
      <w:bookmarkStart w:id="59" w:name="_Toc68035963"/>
      <w:bookmarkStart w:id="60" w:name="_Toc68035788"/>
      <w:bookmarkStart w:id="61" w:name="_Toc68035964"/>
      <w:bookmarkStart w:id="62" w:name="_Toc68035789"/>
      <w:bookmarkStart w:id="63" w:name="_Toc68035965"/>
      <w:bookmarkStart w:id="64" w:name="_Toc68035790"/>
      <w:bookmarkStart w:id="65" w:name="_Toc68035966"/>
      <w:bookmarkStart w:id="66" w:name="_Toc68035791"/>
      <w:bookmarkStart w:id="67" w:name="_Toc68035967"/>
      <w:bookmarkStart w:id="68" w:name="_Toc68035792"/>
      <w:bookmarkStart w:id="69" w:name="_Toc68035968"/>
      <w:bookmarkStart w:id="70" w:name="_Toc68035793"/>
      <w:bookmarkStart w:id="71" w:name="_Toc68035969"/>
      <w:bookmarkStart w:id="72" w:name="_Toc68035794"/>
      <w:bookmarkStart w:id="73" w:name="_Toc68035970"/>
      <w:bookmarkStart w:id="74" w:name="_Toc68035795"/>
      <w:bookmarkStart w:id="75" w:name="_Toc68035971"/>
      <w:bookmarkStart w:id="76" w:name="_Toc68035796"/>
      <w:bookmarkStart w:id="77" w:name="_Toc68035972"/>
      <w:bookmarkStart w:id="78" w:name="_Toc68035797"/>
      <w:bookmarkStart w:id="79" w:name="_Toc68035973"/>
      <w:bookmarkStart w:id="80" w:name="_Toc68035798"/>
      <w:bookmarkStart w:id="81" w:name="_Toc68035974"/>
      <w:bookmarkStart w:id="82" w:name="_Toc68035799"/>
      <w:bookmarkStart w:id="83" w:name="_Toc68035975"/>
      <w:bookmarkStart w:id="84" w:name="_Toc68035800"/>
      <w:bookmarkStart w:id="85" w:name="_Toc68035976"/>
      <w:bookmarkStart w:id="86" w:name="_Toc68035801"/>
      <w:bookmarkStart w:id="87" w:name="_Toc68035977"/>
      <w:bookmarkStart w:id="88" w:name="_Toc68035802"/>
      <w:bookmarkStart w:id="89" w:name="_Toc68035978"/>
      <w:bookmarkStart w:id="90" w:name="_Toc68035803"/>
      <w:bookmarkStart w:id="91" w:name="_Toc68035979"/>
      <w:bookmarkStart w:id="92" w:name="_Toc68035804"/>
      <w:bookmarkStart w:id="93" w:name="_Toc68035980"/>
      <w:bookmarkStart w:id="94" w:name="_Toc68035805"/>
      <w:bookmarkStart w:id="95" w:name="_Toc68035981"/>
      <w:bookmarkStart w:id="96" w:name="_Toc68035806"/>
      <w:bookmarkStart w:id="97" w:name="_Toc68035982"/>
      <w:bookmarkStart w:id="98" w:name="_Toc68035807"/>
      <w:bookmarkStart w:id="99" w:name="_Toc68035983"/>
      <w:bookmarkStart w:id="100" w:name="_Toc68035808"/>
      <w:bookmarkStart w:id="101" w:name="_Toc68035984"/>
      <w:bookmarkStart w:id="102" w:name="_Toc68035809"/>
      <w:bookmarkStart w:id="103" w:name="_Toc68035985"/>
      <w:bookmarkStart w:id="104" w:name="_Toc68035810"/>
      <w:bookmarkStart w:id="105" w:name="_Toc68035986"/>
      <w:bookmarkStart w:id="106" w:name="_Toc68035811"/>
      <w:bookmarkStart w:id="107" w:name="_Toc68035987"/>
      <w:bookmarkStart w:id="108" w:name="_Toc68035812"/>
      <w:bookmarkStart w:id="109" w:name="_Toc68035988"/>
      <w:bookmarkStart w:id="110" w:name="_Toc68035813"/>
      <w:bookmarkStart w:id="111" w:name="_Toc68035989"/>
      <w:bookmarkStart w:id="112" w:name="_Toc68035814"/>
      <w:bookmarkStart w:id="113" w:name="_Toc68035990"/>
      <w:bookmarkStart w:id="114" w:name="_Toc68035815"/>
      <w:bookmarkStart w:id="115" w:name="_Toc68035991"/>
      <w:bookmarkStart w:id="116" w:name="_Toc68035816"/>
      <w:bookmarkStart w:id="117" w:name="_Toc68035992"/>
      <w:bookmarkStart w:id="118" w:name="_Toc68035817"/>
      <w:bookmarkStart w:id="119" w:name="_Toc68035993"/>
      <w:bookmarkStart w:id="120" w:name="_Toc68035818"/>
      <w:bookmarkStart w:id="121" w:name="_Toc68035994"/>
      <w:bookmarkStart w:id="122" w:name="_Toc68035819"/>
      <w:bookmarkStart w:id="123" w:name="_Toc68035995"/>
      <w:bookmarkStart w:id="124" w:name="_Toc66646721"/>
      <w:bookmarkStart w:id="125" w:name="_Toc66647251"/>
      <w:bookmarkStart w:id="126" w:name="_Toc66647613"/>
      <w:bookmarkStart w:id="127" w:name="_Toc66647739"/>
      <w:bookmarkStart w:id="128" w:name="_Toc66647788"/>
      <w:bookmarkStart w:id="129" w:name="_Toc66860970"/>
      <w:bookmarkStart w:id="130" w:name="_Toc66862914"/>
      <w:bookmarkStart w:id="131" w:name="_Toc66900245"/>
      <w:bookmarkStart w:id="132" w:name="_Toc66901827"/>
      <w:bookmarkStart w:id="133" w:name="_Toc67437533"/>
      <w:bookmarkStart w:id="134" w:name="_Toc67437571"/>
      <w:bookmarkStart w:id="135" w:name="_Toc67457119"/>
      <w:bookmarkStart w:id="136" w:name="_Toc67464643"/>
      <w:bookmarkStart w:id="137" w:name="_Toc67474540"/>
      <w:bookmarkStart w:id="138" w:name="_Toc68035820"/>
      <w:bookmarkStart w:id="139" w:name="_Toc68035996"/>
      <w:bookmarkStart w:id="140" w:name="_Toc66647740"/>
      <w:bookmarkStart w:id="141" w:name="_Toc66647789"/>
      <w:bookmarkStart w:id="142" w:name="_Toc66860971"/>
      <w:bookmarkStart w:id="143" w:name="_Toc66862915"/>
      <w:bookmarkStart w:id="144" w:name="_Toc66900246"/>
      <w:bookmarkStart w:id="145" w:name="_Toc66901828"/>
      <w:bookmarkStart w:id="146" w:name="_Toc67437534"/>
      <w:bookmarkStart w:id="147" w:name="_Toc67437572"/>
      <w:bookmarkStart w:id="148" w:name="_Toc67457120"/>
      <w:bookmarkStart w:id="149" w:name="_Toc67464644"/>
      <w:bookmarkStart w:id="150" w:name="_Toc67474541"/>
      <w:bookmarkStart w:id="151" w:name="_Toc68035821"/>
      <w:bookmarkStart w:id="152" w:name="_Toc68035997"/>
      <w:bookmarkStart w:id="153" w:name="_Toc68035822"/>
      <w:bookmarkStart w:id="154" w:name="_Toc68035998"/>
      <w:bookmarkStart w:id="155" w:name="_Toc68035823"/>
      <w:bookmarkStart w:id="156" w:name="_Toc68035999"/>
      <w:bookmarkStart w:id="157" w:name="_Toc68035824"/>
      <w:bookmarkStart w:id="158" w:name="_Toc68036000"/>
      <w:bookmarkStart w:id="159" w:name="_Toc68035825"/>
      <w:bookmarkStart w:id="160" w:name="_Toc68036001"/>
      <w:bookmarkStart w:id="161" w:name="_Toc68035826"/>
      <w:bookmarkStart w:id="162" w:name="_Toc68036002"/>
      <w:bookmarkStart w:id="163" w:name="_Toc68035827"/>
      <w:bookmarkStart w:id="164" w:name="_Toc68036003"/>
      <w:bookmarkStart w:id="165" w:name="_Toc68035828"/>
      <w:bookmarkStart w:id="166" w:name="_Toc68036004"/>
      <w:bookmarkStart w:id="167" w:name="_Toc68035829"/>
      <w:bookmarkStart w:id="168" w:name="_Toc68036005"/>
      <w:bookmarkStart w:id="169" w:name="_Toc68035830"/>
      <w:bookmarkStart w:id="170" w:name="_Toc68036006"/>
      <w:bookmarkStart w:id="171" w:name="_Toc68035831"/>
      <w:bookmarkStart w:id="172" w:name="_Toc68036007"/>
      <w:bookmarkStart w:id="173" w:name="_Toc68035832"/>
      <w:bookmarkStart w:id="174" w:name="_Toc68036008"/>
      <w:bookmarkStart w:id="175" w:name="_Toc68035833"/>
      <w:bookmarkStart w:id="176" w:name="_Toc68036009"/>
      <w:bookmarkStart w:id="177" w:name="_Toc68035834"/>
      <w:bookmarkStart w:id="178" w:name="_Toc68036010"/>
      <w:bookmarkStart w:id="179" w:name="_Toc68035835"/>
      <w:bookmarkStart w:id="180" w:name="_Toc68036011"/>
      <w:bookmarkStart w:id="181" w:name="_Toc68035836"/>
      <w:bookmarkStart w:id="182" w:name="_Toc68036012"/>
      <w:bookmarkStart w:id="183" w:name="_Toc68035837"/>
      <w:bookmarkStart w:id="184" w:name="_Toc68036013"/>
      <w:bookmarkStart w:id="185" w:name="_Toc68035838"/>
      <w:bookmarkStart w:id="186" w:name="_Toc68036014"/>
      <w:bookmarkStart w:id="187" w:name="_Toc68035839"/>
      <w:bookmarkStart w:id="188" w:name="_Toc68036015"/>
      <w:bookmarkStart w:id="189" w:name="_Toc68035841"/>
      <w:bookmarkStart w:id="190" w:name="_Toc68036017"/>
      <w:bookmarkStart w:id="191" w:name="_Toc68035842"/>
      <w:bookmarkStart w:id="192" w:name="_Toc68036018"/>
      <w:bookmarkStart w:id="193" w:name="_Toc68035843"/>
      <w:bookmarkStart w:id="194" w:name="_Toc68036019"/>
      <w:bookmarkStart w:id="195" w:name="_Toc66647256"/>
      <w:bookmarkStart w:id="196" w:name="_Toc66647618"/>
      <w:bookmarkStart w:id="197" w:name="_Toc66647745"/>
      <w:bookmarkStart w:id="198" w:name="_Toc66647794"/>
      <w:bookmarkStart w:id="199" w:name="_Toc66860976"/>
      <w:bookmarkStart w:id="200" w:name="_Toc66862920"/>
      <w:bookmarkStart w:id="201" w:name="_Toc66900251"/>
      <w:bookmarkStart w:id="202" w:name="_Toc66901833"/>
      <w:bookmarkStart w:id="203" w:name="_Toc67437539"/>
      <w:bookmarkStart w:id="204" w:name="_Toc67437577"/>
      <w:bookmarkStart w:id="205" w:name="_Toc67457125"/>
      <w:bookmarkStart w:id="206" w:name="_Toc67464646"/>
      <w:bookmarkStart w:id="207" w:name="_Toc68035844"/>
      <w:bookmarkStart w:id="208" w:name="_Toc68036020"/>
      <w:bookmarkStart w:id="209" w:name="_Toc66647257"/>
      <w:bookmarkStart w:id="210" w:name="_Toc66647619"/>
      <w:bookmarkStart w:id="211" w:name="_Toc66647746"/>
      <w:bookmarkStart w:id="212" w:name="_Toc66647795"/>
      <w:bookmarkStart w:id="213" w:name="_Toc66860977"/>
      <w:bookmarkStart w:id="214" w:name="_Toc66862921"/>
      <w:bookmarkStart w:id="215" w:name="_Toc66900252"/>
      <w:bookmarkStart w:id="216" w:name="_Toc66901834"/>
      <w:bookmarkStart w:id="217" w:name="_Toc67437540"/>
      <w:bookmarkStart w:id="218" w:name="_Toc67437578"/>
      <w:bookmarkStart w:id="219" w:name="_Toc67457126"/>
      <w:bookmarkStart w:id="220" w:name="_Toc67464647"/>
      <w:bookmarkStart w:id="221" w:name="_Toc68035845"/>
      <w:bookmarkStart w:id="222" w:name="_Toc68036021"/>
      <w:bookmarkStart w:id="223" w:name="_Toc68035846"/>
      <w:bookmarkStart w:id="224" w:name="_Toc68036022"/>
      <w:bookmarkStart w:id="225" w:name="_Toc68035847"/>
      <w:bookmarkStart w:id="226" w:name="_Toc68036023"/>
      <w:bookmarkStart w:id="227" w:name="_Toc68035848"/>
      <w:bookmarkStart w:id="228" w:name="_Toc68036024"/>
      <w:bookmarkStart w:id="229" w:name="_Toc68035849"/>
      <w:bookmarkStart w:id="230" w:name="_Toc68036025"/>
      <w:bookmarkStart w:id="231" w:name="_Toc68035850"/>
      <w:bookmarkStart w:id="232" w:name="_Toc68036026"/>
      <w:bookmarkStart w:id="233" w:name="_Toc68035851"/>
      <w:bookmarkStart w:id="234" w:name="_Toc68036027"/>
      <w:bookmarkStart w:id="235" w:name="_Toc68035852"/>
      <w:bookmarkStart w:id="236" w:name="_Toc68036028"/>
      <w:bookmarkStart w:id="237" w:name="_Toc68035853"/>
      <w:bookmarkStart w:id="238" w:name="_Toc68036029"/>
      <w:bookmarkStart w:id="239" w:name="_Toc68035854"/>
      <w:bookmarkStart w:id="240" w:name="_Toc68036030"/>
      <w:bookmarkStart w:id="241" w:name="_Toc68035855"/>
      <w:bookmarkStart w:id="242" w:name="_Toc68036031"/>
      <w:bookmarkStart w:id="243" w:name="_Toc68035856"/>
      <w:bookmarkStart w:id="244" w:name="_Toc68036032"/>
      <w:bookmarkStart w:id="245" w:name="_Toc68035857"/>
      <w:bookmarkStart w:id="246" w:name="_Toc68036033"/>
      <w:bookmarkStart w:id="247" w:name="_Toc68035858"/>
      <w:bookmarkStart w:id="248" w:name="_Toc68036034"/>
      <w:bookmarkStart w:id="249" w:name="_Toc68035859"/>
      <w:bookmarkStart w:id="250" w:name="_Toc68036035"/>
      <w:bookmarkStart w:id="251" w:name="_Toc68035860"/>
      <w:bookmarkStart w:id="252" w:name="_Toc68036036"/>
      <w:bookmarkStart w:id="253" w:name="_Toc68035861"/>
      <w:bookmarkStart w:id="254" w:name="_Toc68036037"/>
      <w:bookmarkStart w:id="255" w:name="_Toc68035862"/>
      <w:bookmarkStart w:id="256" w:name="_Toc6803603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r w:rsidRPr="009B54CC">
        <w:rPr>
          <w:rFonts w:asciiTheme="minorHAnsi" w:eastAsiaTheme="minorEastAsia" w:hAnsiTheme="minorHAnsi" w:cstheme="minorHAnsi"/>
          <w:sz w:val="20"/>
          <w:szCs w:val="20"/>
        </w:rPr>
        <w:t>Financování a náklady jsou popsány v tabulce v příloze a v přiložených souborech prokazujících věrohodnost stanovených nákladů.</w:t>
      </w:r>
    </w:p>
    <w:p w14:paraId="44DB8791" w14:textId="77777777" w:rsidR="00266EBF" w:rsidRPr="009B54CC" w:rsidRDefault="00266EBF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</w:p>
    <w:p w14:paraId="04F0F8BD" w14:textId="77777777" w:rsidR="003466D7" w:rsidRPr="0060344B" w:rsidRDefault="003466D7" w:rsidP="6D35A5C4">
      <w:pPr>
        <w:pStyle w:val="Nadpis2"/>
        <w:numPr>
          <w:ilvl w:val="1"/>
          <w:numId w:val="0"/>
        </w:numPr>
        <w:ind w:left="576"/>
        <w:rPr>
          <w:rFonts w:asciiTheme="minorHAnsi" w:eastAsiaTheme="minorEastAsia" w:hAnsiTheme="minorHAnsi" w:cstheme="minorBidi"/>
        </w:rPr>
      </w:pPr>
    </w:p>
    <w:p w14:paraId="48B23D11" w14:textId="77777777" w:rsidR="004A7F97" w:rsidRPr="0060344B" w:rsidRDefault="004A7F97" w:rsidP="6D35A5C4">
      <w:pPr>
        <w:spacing w:after="200"/>
        <w:jc w:val="right"/>
        <w:rPr>
          <w:rStyle w:val="normaltextrun"/>
          <w:rFonts w:eastAsiaTheme="minorEastAsia"/>
          <w:b/>
          <w:bCs/>
          <w:sz w:val="28"/>
          <w:szCs w:val="28"/>
        </w:rPr>
      </w:pPr>
    </w:p>
    <w:sectPr w:rsidR="004A7F97" w:rsidRPr="0060344B" w:rsidSect="00E36E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6A17F" w14:textId="77777777" w:rsidR="00B27DED" w:rsidRDefault="00B27DED" w:rsidP="007F3563">
      <w:r>
        <w:separator/>
      </w:r>
    </w:p>
    <w:p w14:paraId="2EDE53AA" w14:textId="77777777" w:rsidR="00B27DED" w:rsidRDefault="00B27DED"/>
  </w:endnote>
  <w:endnote w:type="continuationSeparator" w:id="0">
    <w:p w14:paraId="01893BAD" w14:textId="77777777" w:rsidR="00B27DED" w:rsidRDefault="00B27DED" w:rsidP="007F3563">
      <w:r>
        <w:continuationSeparator/>
      </w:r>
    </w:p>
    <w:p w14:paraId="08C317DE" w14:textId="77777777" w:rsidR="00B27DED" w:rsidRDefault="00B27DED"/>
  </w:endnote>
  <w:endnote w:type="continuationNotice" w:id="1">
    <w:p w14:paraId="62940F14" w14:textId="77777777" w:rsidR="00B27DED" w:rsidRDefault="00B27D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nderson BCG Serif">
    <w:altName w:val="Constantia"/>
    <w:charset w:val="00"/>
    <w:family w:val="roman"/>
    <w:pitch w:val="variable"/>
    <w:sig w:usb0="00000001" w:usb1="D000E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7BCAC" w14:textId="77777777" w:rsidR="00B27DED" w:rsidRDefault="00B27D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685360"/>
      <w:docPartObj>
        <w:docPartGallery w:val="Page Numbers (Bottom of Page)"/>
        <w:docPartUnique/>
      </w:docPartObj>
    </w:sdtPr>
    <w:sdtContent>
      <w:p w14:paraId="35C2E05A" w14:textId="11B8D8DE" w:rsidR="00B27DED" w:rsidRDefault="00B2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E9407D" w14:textId="77777777" w:rsidR="00B27DED" w:rsidRDefault="00B27DE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D5F1D" w14:textId="77777777" w:rsidR="00B27DED" w:rsidRDefault="00B27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30A58" w14:textId="77777777" w:rsidR="00B27DED" w:rsidRDefault="00B27DED" w:rsidP="007F3563">
      <w:r>
        <w:separator/>
      </w:r>
    </w:p>
    <w:p w14:paraId="4DD0878B" w14:textId="77777777" w:rsidR="00B27DED" w:rsidRDefault="00B27DED"/>
  </w:footnote>
  <w:footnote w:type="continuationSeparator" w:id="0">
    <w:p w14:paraId="3AD41252" w14:textId="77777777" w:rsidR="00B27DED" w:rsidRDefault="00B27DED" w:rsidP="007F3563">
      <w:r>
        <w:continuationSeparator/>
      </w:r>
    </w:p>
    <w:p w14:paraId="74CFAC80" w14:textId="77777777" w:rsidR="00B27DED" w:rsidRDefault="00B27DED"/>
  </w:footnote>
  <w:footnote w:type="continuationNotice" w:id="1">
    <w:p w14:paraId="1A128900" w14:textId="77777777" w:rsidR="00B27DED" w:rsidRDefault="00B27D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C384B" w14:textId="5C1CE576" w:rsidR="00B27DED" w:rsidRDefault="00B27D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B9BB85B" wp14:editId="0E0383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1EA090" w14:textId="240279B3" w:rsidR="00B27DED" w:rsidRPr="00A60768" w:rsidRDefault="00B27DED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shapetype id="_x0000_t202" coordsize="21600,21600" o:spt="202" path="m,l,21600r21600,l21600,xe" w14:anchorId="5B9BB85B">
              <v:stroke joinstyle="miter"/>
              <v:path gradientshapeok="t" o:connecttype="rect"/>
            </v:shapetype>
            <v:shape id="Textové pole 2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">
              <v:textbox style="mso-fit-shape-to-text:t" inset="5pt,0,0,0">
                <w:txbxContent>
                  <w:p w:rsidRPr="00A60768" w:rsidR="002C0BDB" w:rsidRDefault="002C0BDB" w14:paraId="1A1EA090" w14:textId="240279B3">
                    <w:pPr>
                      <w:rPr>
                        <w:rFonts w:ascii="Calibri" w:hAnsi="Calibri" w:eastAsia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hAnsi="Calibri" w:eastAsia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A7B37" w14:textId="030BF303" w:rsidR="00B27DED" w:rsidRDefault="00B27D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A5F7D" w14:textId="7383A21C" w:rsidR="00B27DED" w:rsidRDefault="00B27D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EF10F3" wp14:editId="505EDB2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D295D9" w14:textId="6CCB5A94" w:rsidR="00B27DED" w:rsidRPr="00A60768" w:rsidRDefault="00B27DED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shapetype id="_x0000_t202" coordsize="21600,21600" o:spt="202" path="m,l,21600r21600,l21600,xe" w14:anchorId="1BEF10F3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">
              <v:textbox style="mso-fit-shape-to-text:t" inset="5pt,0,0,0">
                <w:txbxContent>
                  <w:p w:rsidRPr="00A60768" w:rsidR="002C0BDB" w:rsidRDefault="002C0BDB" w14:paraId="1FD295D9" w14:textId="6CCB5A94">
                    <w:pPr>
                      <w:rPr>
                        <w:rFonts w:ascii="Calibri" w:hAnsi="Calibri" w:eastAsia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hAnsi="Calibri" w:eastAsia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3B5"/>
    <w:multiLevelType w:val="multilevel"/>
    <w:tmpl w:val="E8A48D7C"/>
    <w:numStyleLink w:val="VariantaA-sla"/>
  </w:abstractNum>
  <w:abstractNum w:abstractNumId="1" w15:restartNumberingAfterBreak="0">
    <w:nsid w:val="00E45872"/>
    <w:multiLevelType w:val="multilevel"/>
    <w:tmpl w:val="9942151C"/>
    <w:lvl w:ilvl="0">
      <w:start w:val="1"/>
      <w:numFmt w:val="bullet"/>
      <w:lvlText w:val="§"/>
      <w:lvlJc w:val="left"/>
      <w:pPr>
        <w:ind w:left="234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27615B3"/>
    <w:multiLevelType w:val="hybridMultilevel"/>
    <w:tmpl w:val="3DF8B068"/>
    <w:lvl w:ilvl="0" w:tplc="040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0707"/>
    <w:multiLevelType w:val="hybridMultilevel"/>
    <w:tmpl w:val="95BE00D2"/>
    <w:lvl w:ilvl="0" w:tplc="CEB6A0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56EDF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E7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6E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4AC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66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46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C16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7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0580F"/>
    <w:multiLevelType w:val="hybridMultilevel"/>
    <w:tmpl w:val="DAAA6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41A20"/>
    <w:multiLevelType w:val="hybridMultilevel"/>
    <w:tmpl w:val="014054BA"/>
    <w:lvl w:ilvl="0" w:tplc="273C7C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D1B93"/>
    <w:multiLevelType w:val="multilevel"/>
    <w:tmpl w:val="E8A48D7C"/>
    <w:styleLink w:val="VariantaA-sl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7" w15:restartNumberingAfterBreak="0">
    <w:nsid w:val="047951C9"/>
    <w:multiLevelType w:val="hybridMultilevel"/>
    <w:tmpl w:val="C3A66B6C"/>
    <w:lvl w:ilvl="0" w:tplc="B5B8F1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A42BB6"/>
    <w:multiLevelType w:val="hybridMultilevel"/>
    <w:tmpl w:val="32346882"/>
    <w:lvl w:ilvl="0" w:tplc="305A3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22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A06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D046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F9EE2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26CA8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1228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CB0E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28D8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4D331EF"/>
    <w:multiLevelType w:val="multilevel"/>
    <w:tmpl w:val="C7A828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5B50DC1"/>
    <w:multiLevelType w:val="hybridMultilevel"/>
    <w:tmpl w:val="CBEE1D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EF4491"/>
    <w:multiLevelType w:val="hybridMultilevel"/>
    <w:tmpl w:val="64360652"/>
    <w:lvl w:ilvl="0" w:tplc="77325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F81F5F"/>
    <w:multiLevelType w:val="hybridMultilevel"/>
    <w:tmpl w:val="8FA89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F1851"/>
    <w:multiLevelType w:val="hybridMultilevel"/>
    <w:tmpl w:val="7A6851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1069B"/>
    <w:multiLevelType w:val="hybridMultilevel"/>
    <w:tmpl w:val="2F645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206C4"/>
    <w:multiLevelType w:val="multilevel"/>
    <w:tmpl w:val="82C6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7295459"/>
    <w:multiLevelType w:val="hybridMultilevel"/>
    <w:tmpl w:val="64F0CF70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074045C0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7B0099F"/>
    <w:multiLevelType w:val="hybridMultilevel"/>
    <w:tmpl w:val="78D4FD46"/>
    <w:lvl w:ilvl="0" w:tplc="CAA24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52EB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BC455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8CEFF6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B94AF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DE698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EE38983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B68A48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A1EC89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07C4216A"/>
    <w:multiLevelType w:val="hybridMultilevel"/>
    <w:tmpl w:val="11008294"/>
    <w:lvl w:ilvl="0" w:tplc="DAE62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802A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603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C0E7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9CE5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D7222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E6EC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916DE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E1E0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8A600BE"/>
    <w:multiLevelType w:val="hybridMultilevel"/>
    <w:tmpl w:val="2EF4B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08EE5525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9886285"/>
    <w:multiLevelType w:val="multilevel"/>
    <w:tmpl w:val="A9BAAF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  <w:color w:val="000000" w:themeColor="text1"/>
      </w:rPr>
    </w:lvl>
    <w:lvl w:ilvl="1">
      <w:start w:val="3"/>
      <w:numFmt w:val="decimal"/>
      <w:lvlText w:val="%1.%2."/>
      <w:lvlJc w:val="left"/>
      <w:pPr>
        <w:ind w:left="365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5" w:hanging="108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-3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-335" w:hanging="144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-69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-685" w:hanging="180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-680" w:hanging="216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09F400B1"/>
    <w:multiLevelType w:val="hybridMultilevel"/>
    <w:tmpl w:val="5110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1F4449"/>
    <w:multiLevelType w:val="hybridMultilevel"/>
    <w:tmpl w:val="DBF4C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DB04CF"/>
    <w:multiLevelType w:val="hybridMultilevel"/>
    <w:tmpl w:val="04EE6FC4"/>
    <w:lvl w:ilvl="0" w:tplc="00E0D4E6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0C066C5D"/>
    <w:multiLevelType w:val="hybridMultilevel"/>
    <w:tmpl w:val="F7C4D44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0C890AD6"/>
    <w:multiLevelType w:val="hybridMultilevel"/>
    <w:tmpl w:val="092C4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B11F54"/>
    <w:multiLevelType w:val="hybridMultilevel"/>
    <w:tmpl w:val="3DBE0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A6FDB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D1F0D20"/>
    <w:multiLevelType w:val="hybridMultilevel"/>
    <w:tmpl w:val="787EE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FCD625A"/>
    <w:multiLevelType w:val="hybridMultilevel"/>
    <w:tmpl w:val="FC6ED01E"/>
    <w:lvl w:ilvl="0" w:tplc="081A408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0C3866"/>
    <w:multiLevelType w:val="hybridMultilevel"/>
    <w:tmpl w:val="D164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4F410F"/>
    <w:multiLevelType w:val="hybridMultilevel"/>
    <w:tmpl w:val="E3D855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797B3A"/>
    <w:multiLevelType w:val="hybridMultilevel"/>
    <w:tmpl w:val="41746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173131"/>
    <w:multiLevelType w:val="hybridMultilevel"/>
    <w:tmpl w:val="B2F01D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2B670F7"/>
    <w:multiLevelType w:val="hybridMultilevel"/>
    <w:tmpl w:val="13921F4E"/>
    <w:lvl w:ilvl="0" w:tplc="C6A41D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BC6F23"/>
    <w:multiLevelType w:val="hybridMultilevel"/>
    <w:tmpl w:val="D200E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0316F8"/>
    <w:multiLevelType w:val="multilevel"/>
    <w:tmpl w:val="3320A8B2"/>
    <w:numStyleLink w:val="VariantaB-odrky"/>
  </w:abstractNum>
  <w:abstractNum w:abstractNumId="42" w15:restartNumberingAfterBreak="0">
    <w:nsid w:val="13501B3A"/>
    <w:multiLevelType w:val="hybridMultilevel"/>
    <w:tmpl w:val="709A2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E269B8"/>
    <w:multiLevelType w:val="hybridMultilevel"/>
    <w:tmpl w:val="EE1C3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F54B63"/>
    <w:multiLevelType w:val="hybridMultilevel"/>
    <w:tmpl w:val="935232B0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1F2184"/>
    <w:multiLevelType w:val="multilevel"/>
    <w:tmpl w:val="6D62C7A6"/>
    <w:lvl w:ilvl="0">
      <w:start w:val="1"/>
      <w:numFmt w:val="none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143E3EAA"/>
    <w:multiLevelType w:val="hybridMultilevel"/>
    <w:tmpl w:val="74B47D4C"/>
    <w:lvl w:ilvl="0" w:tplc="8EFCD666">
      <w:start w:val="1"/>
      <w:numFmt w:val="decimal"/>
      <w:lvlText w:val="%1."/>
      <w:lvlJc w:val="left"/>
      <w:pPr>
        <w:ind w:left="720" w:hanging="360"/>
      </w:pPr>
    </w:lvl>
    <w:lvl w:ilvl="1" w:tplc="7FA44342">
      <w:start w:val="1"/>
      <w:numFmt w:val="lowerLetter"/>
      <w:lvlText w:val="%2."/>
      <w:lvlJc w:val="left"/>
      <w:pPr>
        <w:ind w:left="1440" w:hanging="360"/>
      </w:pPr>
    </w:lvl>
    <w:lvl w:ilvl="2" w:tplc="CCC6634A">
      <w:start w:val="1"/>
      <w:numFmt w:val="lowerRoman"/>
      <w:lvlText w:val="%3."/>
      <w:lvlJc w:val="right"/>
      <w:pPr>
        <w:ind w:left="2160" w:hanging="180"/>
      </w:pPr>
    </w:lvl>
    <w:lvl w:ilvl="3" w:tplc="A044CCBC">
      <w:start w:val="1"/>
      <w:numFmt w:val="decimal"/>
      <w:lvlText w:val="%4."/>
      <w:lvlJc w:val="left"/>
      <w:pPr>
        <w:ind w:left="2880" w:hanging="360"/>
      </w:pPr>
    </w:lvl>
    <w:lvl w:ilvl="4" w:tplc="DB12BC38">
      <w:start w:val="1"/>
      <w:numFmt w:val="lowerLetter"/>
      <w:lvlText w:val="%5."/>
      <w:lvlJc w:val="left"/>
      <w:pPr>
        <w:ind w:left="3600" w:hanging="360"/>
      </w:pPr>
    </w:lvl>
    <w:lvl w:ilvl="5" w:tplc="67FED0FA">
      <w:start w:val="1"/>
      <w:numFmt w:val="lowerRoman"/>
      <w:lvlText w:val="%6."/>
      <w:lvlJc w:val="right"/>
      <w:pPr>
        <w:ind w:left="4320" w:hanging="180"/>
      </w:pPr>
    </w:lvl>
    <w:lvl w:ilvl="6" w:tplc="ABF8D2B6">
      <w:start w:val="1"/>
      <w:numFmt w:val="decimal"/>
      <w:lvlText w:val="%7."/>
      <w:lvlJc w:val="left"/>
      <w:pPr>
        <w:ind w:left="5040" w:hanging="360"/>
      </w:pPr>
    </w:lvl>
    <w:lvl w:ilvl="7" w:tplc="21401AE8">
      <w:start w:val="1"/>
      <w:numFmt w:val="lowerLetter"/>
      <w:lvlText w:val="%8."/>
      <w:lvlJc w:val="left"/>
      <w:pPr>
        <w:ind w:left="5760" w:hanging="360"/>
      </w:pPr>
    </w:lvl>
    <w:lvl w:ilvl="8" w:tplc="B958FC6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8" w15:restartNumberingAfterBreak="0">
    <w:nsid w:val="16376351"/>
    <w:multiLevelType w:val="hybridMultilevel"/>
    <w:tmpl w:val="D73E0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7430B39"/>
    <w:multiLevelType w:val="hybridMultilevel"/>
    <w:tmpl w:val="CDD61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443E55"/>
    <w:multiLevelType w:val="hybridMultilevel"/>
    <w:tmpl w:val="F1D051BA"/>
    <w:lvl w:ilvl="0" w:tplc="54BC07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1872DA"/>
    <w:multiLevelType w:val="multilevel"/>
    <w:tmpl w:val="E8A48D7C"/>
    <w:numStyleLink w:val="VariantaA-sla"/>
  </w:abstractNum>
  <w:abstractNum w:abstractNumId="52" w15:restartNumberingAfterBreak="0">
    <w:nsid w:val="19A16392"/>
    <w:multiLevelType w:val="hybridMultilevel"/>
    <w:tmpl w:val="3B1ABC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5B5123"/>
    <w:multiLevelType w:val="hybridMultilevel"/>
    <w:tmpl w:val="FFBA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F030DB"/>
    <w:multiLevelType w:val="hybridMultilevel"/>
    <w:tmpl w:val="06BA5ABE"/>
    <w:lvl w:ilvl="0" w:tplc="7BD6463A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BA5502D"/>
    <w:multiLevelType w:val="hybridMultilevel"/>
    <w:tmpl w:val="1EC4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F9295E"/>
    <w:multiLevelType w:val="hybridMultilevel"/>
    <w:tmpl w:val="5E8E0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D087A0C"/>
    <w:multiLevelType w:val="hybridMultilevel"/>
    <w:tmpl w:val="D42E6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D3064B1"/>
    <w:multiLevelType w:val="hybridMultilevel"/>
    <w:tmpl w:val="F1E6C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8B1196"/>
    <w:multiLevelType w:val="hybridMultilevel"/>
    <w:tmpl w:val="9702B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1B1E0D"/>
    <w:multiLevelType w:val="hybridMultilevel"/>
    <w:tmpl w:val="18C80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E206164"/>
    <w:multiLevelType w:val="hybridMultilevel"/>
    <w:tmpl w:val="2436A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203C5A65"/>
    <w:multiLevelType w:val="multilevel"/>
    <w:tmpl w:val="E53022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b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04F27A7"/>
    <w:multiLevelType w:val="hybridMultilevel"/>
    <w:tmpl w:val="351A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97015F"/>
    <w:multiLevelType w:val="hybridMultilevel"/>
    <w:tmpl w:val="AFF60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0B5085B"/>
    <w:multiLevelType w:val="hybridMultilevel"/>
    <w:tmpl w:val="6154666A"/>
    <w:lvl w:ilvl="0" w:tplc="ABC05C1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990E80"/>
    <w:multiLevelType w:val="hybridMultilevel"/>
    <w:tmpl w:val="F7C6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1B7405"/>
    <w:multiLevelType w:val="hybridMultilevel"/>
    <w:tmpl w:val="8CB0A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7C7AE1"/>
    <w:multiLevelType w:val="hybridMultilevel"/>
    <w:tmpl w:val="68BA1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3A36490"/>
    <w:multiLevelType w:val="hybridMultilevel"/>
    <w:tmpl w:val="B7D27336"/>
    <w:lvl w:ilvl="0" w:tplc="705026D2">
      <w:start w:val="1"/>
      <w:numFmt w:val="bullet"/>
      <w:pStyle w:val="Odrka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4807F54"/>
    <w:multiLevelType w:val="multilevel"/>
    <w:tmpl w:val="11E619EA"/>
    <w:lvl w:ilvl="0">
      <w:start w:val="1"/>
      <w:numFmt w:val="lowerLetter"/>
      <w:pStyle w:val="Bullet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68489F"/>
    <w:multiLevelType w:val="hybridMultilevel"/>
    <w:tmpl w:val="887694C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5816CC8"/>
    <w:multiLevelType w:val="multilevel"/>
    <w:tmpl w:val="1E540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25986F90"/>
    <w:multiLevelType w:val="hybridMultilevel"/>
    <w:tmpl w:val="722C60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6250F77"/>
    <w:multiLevelType w:val="hybridMultilevel"/>
    <w:tmpl w:val="0F2A3B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6567AF0"/>
    <w:multiLevelType w:val="hybridMultilevel"/>
    <w:tmpl w:val="3392AEE8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26B63E73"/>
    <w:multiLevelType w:val="hybridMultilevel"/>
    <w:tmpl w:val="2264D278"/>
    <w:lvl w:ilvl="0" w:tplc="04F46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AC1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49A28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0E697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84EC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054C5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7A23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D941B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78E40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289A5EA2"/>
    <w:multiLevelType w:val="multilevel"/>
    <w:tmpl w:val="E8BAE50A"/>
    <w:numStyleLink w:val="VariantaA-odrky"/>
  </w:abstractNum>
  <w:abstractNum w:abstractNumId="80" w15:restartNumberingAfterBreak="0">
    <w:nsid w:val="28D830A4"/>
    <w:multiLevelType w:val="multilevel"/>
    <w:tmpl w:val="7D721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2B0F235F"/>
    <w:multiLevelType w:val="hybridMultilevel"/>
    <w:tmpl w:val="7D84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B354F4B"/>
    <w:multiLevelType w:val="multilevel"/>
    <w:tmpl w:val="65A61CE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2B853F54"/>
    <w:multiLevelType w:val="hybridMultilevel"/>
    <w:tmpl w:val="491C3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2C1E345F"/>
    <w:multiLevelType w:val="hybridMultilevel"/>
    <w:tmpl w:val="CFFA6AF8"/>
    <w:lvl w:ilvl="0" w:tplc="116475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08C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2F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2B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0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6C2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C63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BA4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E6A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D2759D7"/>
    <w:multiLevelType w:val="hybridMultilevel"/>
    <w:tmpl w:val="DFB6C838"/>
    <w:lvl w:ilvl="0" w:tplc="E3D61CF2">
      <w:start w:val="20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7" w15:restartNumberingAfterBreak="0">
    <w:nsid w:val="2DDF131F"/>
    <w:multiLevelType w:val="multilevel"/>
    <w:tmpl w:val="8A9E5F8A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88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0667839"/>
    <w:multiLevelType w:val="hybridMultilevel"/>
    <w:tmpl w:val="D92CF6D4"/>
    <w:lvl w:ilvl="0" w:tplc="E63874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0B13368"/>
    <w:multiLevelType w:val="hybridMultilevel"/>
    <w:tmpl w:val="6B46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F202D3"/>
    <w:multiLevelType w:val="hybridMultilevel"/>
    <w:tmpl w:val="6EBA5D06"/>
    <w:lvl w:ilvl="0" w:tplc="6CB276E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316E7DE4"/>
    <w:multiLevelType w:val="hybridMultilevel"/>
    <w:tmpl w:val="D6C04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1FF37DE"/>
    <w:multiLevelType w:val="hybridMultilevel"/>
    <w:tmpl w:val="0FF69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29B2D34"/>
    <w:multiLevelType w:val="hybridMultilevel"/>
    <w:tmpl w:val="EB688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4236E6B"/>
    <w:multiLevelType w:val="hybridMultilevel"/>
    <w:tmpl w:val="7E561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4636F86"/>
    <w:multiLevelType w:val="hybridMultilevel"/>
    <w:tmpl w:val="4F12D558"/>
    <w:lvl w:ilvl="0" w:tplc="516E7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310AB4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BE83E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474C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41C69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EAED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AC44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6D2AC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683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346E0CB8"/>
    <w:multiLevelType w:val="hybridMultilevel"/>
    <w:tmpl w:val="FD4CE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4707081"/>
    <w:multiLevelType w:val="hybridMultilevel"/>
    <w:tmpl w:val="DABCE9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0CC3"/>
    <w:multiLevelType w:val="hybridMultilevel"/>
    <w:tmpl w:val="A45602DE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1" w15:restartNumberingAfterBreak="0">
    <w:nsid w:val="34C234B9"/>
    <w:multiLevelType w:val="hybridMultilevel"/>
    <w:tmpl w:val="95CC43D6"/>
    <w:lvl w:ilvl="0" w:tplc="02B078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34D05C0F"/>
    <w:multiLevelType w:val="hybridMultilevel"/>
    <w:tmpl w:val="8E98C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DB45A8"/>
    <w:multiLevelType w:val="hybridMultilevel"/>
    <w:tmpl w:val="589EFC98"/>
    <w:lvl w:ilvl="0" w:tplc="32B221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ascii="Wingdings" w:hAnsi="Wingdings" w:hint="default"/>
      </w:rPr>
    </w:lvl>
  </w:abstractNum>
  <w:abstractNum w:abstractNumId="105" w15:restartNumberingAfterBreak="0">
    <w:nsid w:val="36E51E42"/>
    <w:multiLevelType w:val="hybridMultilevel"/>
    <w:tmpl w:val="13B8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731005E"/>
    <w:multiLevelType w:val="hybridMultilevel"/>
    <w:tmpl w:val="938A8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7556A2B"/>
    <w:multiLevelType w:val="hybridMultilevel"/>
    <w:tmpl w:val="75827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15A9906">
      <w:start w:val="1"/>
      <w:numFmt w:val="lowerLetter"/>
      <w:lvlText w:val="%2."/>
      <w:lvlJc w:val="left"/>
      <w:pPr>
        <w:ind w:left="1440" w:hanging="360"/>
      </w:pPr>
    </w:lvl>
    <w:lvl w:ilvl="2" w:tplc="0BFC13E0">
      <w:start w:val="1"/>
      <w:numFmt w:val="lowerRoman"/>
      <w:lvlText w:val="%3."/>
      <w:lvlJc w:val="right"/>
      <w:pPr>
        <w:ind w:left="2160" w:hanging="180"/>
      </w:pPr>
    </w:lvl>
    <w:lvl w:ilvl="3" w:tplc="E3C47B2E">
      <w:start w:val="1"/>
      <w:numFmt w:val="decimal"/>
      <w:lvlText w:val="%4."/>
      <w:lvlJc w:val="left"/>
      <w:pPr>
        <w:ind w:left="2880" w:hanging="360"/>
      </w:pPr>
    </w:lvl>
    <w:lvl w:ilvl="4" w:tplc="31BA21F0">
      <w:start w:val="1"/>
      <w:numFmt w:val="lowerLetter"/>
      <w:lvlText w:val="%5."/>
      <w:lvlJc w:val="left"/>
      <w:pPr>
        <w:ind w:left="3600" w:hanging="360"/>
      </w:pPr>
    </w:lvl>
    <w:lvl w:ilvl="5" w:tplc="61FA2D0C">
      <w:start w:val="1"/>
      <w:numFmt w:val="lowerRoman"/>
      <w:lvlText w:val="%6."/>
      <w:lvlJc w:val="right"/>
      <w:pPr>
        <w:ind w:left="4320" w:hanging="180"/>
      </w:pPr>
    </w:lvl>
    <w:lvl w:ilvl="6" w:tplc="A4F620E2">
      <w:start w:val="1"/>
      <w:numFmt w:val="decimal"/>
      <w:lvlText w:val="%7."/>
      <w:lvlJc w:val="left"/>
      <w:pPr>
        <w:ind w:left="5040" w:hanging="360"/>
      </w:pPr>
    </w:lvl>
    <w:lvl w:ilvl="7" w:tplc="C4E414FC">
      <w:start w:val="1"/>
      <w:numFmt w:val="lowerLetter"/>
      <w:lvlText w:val="%8."/>
      <w:lvlJc w:val="left"/>
      <w:pPr>
        <w:ind w:left="5760" w:hanging="360"/>
      </w:pPr>
    </w:lvl>
    <w:lvl w:ilvl="8" w:tplc="514C671C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7F042AD"/>
    <w:multiLevelType w:val="multilevel"/>
    <w:tmpl w:val="6B620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3B0B4A7B"/>
    <w:multiLevelType w:val="hybridMultilevel"/>
    <w:tmpl w:val="004E0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D22F2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1" w15:restartNumberingAfterBreak="0">
    <w:nsid w:val="3BEF712A"/>
    <w:multiLevelType w:val="multilevel"/>
    <w:tmpl w:val="40C2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3C055198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3C526605"/>
    <w:multiLevelType w:val="hybridMultilevel"/>
    <w:tmpl w:val="58983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D2E3D09"/>
    <w:multiLevelType w:val="hybridMultilevel"/>
    <w:tmpl w:val="A8880A84"/>
    <w:lvl w:ilvl="0" w:tplc="0B620A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DC905ED"/>
    <w:multiLevelType w:val="hybridMultilevel"/>
    <w:tmpl w:val="B7F6E590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DFA55AC"/>
    <w:multiLevelType w:val="hybridMultilevel"/>
    <w:tmpl w:val="615C98E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3934F3D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E51754D"/>
    <w:multiLevelType w:val="hybridMultilevel"/>
    <w:tmpl w:val="978AF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EF03ABC"/>
    <w:multiLevelType w:val="hybridMultilevel"/>
    <w:tmpl w:val="2BD888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FFC77F9"/>
    <w:multiLevelType w:val="multilevel"/>
    <w:tmpl w:val="BC64CB56"/>
    <w:lvl w:ilvl="0">
      <w:start w:val="1"/>
      <w:numFmt w:val="bullet"/>
      <w:pStyle w:val="Bullet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0203F75"/>
    <w:multiLevelType w:val="hybridMultilevel"/>
    <w:tmpl w:val="4A366182"/>
    <w:lvl w:ilvl="0" w:tplc="2698EE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82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DA2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AB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0D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8CD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6E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6E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021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0274749"/>
    <w:multiLevelType w:val="hybridMultilevel"/>
    <w:tmpl w:val="028E6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29D3310"/>
    <w:multiLevelType w:val="hybridMultilevel"/>
    <w:tmpl w:val="3BCECB82"/>
    <w:lvl w:ilvl="0" w:tplc="94200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F0E04E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800F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C6F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2ACC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A4ADA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9C2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1EE3B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806C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42E8702A"/>
    <w:multiLevelType w:val="hybridMultilevel"/>
    <w:tmpl w:val="B3EC17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3F300B5"/>
    <w:multiLevelType w:val="hybridMultilevel"/>
    <w:tmpl w:val="B1E4F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4FE7BA9"/>
    <w:multiLevelType w:val="hybridMultilevel"/>
    <w:tmpl w:val="40046646"/>
    <w:lvl w:ilvl="0" w:tplc="FD4E40E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5A03C9B"/>
    <w:multiLevelType w:val="hybridMultilevel"/>
    <w:tmpl w:val="731EB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6F601F4"/>
    <w:multiLevelType w:val="hybridMultilevel"/>
    <w:tmpl w:val="2994A148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475018A6"/>
    <w:multiLevelType w:val="hybridMultilevel"/>
    <w:tmpl w:val="C1AC7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82B59FA"/>
    <w:multiLevelType w:val="hybridMultilevel"/>
    <w:tmpl w:val="8C621A9E"/>
    <w:lvl w:ilvl="0" w:tplc="3FD08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85769BB"/>
    <w:multiLevelType w:val="hybridMultilevel"/>
    <w:tmpl w:val="EF5C35C8"/>
    <w:lvl w:ilvl="0" w:tplc="8DDE20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7942C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40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2F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6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8CBA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C15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C3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8B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88C5BAF"/>
    <w:multiLevelType w:val="multilevel"/>
    <w:tmpl w:val="31423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48B16960"/>
    <w:multiLevelType w:val="hybridMultilevel"/>
    <w:tmpl w:val="D89EAFBC"/>
    <w:lvl w:ilvl="0" w:tplc="E8246AD4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6" w15:restartNumberingAfterBreak="0">
    <w:nsid w:val="496E4251"/>
    <w:multiLevelType w:val="hybridMultilevel"/>
    <w:tmpl w:val="D7FEB2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A75F94"/>
    <w:multiLevelType w:val="hybridMultilevel"/>
    <w:tmpl w:val="F4841E3C"/>
    <w:lvl w:ilvl="0" w:tplc="0C92B4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9E76422"/>
    <w:multiLevelType w:val="hybridMultilevel"/>
    <w:tmpl w:val="8A6E1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A334652"/>
    <w:multiLevelType w:val="hybridMultilevel"/>
    <w:tmpl w:val="F1FE5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AEC7401"/>
    <w:multiLevelType w:val="hybridMultilevel"/>
    <w:tmpl w:val="4FCA4908"/>
    <w:lvl w:ilvl="0" w:tplc="F7DC5B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D026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D1C72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CC2DD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D58E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F9A06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90C91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96441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02475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4AF144B5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1116DD"/>
    <w:multiLevelType w:val="hybridMultilevel"/>
    <w:tmpl w:val="C7D0F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B2D3C69"/>
    <w:multiLevelType w:val="hybridMultilevel"/>
    <w:tmpl w:val="F90E1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BAC4AC1"/>
    <w:multiLevelType w:val="hybridMultilevel"/>
    <w:tmpl w:val="33A229AA"/>
    <w:lvl w:ilvl="0" w:tplc="DC460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5A03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08698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10435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92C0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AF0027E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528145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CACEE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9D6CC1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6" w15:restartNumberingAfterBreak="0">
    <w:nsid w:val="4BFB1B5E"/>
    <w:multiLevelType w:val="hybridMultilevel"/>
    <w:tmpl w:val="593E11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D4C11B3"/>
    <w:multiLevelType w:val="hybridMultilevel"/>
    <w:tmpl w:val="5038D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4E2A68BD"/>
    <w:multiLevelType w:val="multilevel"/>
    <w:tmpl w:val="B930F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4EED13B9"/>
    <w:multiLevelType w:val="hybridMultilevel"/>
    <w:tmpl w:val="68DE9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1" w15:restartNumberingAfterBreak="0">
    <w:nsid w:val="4FF418EE"/>
    <w:multiLevelType w:val="hybridMultilevel"/>
    <w:tmpl w:val="22E86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10D3914"/>
    <w:multiLevelType w:val="hybridMultilevel"/>
    <w:tmpl w:val="DC289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1B12AA2"/>
    <w:multiLevelType w:val="hybridMultilevel"/>
    <w:tmpl w:val="E7F8D1A6"/>
    <w:lvl w:ilvl="0" w:tplc="CD6E9F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25F3C34"/>
    <w:multiLevelType w:val="hybridMultilevel"/>
    <w:tmpl w:val="C512F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3861237"/>
    <w:multiLevelType w:val="multilevel"/>
    <w:tmpl w:val="D5EC4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3D01997"/>
    <w:multiLevelType w:val="hybridMultilevel"/>
    <w:tmpl w:val="D4766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41B4A5A"/>
    <w:multiLevelType w:val="hybridMultilevel"/>
    <w:tmpl w:val="5CDCE9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F74753"/>
    <w:multiLevelType w:val="hybridMultilevel"/>
    <w:tmpl w:val="1C1CD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5F572F4"/>
    <w:multiLevelType w:val="hybridMultilevel"/>
    <w:tmpl w:val="745EA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6D02B73"/>
    <w:multiLevelType w:val="hybridMultilevel"/>
    <w:tmpl w:val="3E06D5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839424F"/>
    <w:multiLevelType w:val="multilevel"/>
    <w:tmpl w:val="27C8A03A"/>
    <w:lvl w:ilvl="0">
      <w:start w:val="4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3" w15:restartNumberingAfterBreak="0">
    <w:nsid w:val="589219C5"/>
    <w:multiLevelType w:val="multilevel"/>
    <w:tmpl w:val="90C44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65" w15:restartNumberingAfterBreak="0">
    <w:nsid w:val="59071930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91D66AA"/>
    <w:multiLevelType w:val="hybridMultilevel"/>
    <w:tmpl w:val="ABB26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96830A6"/>
    <w:multiLevelType w:val="hybridMultilevel"/>
    <w:tmpl w:val="FAB47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9763A65"/>
    <w:multiLevelType w:val="multilevel"/>
    <w:tmpl w:val="03589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9" w15:restartNumberingAfterBreak="0">
    <w:nsid w:val="59EE46DD"/>
    <w:multiLevelType w:val="multilevel"/>
    <w:tmpl w:val="B5D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59F672A1"/>
    <w:multiLevelType w:val="hybridMultilevel"/>
    <w:tmpl w:val="118431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A042368"/>
    <w:multiLevelType w:val="hybridMultilevel"/>
    <w:tmpl w:val="78D4FD46"/>
    <w:lvl w:ilvl="0" w:tplc="D9C8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8AEE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401C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59A5A0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3E5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960852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7BB2E4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1FEE5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1F1AA1A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2" w15:restartNumberingAfterBreak="0">
    <w:nsid w:val="5AF35F43"/>
    <w:multiLevelType w:val="multilevel"/>
    <w:tmpl w:val="0D8ABE32"/>
    <w:numStyleLink w:val="VariantaB-sla"/>
  </w:abstractNum>
  <w:abstractNum w:abstractNumId="173" w15:restartNumberingAfterBreak="0">
    <w:nsid w:val="5B993398"/>
    <w:multiLevelType w:val="hybridMultilevel"/>
    <w:tmpl w:val="2842EF8E"/>
    <w:lvl w:ilvl="0" w:tplc="E078F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4E3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88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41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00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CC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FE2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5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02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7C41A4"/>
    <w:multiLevelType w:val="hybridMultilevel"/>
    <w:tmpl w:val="F46A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CE87E99"/>
    <w:multiLevelType w:val="hybridMultilevel"/>
    <w:tmpl w:val="2E142642"/>
    <w:lvl w:ilvl="0" w:tplc="547C6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C0ED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8DE13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8303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F7AB1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F227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20AB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4AC5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6827E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5D5A0642"/>
    <w:multiLevelType w:val="hybridMultilevel"/>
    <w:tmpl w:val="BA8032FC"/>
    <w:lvl w:ilvl="0" w:tplc="51662F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E7F7455"/>
    <w:multiLevelType w:val="hybridMultilevel"/>
    <w:tmpl w:val="4BE282B8"/>
    <w:lvl w:ilvl="0" w:tplc="451A8C2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EC43FE5"/>
    <w:multiLevelType w:val="hybridMultilevel"/>
    <w:tmpl w:val="96C0B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5F3821B3"/>
    <w:multiLevelType w:val="hybridMultilevel"/>
    <w:tmpl w:val="1402FE0E"/>
    <w:lvl w:ilvl="0" w:tplc="953457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2F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9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180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8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C6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29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CE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0A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F632349"/>
    <w:multiLevelType w:val="hybridMultilevel"/>
    <w:tmpl w:val="CF848F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07822A2"/>
    <w:multiLevelType w:val="hybridMultilevel"/>
    <w:tmpl w:val="9DA4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0BC696E"/>
    <w:multiLevelType w:val="hybridMultilevel"/>
    <w:tmpl w:val="D2B01F9E"/>
    <w:lvl w:ilvl="0" w:tplc="366ACE3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4" w15:restartNumberingAfterBreak="0">
    <w:nsid w:val="61F24831"/>
    <w:multiLevelType w:val="hybridMultilevel"/>
    <w:tmpl w:val="78D4FD46"/>
    <w:lvl w:ilvl="0" w:tplc="5060F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7C25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D401FA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B7C7F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68B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E3A835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B32ADF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AAB67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146270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5" w15:restartNumberingAfterBreak="0">
    <w:nsid w:val="63CC5FB6"/>
    <w:multiLevelType w:val="hybridMultilevel"/>
    <w:tmpl w:val="49DE5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4834C75"/>
    <w:multiLevelType w:val="hybridMultilevel"/>
    <w:tmpl w:val="BD3AFD6C"/>
    <w:lvl w:ilvl="0" w:tplc="02B07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4AF6A46"/>
    <w:multiLevelType w:val="multilevel"/>
    <w:tmpl w:val="A3F6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8" w15:restartNumberingAfterBreak="0">
    <w:nsid w:val="6563513C"/>
    <w:multiLevelType w:val="hybridMultilevel"/>
    <w:tmpl w:val="41B8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AE6AC8"/>
    <w:multiLevelType w:val="hybridMultilevel"/>
    <w:tmpl w:val="63AC32AE"/>
    <w:lvl w:ilvl="0" w:tplc="A244A40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66CC7AF2"/>
    <w:multiLevelType w:val="hybridMultilevel"/>
    <w:tmpl w:val="809C675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850541"/>
    <w:multiLevelType w:val="hybridMultilevel"/>
    <w:tmpl w:val="90C2F1B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D5738B"/>
    <w:multiLevelType w:val="multilevel"/>
    <w:tmpl w:val="EA3A78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8E31454"/>
    <w:multiLevelType w:val="hybridMultilevel"/>
    <w:tmpl w:val="0AA6C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9B6478F"/>
    <w:multiLevelType w:val="hybridMultilevel"/>
    <w:tmpl w:val="E4262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9C61886"/>
    <w:multiLevelType w:val="hybridMultilevel"/>
    <w:tmpl w:val="5FE8DF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A3C547A"/>
    <w:multiLevelType w:val="hybridMultilevel"/>
    <w:tmpl w:val="A02C5E7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2148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8" w15:restartNumberingAfterBreak="0">
    <w:nsid w:val="6AE76B83"/>
    <w:multiLevelType w:val="hybridMultilevel"/>
    <w:tmpl w:val="4AFE64E2"/>
    <w:lvl w:ilvl="0" w:tplc="333017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A87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16C8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38E7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6EEBA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7F8B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608D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802A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C1A2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9" w15:restartNumberingAfterBreak="0">
    <w:nsid w:val="6B377A94"/>
    <w:multiLevelType w:val="hybridMultilevel"/>
    <w:tmpl w:val="39806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C1821B5"/>
    <w:multiLevelType w:val="hybridMultilevel"/>
    <w:tmpl w:val="C6762262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1" w15:restartNumberingAfterBreak="0">
    <w:nsid w:val="6C386F69"/>
    <w:multiLevelType w:val="hybridMultilevel"/>
    <w:tmpl w:val="9FF61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C413E15"/>
    <w:multiLevelType w:val="multilevel"/>
    <w:tmpl w:val="D6C4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6C960A49"/>
    <w:multiLevelType w:val="hybridMultilevel"/>
    <w:tmpl w:val="92B6F3E6"/>
    <w:lvl w:ilvl="0" w:tplc="4C2CB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4049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34C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C7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6B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09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40C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C4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EC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DAC25BB"/>
    <w:multiLevelType w:val="hybridMultilevel"/>
    <w:tmpl w:val="7E54E1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5" w15:restartNumberingAfterBreak="0">
    <w:nsid w:val="6FF972DF"/>
    <w:multiLevelType w:val="hybridMultilevel"/>
    <w:tmpl w:val="09266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0B9491F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71481EFA"/>
    <w:multiLevelType w:val="multilevel"/>
    <w:tmpl w:val="31283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1E404A0"/>
    <w:multiLevelType w:val="hybridMultilevel"/>
    <w:tmpl w:val="2188D572"/>
    <w:lvl w:ilvl="0" w:tplc="EE5035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2172937"/>
    <w:multiLevelType w:val="hybridMultilevel"/>
    <w:tmpl w:val="AC0E4740"/>
    <w:lvl w:ilvl="0" w:tplc="D466C2E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DB4C9F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C88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382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08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4EF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8D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E5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DAB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25D2FB0"/>
    <w:multiLevelType w:val="hybridMultilevel"/>
    <w:tmpl w:val="64DCD8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749F4D87"/>
    <w:multiLevelType w:val="hybridMultilevel"/>
    <w:tmpl w:val="09F41F2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2" w15:restartNumberingAfterBreak="0">
    <w:nsid w:val="74AF29F5"/>
    <w:multiLevelType w:val="hybridMultilevel"/>
    <w:tmpl w:val="CBC4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4C4660B"/>
    <w:multiLevelType w:val="hybridMultilevel"/>
    <w:tmpl w:val="6B728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4F36579"/>
    <w:multiLevelType w:val="hybridMultilevel"/>
    <w:tmpl w:val="527482C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6" w15:restartNumberingAfterBreak="0">
    <w:nsid w:val="754F1B74"/>
    <w:multiLevelType w:val="hybridMultilevel"/>
    <w:tmpl w:val="CC183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5A17727"/>
    <w:multiLevelType w:val="hybridMultilevel"/>
    <w:tmpl w:val="E15AB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72930D3"/>
    <w:multiLevelType w:val="hybridMultilevel"/>
    <w:tmpl w:val="B8867414"/>
    <w:lvl w:ilvl="0" w:tplc="911C5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2E3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4B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1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43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969D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24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AB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28E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7316BB7"/>
    <w:multiLevelType w:val="hybridMultilevel"/>
    <w:tmpl w:val="381CEF9E"/>
    <w:lvl w:ilvl="0" w:tplc="2686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494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E9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46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06E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EEA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EC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0F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B85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9F92338"/>
    <w:multiLevelType w:val="hybridMultilevel"/>
    <w:tmpl w:val="78D4FD46"/>
    <w:lvl w:ilvl="0" w:tplc="E0304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3E0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7F6926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30E2BD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5DAA0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826CEB1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3E027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2023C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CB60AF8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2" w15:restartNumberingAfterBreak="0">
    <w:nsid w:val="7C075D81"/>
    <w:multiLevelType w:val="hybridMultilevel"/>
    <w:tmpl w:val="F3D02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C4E105E"/>
    <w:multiLevelType w:val="hybridMultilevel"/>
    <w:tmpl w:val="2C76334C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4" w15:restartNumberingAfterBreak="0">
    <w:nsid w:val="7CC032FF"/>
    <w:multiLevelType w:val="hybridMultilevel"/>
    <w:tmpl w:val="48066D8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5" w15:restartNumberingAfterBreak="0">
    <w:nsid w:val="7D527377"/>
    <w:multiLevelType w:val="hybridMultilevel"/>
    <w:tmpl w:val="9D3A46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8" w15:restartNumberingAfterBreak="0">
    <w:nsid w:val="7EC05A0A"/>
    <w:multiLevelType w:val="hybridMultilevel"/>
    <w:tmpl w:val="0BAAF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ED75EB5"/>
    <w:multiLevelType w:val="hybridMultilevel"/>
    <w:tmpl w:val="297AA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EF5504A"/>
    <w:multiLevelType w:val="hybridMultilevel"/>
    <w:tmpl w:val="E86C0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F594298"/>
    <w:multiLevelType w:val="hybridMultilevel"/>
    <w:tmpl w:val="04EE7828"/>
    <w:lvl w:ilvl="0" w:tplc="F0CA0E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26E3576">
      <w:start w:val="1"/>
      <w:numFmt w:val="lowerLetter"/>
      <w:lvlText w:val="%2."/>
      <w:lvlJc w:val="left"/>
      <w:pPr>
        <w:ind w:left="1080" w:hanging="360"/>
      </w:pPr>
    </w:lvl>
    <w:lvl w:ilvl="2" w:tplc="6958BEB2">
      <w:start w:val="1"/>
      <w:numFmt w:val="lowerRoman"/>
      <w:lvlText w:val="%3."/>
      <w:lvlJc w:val="right"/>
      <w:pPr>
        <w:ind w:left="1800" w:hanging="180"/>
      </w:pPr>
    </w:lvl>
    <w:lvl w:ilvl="3" w:tplc="46324950">
      <w:start w:val="1"/>
      <w:numFmt w:val="decimal"/>
      <w:lvlText w:val="%4."/>
      <w:lvlJc w:val="left"/>
      <w:pPr>
        <w:ind w:left="2520" w:hanging="360"/>
      </w:pPr>
    </w:lvl>
    <w:lvl w:ilvl="4" w:tplc="0936B0A4">
      <w:start w:val="1"/>
      <w:numFmt w:val="lowerLetter"/>
      <w:lvlText w:val="%5."/>
      <w:lvlJc w:val="left"/>
      <w:pPr>
        <w:ind w:left="3240" w:hanging="360"/>
      </w:pPr>
    </w:lvl>
    <w:lvl w:ilvl="5" w:tplc="F078E396">
      <w:start w:val="1"/>
      <w:numFmt w:val="lowerRoman"/>
      <w:lvlText w:val="%6."/>
      <w:lvlJc w:val="right"/>
      <w:pPr>
        <w:ind w:left="3960" w:hanging="180"/>
      </w:pPr>
    </w:lvl>
    <w:lvl w:ilvl="6" w:tplc="8A3A38DA">
      <w:start w:val="1"/>
      <w:numFmt w:val="decimal"/>
      <w:lvlText w:val="%7."/>
      <w:lvlJc w:val="left"/>
      <w:pPr>
        <w:ind w:left="4680" w:hanging="360"/>
      </w:pPr>
    </w:lvl>
    <w:lvl w:ilvl="7" w:tplc="541E99AA">
      <w:start w:val="1"/>
      <w:numFmt w:val="lowerLetter"/>
      <w:lvlText w:val="%8."/>
      <w:lvlJc w:val="left"/>
      <w:pPr>
        <w:ind w:left="5400" w:hanging="360"/>
      </w:pPr>
    </w:lvl>
    <w:lvl w:ilvl="8" w:tplc="7C3229FA">
      <w:start w:val="1"/>
      <w:numFmt w:val="lowerRoman"/>
      <w:lvlText w:val="%9."/>
      <w:lvlJc w:val="right"/>
      <w:pPr>
        <w:ind w:left="6120" w:hanging="180"/>
      </w:pPr>
    </w:lvl>
  </w:abstractNum>
  <w:abstractNum w:abstractNumId="232" w15:restartNumberingAfterBreak="0">
    <w:nsid w:val="7F786EDC"/>
    <w:multiLevelType w:val="hybridMultilevel"/>
    <w:tmpl w:val="87D2E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64"/>
  </w:num>
  <w:num w:numId="3">
    <w:abstractNumId w:val="150"/>
  </w:num>
  <w:num w:numId="4">
    <w:abstractNumId w:val="6"/>
  </w:num>
  <w:num w:numId="5">
    <w:abstractNumId w:val="172"/>
  </w:num>
  <w:num w:numId="6">
    <w:abstractNumId w:val="79"/>
  </w:num>
  <w:num w:numId="7">
    <w:abstractNumId w:val="51"/>
  </w:num>
  <w:num w:numId="8">
    <w:abstractNumId w:val="41"/>
  </w:num>
  <w:num w:numId="9">
    <w:abstractNumId w:val="71"/>
  </w:num>
  <w:num w:numId="10">
    <w:abstractNumId w:val="45"/>
  </w:num>
  <w:num w:numId="11">
    <w:abstractNumId w:val="45"/>
    <w:lvlOverride w:ilvl="0">
      <w:lvl w:ilvl="0">
        <w:start w:val="1"/>
        <w:numFmt w:val="none"/>
        <w:pStyle w:val="Nadpis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2">
    <w:abstractNumId w:val="114"/>
  </w:num>
  <w:num w:numId="13">
    <w:abstractNumId w:val="147"/>
  </w:num>
  <w:num w:numId="14">
    <w:abstractNumId w:val="159"/>
  </w:num>
  <w:num w:numId="15">
    <w:abstractNumId w:val="92"/>
  </w:num>
  <w:num w:numId="16">
    <w:abstractNumId w:val="93"/>
  </w:num>
  <w:num w:numId="17">
    <w:abstractNumId w:val="42"/>
  </w:num>
  <w:num w:numId="18">
    <w:abstractNumId w:val="188"/>
  </w:num>
  <w:num w:numId="19">
    <w:abstractNumId w:val="70"/>
  </w:num>
  <w:num w:numId="20">
    <w:abstractNumId w:val="195"/>
  </w:num>
  <w:num w:numId="21">
    <w:abstractNumId w:val="4"/>
  </w:num>
  <w:num w:numId="22">
    <w:abstractNumId w:val="5"/>
  </w:num>
  <w:num w:numId="23">
    <w:abstractNumId w:val="225"/>
  </w:num>
  <w:num w:numId="24">
    <w:abstractNumId w:val="85"/>
  </w:num>
  <w:num w:numId="25">
    <w:abstractNumId w:val="3"/>
  </w:num>
  <w:num w:numId="26">
    <w:abstractNumId w:val="203"/>
  </w:num>
  <w:num w:numId="27">
    <w:abstractNumId w:val="180"/>
  </w:num>
  <w:num w:numId="28">
    <w:abstractNumId w:val="1"/>
  </w:num>
  <w:num w:numId="29">
    <w:abstractNumId w:val="197"/>
  </w:num>
  <w:num w:numId="30">
    <w:abstractNumId w:val="161"/>
  </w:num>
  <w:num w:numId="31">
    <w:abstractNumId w:val="48"/>
  </w:num>
  <w:num w:numId="32">
    <w:abstractNumId w:val="100"/>
  </w:num>
  <w:num w:numId="33">
    <w:abstractNumId w:val="52"/>
  </w:num>
  <w:num w:numId="34">
    <w:abstractNumId w:val="7"/>
  </w:num>
  <w:num w:numId="35">
    <w:abstractNumId w:val="77"/>
  </w:num>
  <w:num w:numId="36">
    <w:abstractNumId w:val="110"/>
  </w:num>
  <w:num w:numId="37">
    <w:abstractNumId w:val="227"/>
  </w:num>
  <w:num w:numId="38">
    <w:abstractNumId w:val="84"/>
  </w:num>
  <w:num w:numId="39">
    <w:abstractNumId w:val="21"/>
  </w:num>
  <w:num w:numId="40">
    <w:abstractNumId w:val="28"/>
  </w:num>
  <w:num w:numId="41">
    <w:abstractNumId w:val="215"/>
  </w:num>
  <w:num w:numId="42">
    <w:abstractNumId w:val="60"/>
  </w:num>
  <w:num w:numId="43">
    <w:abstractNumId w:val="63"/>
  </w:num>
  <w:num w:numId="44">
    <w:abstractNumId w:val="137"/>
  </w:num>
  <w:num w:numId="45">
    <w:abstractNumId w:val="226"/>
  </w:num>
  <w:num w:numId="46">
    <w:abstractNumId w:val="193"/>
  </w:num>
  <w:num w:numId="47">
    <w:abstractNumId w:val="207"/>
  </w:num>
  <w:num w:numId="48">
    <w:abstractNumId w:val="46"/>
  </w:num>
  <w:num w:numId="49">
    <w:abstractNumId w:val="109"/>
  </w:num>
  <w:num w:numId="50">
    <w:abstractNumId w:val="142"/>
  </w:num>
  <w:num w:numId="51">
    <w:abstractNumId w:val="126"/>
  </w:num>
  <w:num w:numId="52">
    <w:abstractNumId w:val="89"/>
  </w:num>
  <w:num w:numId="53">
    <w:abstractNumId w:val="170"/>
  </w:num>
  <w:num w:numId="54">
    <w:abstractNumId w:val="165"/>
  </w:num>
  <w:num w:numId="55">
    <w:abstractNumId w:val="153"/>
  </w:num>
  <w:num w:numId="56">
    <w:abstractNumId w:val="35"/>
  </w:num>
  <w:num w:numId="57">
    <w:abstractNumId w:val="99"/>
  </w:num>
  <w:num w:numId="58">
    <w:abstractNumId w:val="27"/>
  </w:num>
  <w:num w:numId="59">
    <w:abstractNumId w:val="30"/>
  </w:num>
  <w:num w:numId="60">
    <w:abstractNumId w:val="228"/>
  </w:num>
  <w:num w:numId="61">
    <w:abstractNumId w:val="44"/>
  </w:num>
  <w:num w:numId="62">
    <w:abstractNumId w:val="191"/>
  </w:num>
  <w:num w:numId="63">
    <w:abstractNumId w:val="10"/>
  </w:num>
  <w:num w:numId="64">
    <w:abstractNumId w:val="53"/>
  </w:num>
  <w:num w:numId="65">
    <w:abstractNumId w:val="50"/>
  </w:num>
  <w:num w:numId="66">
    <w:abstractNumId w:val="139"/>
  </w:num>
  <w:num w:numId="67">
    <w:abstractNumId w:val="120"/>
  </w:num>
  <w:num w:numId="68">
    <w:abstractNumId w:val="54"/>
  </w:num>
  <w:num w:numId="69">
    <w:abstractNumId w:val="38"/>
  </w:num>
  <w:num w:numId="70">
    <w:abstractNumId w:val="118"/>
  </w:num>
  <w:num w:numId="71">
    <w:abstractNumId w:val="210"/>
  </w:num>
  <w:num w:numId="72">
    <w:abstractNumId w:val="119"/>
  </w:num>
  <w:num w:numId="73">
    <w:abstractNumId w:val="33"/>
  </w:num>
  <w:num w:numId="74">
    <w:abstractNumId w:val="116"/>
  </w:num>
  <w:num w:numId="75">
    <w:abstractNumId w:val="182"/>
  </w:num>
  <w:num w:numId="76">
    <w:abstractNumId w:val="154"/>
  </w:num>
  <w:num w:numId="77">
    <w:abstractNumId w:val="104"/>
  </w:num>
  <w:num w:numId="78">
    <w:abstractNumId w:val="124"/>
  </w:num>
  <w:num w:numId="79">
    <w:abstractNumId w:val="75"/>
  </w:num>
  <w:num w:numId="80">
    <w:abstractNumId w:val="128"/>
  </w:num>
  <w:num w:numId="81">
    <w:abstractNumId w:val="115"/>
  </w:num>
  <w:num w:numId="82">
    <w:abstractNumId w:val="23"/>
  </w:num>
  <w:num w:numId="83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6"/>
  </w:num>
  <w:num w:numId="85">
    <w:abstractNumId w:val="131"/>
  </w:num>
  <w:num w:numId="86">
    <w:abstractNumId w:val="113"/>
  </w:num>
  <w:num w:numId="87">
    <w:abstractNumId w:val="86"/>
  </w:num>
  <w:num w:numId="88">
    <w:abstractNumId w:val="183"/>
  </w:num>
  <w:num w:numId="89">
    <w:abstractNumId w:val="122"/>
  </w:num>
  <w:num w:numId="90">
    <w:abstractNumId w:val="219"/>
  </w:num>
  <w:num w:numId="91">
    <w:abstractNumId w:val="173"/>
  </w:num>
  <w:num w:numId="92">
    <w:abstractNumId w:val="19"/>
  </w:num>
  <w:num w:numId="93">
    <w:abstractNumId w:val="105"/>
  </w:num>
  <w:num w:numId="94">
    <w:abstractNumId w:val="78"/>
  </w:num>
  <w:num w:numId="95">
    <w:abstractNumId w:val="175"/>
  </w:num>
  <w:num w:numId="96">
    <w:abstractNumId w:val="8"/>
  </w:num>
  <w:num w:numId="97">
    <w:abstractNumId w:val="141"/>
  </w:num>
  <w:num w:numId="98">
    <w:abstractNumId w:val="97"/>
  </w:num>
  <w:num w:numId="99">
    <w:abstractNumId w:val="125"/>
  </w:num>
  <w:num w:numId="100">
    <w:abstractNumId w:val="123"/>
  </w:num>
  <w:num w:numId="101">
    <w:abstractNumId w:val="67"/>
  </w:num>
  <w:num w:numId="102">
    <w:abstractNumId w:val="9"/>
  </w:num>
  <w:num w:numId="103">
    <w:abstractNumId w:val="66"/>
  </w:num>
  <w:num w:numId="104">
    <w:abstractNumId w:val="160"/>
  </w:num>
  <w:num w:numId="105">
    <w:abstractNumId w:val="96"/>
  </w:num>
  <w:num w:numId="106">
    <w:abstractNumId w:val="158"/>
  </w:num>
  <w:num w:numId="107">
    <w:abstractNumId w:val="34"/>
  </w:num>
  <w:num w:numId="108">
    <w:abstractNumId w:val="13"/>
  </w:num>
  <w:num w:numId="109">
    <w:abstractNumId w:val="107"/>
  </w:num>
  <w:num w:numId="110">
    <w:abstractNumId w:val="231"/>
  </w:num>
  <w:num w:numId="111">
    <w:abstractNumId w:val="146"/>
  </w:num>
  <w:num w:numId="112">
    <w:abstractNumId w:val="73"/>
  </w:num>
  <w:num w:numId="113">
    <w:abstractNumId w:val="14"/>
  </w:num>
  <w:num w:numId="114">
    <w:abstractNumId w:val="133"/>
  </w:num>
  <w:num w:numId="115">
    <w:abstractNumId w:val="209"/>
  </w:num>
  <w:num w:numId="116">
    <w:abstractNumId w:val="218"/>
  </w:num>
  <w:num w:numId="117">
    <w:abstractNumId w:val="127"/>
  </w:num>
  <w:num w:numId="118">
    <w:abstractNumId w:val="143"/>
  </w:num>
  <w:num w:numId="119">
    <w:abstractNumId w:val="25"/>
  </w:num>
  <w:num w:numId="120">
    <w:abstractNumId w:val="24"/>
  </w:num>
  <w:num w:numId="121">
    <w:abstractNumId w:val="222"/>
  </w:num>
  <w:num w:numId="122">
    <w:abstractNumId w:val="181"/>
  </w:num>
  <w:num w:numId="123">
    <w:abstractNumId w:val="212"/>
  </w:num>
  <w:num w:numId="124">
    <w:abstractNumId w:val="186"/>
  </w:num>
  <w:num w:numId="125">
    <w:abstractNumId w:val="101"/>
  </w:num>
  <w:num w:numId="126">
    <w:abstractNumId w:val="20"/>
  </w:num>
  <w:num w:numId="127">
    <w:abstractNumId w:val="81"/>
  </w:num>
  <w:num w:numId="128">
    <w:abstractNumId w:val="178"/>
  </w:num>
  <w:num w:numId="129">
    <w:abstractNumId w:val="76"/>
  </w:num>
  <w:num w:numId="130">
    <w:abstractNumId w:val="58"/>
  </w:num>
  <w:num w:numId="131">
    <w:abstractNumId w:val="176"/>
  </w:num>
  <w:num w:numId="132">
    <w:abstractNumId w:val="138"/>
  </w:num>
  <w:num w:numId="133">
    <w:abstractNumId w:val="229"/>
  </w:num>
  <w:num w:numId="134">
    <w:abstractNumId w:val="98"/>
  </w:num>
  <w:num w:numId="135">
    <w:abstractNumId w:val="232"/>
  </w:num>
  <w:num w:numId="136">
    <w:abstractNumId w:val="61"/>
  </w:num>
  <w:num w:numId="137">
    <w:abstractNumId w:val="230"/>
  </w:num>
  <w:num w:numId="138">
    <w:abstractNumId w:val="83"/>
  </w:num>
  <w:num w:numId="139">
    <w:abstractNumId w:val="32"/>
  </w:num>
  <w:num w:numId="140">
    <w:abstractNumId w:val="16"/>
  </w:num>
  <w:num w:numId="141">
    <w:abstractNumId w:val="132"/>
  </w:num>
  <w:num w:numId="142">
    <w:abstractNumId w:val="167"/>
  </w:num>
  <w:num w:numId="143">
    <w:abstractNumId w:val="12"/>
  </w:num>
  <w:num w:numId="144">
    <w:abstractNumId w:val="39"/>
  </w:num>
  <w:num w:numId="145">
    <w:abstractNumId w:val="185"/>
  </w:num>
  <w:num w:numId="146">
    <w:abstractNumId w:val="204"/>
  </w:num>
  <w:num w:numId="147">
    <w:abstractNumId w:val="149"/>
  </w:num>
  <w:num w:numId="148">
    <w:abstractNumId w:val="144"/>
  </w:num>
  <w:num w:numId="149">
    <w:abstractNumId w:val="59"/>
  </w:num>
  <w:num w:numId="150">
    <w:abstractNumId w:val="152"/>
  </w:num>
  <w:num w:numId="151">
    <w:abstractNumId w:val="224"/>
  </w:num>
  <w:num w:numId="152">
    <w:abstractNumId w:val="55"/>
  </w:num>
  <w:num w:numId="153">
    <w:abstractNumId w:val="201"/>
  </w:num>
  <w:num w:numId="154">
    <w:abstractNumId w:val="90"/>
  </w:num>
  <w:num w:numId="155">
    <w:abstractNumId w:val="68"/>
  </w:num>
  <w:num w:numId="156">
    <w:abstractNumId w:val="106"/>
  </w:num>
  <w:num w:numId="157">
    <w:abstractNumId w:val="135"/>
  </w:num>
  <w:num w:numId="158">
    <w:abstractNumId w:val="26"/>
  </w:num>
  <w:num w:numId="159">
    <w:abstractNumId w:val="91"/>
  </w:num>
  <w:num w:numId="160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11"/>
  </w:num>
  <w:num w:numId="162">
    <w:abstractNumId w:val="151"/>
  </w:num>
  <w:num w:numId="163">
    <w:abstractNumId w:val="208"/>
  </w:num>
  <w:num w:numId="164">
    <w:abstractNumId w:val="199"/>
  </w:num>
  <w:num w:numId="165">
    <w:abstractNumId w:val="80"/>
  </w:num>
  <w:num w:numId="166">
    <w:abstractNumId w:val="168"/>
  </w:num>
  <w:num w:numId="167">
    <w:abstractNumId w:val="82"/>
  </w:num>
  <w:num w:numId="168">
    <w:abstractNumId w:val="69"/>
  </w:num>
  <w:num w:numId="169">
    <w:abstractNumId w:val="166"/>
  </w:num>
  <w:num w:numId="170">
    <w:abstractNumId w:val="129"/>
  </w:num>
  <w:num w:numId="171">
    <w:abstractNumId w:val="174"/>
  </w:num>
  <w:num w:numId="172">
    <w:abstractNumId w:val="220"/>
  </w:num>
  <w:num w:numId="173">
    <w:abstractNumId w:val="189"/>
  </w:num>
  <w:num w:numId="174">
    <w:abstractNumId w:val="2"/>
  </w:num>
  <w:num w:numId="175">
    <w:abstractNumId w:val="74"/>
  </w:num>
  <w:num w:numId="176">
    <w:abstractNumId w:val="134"/>
  </w:num>
  <w:num w:numId="177">
    <w:abstractNumId w:val="148"/>
  </w:num>
  <w:num w:numId="178">
    <w:abstractNumId w:val="156"/>
  </w:num>
  <w:num w:numId="179">
    <w:abstractNumId w:val="108"/>
  </w:num>
  <w:num w:numId="180">
    <w:abstractNumId w:val="103"/>
  </w:num>
  <w:num w:numId="181">
    <w:abstractNumId w:val="36"/>
  </w:num>
  <w:num w:numId="182">
    <w:abstractNumId w:val="40"/>
  </w:num>
  <w:num w:numId="183">
    <w:abstractNumId w:val="190"/>
  </w:num>
  <w:num w:numId="184">
    <w:abstractNumId w:val="213"/>
  </w:num>
  <w:num w:numId="185">
    <w:abstractNumId w:val="136"/>
  </w:num>
  <w:num w:numId="186">
    <w:abstractNumId w:val="196"/>
  </w:num>
  <w:num w:numId="187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65"/>
  </w:num>
  <w:num w:numId="190">
    <w:abstractNumId w:val="94"/>
  </w:num>
  <w:num w:numId="191">
    <w:abstractNumId w:val="217"/>
  </w:num>
  <w:num w:numId="192">
    <w:abstractNumId w:val="102"/>
  </w:num>
  <w:num w:numId="193">
    <w:abstractNumId w:val="130"/>
  </w:num>
  <w:num w:numId="194">
    <w:abstractNumId w:val="223"/>
  </w:num>
  <w:num w:numId="195">
    <w:abstractNumId w:val="57"/>
  </w:num>
  <w:num w:numId="196">
    <w:abstractNumId w:val="11"/>
  </w:num>
  <w:num w:numId="197">
    <w:abstractNumId w:val="64"/>
  </w:num>
  <w:num w:numId="198">
    <w:abstractNumId w:val="202"/>
  </w:num>
  <w:num w:numId="199">
    <w:abstractNumId w:val="111"/>
  </w:num>
  <w:num w:numId="200">
    <w:abstractNumId w:val="198"/>
  </w:num>
  <w:num w:numId="201">
    <w:abstractNumId w:val="206"/>
  </w:num>
  <w:num w:numId="202">
    <w:abstractNumId w:val="17"/>
  </w:num>
  <w:num w:numId="203">
    <w:abstractNumId w:val="49"/>
  </w:num>
  <w:num w:numId="204">
    <w:abstractNumId w:val="145"/>
  </w:num>
  <w:num w:numId="205">
    <w:abstractNumId w:val="184"/>
  </w:num>
  <w:num w:numId="206">
    <w:abstractNumId w:val="163"/>
  </w:num>
  <w:num w:numId="207">
    <w:abstractNumId w:val="221"/>
  </w:num>
  <w:num w:numId="208">
    <w:abstractNumId w:val="171"/>
  </w:num>
  <w:num w:numId="209">
    <w:abstractNumId w:val="18"/>
  </w:num>
  <w:num w:numId="210">
    <w:abstractNumId w:val="214"/>
  </w:num>
  <w:num w:numId="211">
    <w:abstractNumId w:val="200"/>
  </w:num>
  <w:num w:numId="212">
    <w:abstractNumId w:val="194"/>
  </w:num>
  <w:num w:numId="213">
    <w:abstractNumId w:val="155"/>
  </w:num>
  <w:num w:numId="214">
    <w:abstractNumId w:val="62"/>
  </w:num>
  <w:num w:numId="215">
    <w:abstractNumId w:val="140"/>
  </w:num>
  <w:num w:numId="216">
    <w:abstractNumId w:val="216"/>
  </w:num>
  <w:num w:numId="217">
    <w:abstractNumId w:val="31"/>
  </w:num>
  <w:num w:numId="218">
    <w:abstractNumId w:val="112"/>
  </w:num>
  <w:num w:numId="219">
    <w:abstractNumId w:val="169"/>
  </w:num>
  <w:num w:numId="220">
    <w:abstractNumId w:val="187"/>
  </w:num>
  <w:num w:numId="221">
    <w:abstractNumId w:val="15"/>
  </w:num>
  <w:num w:numId="222">
    <w:abstractNumId w:val="37"/>
  </w:num>
  <w:num w:numId="223">
    <w:abstractNumId w:val="205"/>
  </w:num>
  <w:num w:numId="224">
    <w:abstractNumId w:val="22"/>
  </w:num>
  <w:num w:numId="225">
    <w:abstractNumId w:val="43"/>
  </w:num>
  <w:num w:numId="226">
    <w:abstractNumId w:val="179"/>
  </w:num>
  <w:num w:numId="227">
    <w:abstractNumId w:val="192"/>
  </w:num>
  <w:num w:numId="228">
    <w:abstractNumId w:val="88"/>
  </w:num>
  <w:num w:numId="229">
    <w:abstractNumId w:val="157"/>
  </w:num>
  <w:num w:numId="230">
    <w:abstractNumId w:val="117"/>
  </w:num>
  <w:num w:numId="231">
    <w:abstractNumId w:val="45"/>
  </w:num>
  <w:num w:numId="232">
    <w:abstractNumId w:val="0"/>
  </w:num>
  <w:num w:numId="233">
    <w:abstractNumId w:val="95"/>
  </w:num>
  <w:num w:numId="234">
    <w:abstractNumId w:val="87"/>
  </w:num>
  <w:num w:numId="235">
    <w:abstractNumId w:val="162"/>
  </w:num>
  <w:num w:numId="236">
    <w:abstractNumId w:val="121"/>
  </w:num>
  <w:num w:numId="237">
    <w:abstractNumId w:val="72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84"/>
    <w:rsid w:val="00011E16"/>
    <w:rsid w:val="00012CEA"/>
    <w:rsid w:val="00015CE4"/>
    <w:rsid w:val="0002519F"/>
    <w:rsid w:val="0002674B"/>
    <w:rsid w:val="000304C5"/>
    <w:rsid w:val="00040430"/>
    <w:rsid w:val="0004162E"/>
    <w:rsid w:val="000460F8"/>
    <w:rsid w:val="0004786B"/>
    <w:rsid w:val="00047F03"/>
    <w:rsid w:val="00061096"/>
    <w:rsid w:val="00063405"/>
    <w:rsid w:val="00064FB7"/>
    <w:rsid w:val="00065FFD"/>
    <w:rsid w:val="000737B6"/>
    <w:rsid w:val="000809B9"/>
    <w:rsid w:val="000849E0"/>
    <w:rsid w:val="00087A2B"/>
    <w:rsid w:val="00090B40"/>
    <w:rsid w:val="000913CD"/>
    <w:rsid w:val="00095A0A"/>
    <w:rsid w:val="00096511"/>
    <w:rsid w:val="000A0730"/>
    <w:rsid w:val="000A58A6"/>
    <w:rsid w:val="000B17DB"/>
    <w:rsid w:val="000B1B3D"/>
    <w:rsid w:val="000B3E85"/>
    <w:rsid w:val="000B4961"/>
    <w:rsid w:val="000B5901"/>
    <w:rsid w:val="000C1477"/>
    <w:rsid w:val="000C1F51"/>
    <w:rsid w:val="000C4CAF"/>
    <w:rsid w:val="000D22E0"/>
    <w:rsid w:val="000D47BD"/>
    <w:rsid w:val="000E0BF4"/>
    <w:rsid w:val="000E35BA"/>
    <w:rsid w:val="000E75D3"/>
    <w:rsid w:val="000F155B"/>
    <w:rsid w:val="000F4BF9"/>
    <w:rsid w:val="001057B2"/>
    <w:rsid w:val="00116B80"/>
    <w:rsid w:val="00121485"/>
    <w:rsid w:val="00123A51"/>
    <w:rsid w:val="0012550F"/>
    <w:rsid w:val="00137447"/>
    <w:rsid w:val="00153508"/>
    <w:rsid w:val="00154EB2"/>
    <w:rsid w:val="00165A0E"/>
    <w:rsid w:val="00170074"/>
    <w:rsid w:val="00174CDE"/>
    <w:rsid w:val="0017602D"/>
    <w:rsid w:val="0018051B"/>
    <w:rsid w:val="001836E1"/>
    <w:rsid w:val="001967BB"/>
    <w:rsid w:val="001A2E96"/>
    <w:rsid w:val="001A797B"/>
    <w:rsid w:val="001B1E4A"/>
    <w:rsid w:val="001B6E21"/>
    <w:rsid w:val="001B7F39"/>
    <w:rsid w:val="001C617E"/>
    <w:rsid w:val="001D27C0"/>
    <w:rsid w:val="001E55BB"/>
    <w:rsid w:val="001E7299"/>
    <w:rsid w:val="001E74C3"/>
    <w:rsid w:val="001F6937"/>
    <w:rsid w:val="002118B6"/>
    <w:rsid w:val="00217614"/>
    <w:rsid w:val="00220DE3"/>
    <w:rsid w:val="00230123"/>
    <w:rsid w:val="002348AE"/>
    <w:rsid w:val="00240208"/>
    <w:rsid w:val="00243E71"/>
    <w:rsid w:val="00244664"/>
    <w:rsid w:val="002501E0"/>
    <w:rsid w:val="0025290D"/>
    <w:rsid w:val="00253D48"/>
    <w:rsid w:val="00254FF5"/>
    <w:rsid w:val="00260372"/>
    <w:rsid w:val="00261952"/>
    <w:rsid w:val="00261C3D"/>
    <w:rsid w:val="00262DAF"/>
    <w:rsid w:val="00266EBF"/>
    <w:rsid w:val="002677C4"/>
    <w:rsid w:val="002755A9"/>
    <w:rsid w:val="002767A9"/>
    <w:rsid w:val="00292FA2"/>
    <w:rsid w:val="002A33D2"/>
    <w:rsid w:val="002A457B"/>
    <w:rsid w:val="002A70A3"/>
    <w:rsid w:val="002A784F"/>
    <w:rsid w:val="002B3084"/>
    <w:rsid w:val="002B4F64"/>
    <w:rsid w:val="002B50EE"/>
    <w:rsid w:val="002C00B6"/>
    <w:rsid w:val="002C0BDB"/>
    <w:rsid w:val="002D32AD"/>
    <w:rsid w:val="002D392C"/>
    <w:rsid w:val="002D4BBC"/>
    <w:rsid w:val="002E2442"/>
    <w:rsid w:val="002F0E8C"/>
    <w:rsid w:val="002F5C22"/>
    <w:rsid w:val="002F7E3D"/>
    <w:rsid w:val="00303B13"/>
    <w:rsid w:val="00310FA0"/>
    <w:rsid w:val="00320481"/>
    <w:rsid w:val="00321BA2"/>
    <w:rsid w:val="00322A36"/>
    <w:rsid w:val="003250CB"/>
    <w:rsid w:val="00341390"/>
    <w:rsid w:val="00341782"/>
    <w:rsid w:val="00343DCE"/>
    <w:rsid w:val="0034582A"/>
    <w:rsid w:val="003466D7"/>
    <w:rsid w:val="0035462C"/>
    <w:rsid w:val="003547F3"/>
    <w:rsid w:val="0035647D"/>
    <w:rsid w:val="00363201"/>
    <w:rsid w:val="003701A4"/>
    <w:rsid w:val="00375F1F"/>
    <w:rsid w:val="003763A2"/>
    <w:rsid w:val="00386254"/>
    <w:rsid w:val="0039063C"/>
    <w:rsid w:val="003A17B4"/>
    <w:rsid w:val="003A3366"/>
    <w:rsid w:val="003A46A8"/>
    <w:rsid w:val="003A7EBE"/>
    <w:rsid w:val="003B3100"/>
    <w:rsid w:val="003B565A"/>
    <w:rsid w:val="003C5414"/>
    <w:rsid w:val="003C700D"/>
    <w:rsid w:val="003E75DA"/>
    <w:rsid w:val="003E7635"/>
    <w:rsid w:val="003F2D84"/>
    <w:rsid w:val="00400408"/>
    <w:rsid w:val="00400502"/>
    <w:rsid w:val="0040182E"/>
    <w:rsid w:val="004136D9"/>
    <w:rsid w:val="0041427F"/>
    <w:rsid w:val="0042190B"/>
    <w:rsid w:val="00422958"/>
    <w:rsid w:val="0042456E"/>
    <w:rsid w:val="00427DB0"/>
    <w:rsid w:val="00437ABA"/>
    <w:rsid w:val="004412C8"/>
    <w:rsid w:val="00443196"/>
    <w:rsid w:val="00445125"/>
    <w:rsid w:val="004457EA"/>
    <w:rsid w:val="004467AA"/>
    <w:rsid w:val="00450492"/>
    <w:rsid w:val="004509E5"/>
    <w:rsid w:val="00455594"/>
    <w:rsid w:val="00455B67"/>
    <w:rsid w:val="00456A7C"/>
    <w:rsid w:val="004634D8"/>
    <w:rsid w:val="00475018"/>
    <w:rsid w:val="0048151C"/>
    <w:rsid w:val="0048233C"/>
    <w:rsid w:val="00482E87"/>
    <w:rsid w:val="00484068"/>
    <w:rsid w:val="0048498C"/>
    <w:rsid w:val="00486FB9"/>
    <w:rsid w:val="00495DA1"/>
    <w:rsid w:val="004A7F97"/>
    <w:rsid w:val="004B5B33"/>
    <w:rsid w:val="004B7BA8"/>
    <w:rsid w:val="004C1832"/>
    <w:rsid w:val="004C212A"/>
    <w:rsid w:val="004C2FE0"/>
    <w:rsid w:val="004C71E4"/>
    <w:rsid w:val="004D4989"/>
    <w:rsid w:val="004D7811"/>
    <w:rsid w:val="004E6EB1"/>
    <w:rsid w:val="004F2270"/>
    <w:rsid w:val="004F3625"/>
    <w:rsid w:val="00500232"/>
    <w:rsid w:val="00504668"/>
    <w:rsid w:val="00505945"/>
    <w:rsid w:val="0050633D"/>
    <w:rsid w:val="00511736"/>
    <w:rsid w:val="00517549"/>
    <w:rsid w:val="00520B41"/>
    <w:rsid w:val="00523644"/>
    <w:rsid w:val="00524C56"/>
    <w:rsid w:val="0052746F"/>
    <w:rsid w:val="00535A6F"/>
    <w:rsid w:val="00535CE0"/>
    <w:rsid w:val="00542BB8"/>
    <w:rsid w:val="005455E1"/>
    <w:rsid w:val="005502BD"/>
    <w:rsid w:val="00556787"/>
    <w:rsid w:val="00562881"/>
    <w:rsid w:val="005769D6"/>
    <w:rsid w:val="005943AD"/>
    <w:rsid w:val="005954D4"/>
    <w:rsid w:val="00596825"/>
    <w:rsid w:val="005A27A2"/>
    <w:rsid w:val="005A5256"/>
    <w:rsid w:val="005B2771"/>
    <w:rsid w:val="005B387A"/>
    <w:rsid w:val="005C1CD9"/>
    <w:rsid w:val="005C2560"/>
    <w:rsid w:val="005C4FB7"/>
    <w:rsid w:val="005E6AD7"/>
    <w:rsid w:val="005F526B"/>
    <w:rsid w:val="005F602A"/>
    <w:rsid w:val="005F7585"/>
    <w:rsid w:val="0060344B"/>
    <w:rsid w:val="00610C49"/>
    <w:rsid w:val="00621BB7"/>
    <w:rsid w:val="0062461C"/>
    <w:rsid w:val="00624ECB"/>
    <w:rsid w:val="00645C9D"/>
    <w:rsid w:val="00647B2D"/>
    <w:rsid w:val="00650C6C"/>
    <w:rsid w:val="00652FE6"/>
    <w:rsid w:val="00653CB9"/>
    <w:rsid w:val="006548ED"/>
    <w:rsid w:val="00657A4A"/>
    <w:rsid w:val="00664670"/>
    <w:rsid w:val="00670468"/>
    <w:rsid w:val="00677048"/>
    <w:rsid w:val="0068437C"/>
    <w:rsid w:val="00694969"/>
    <w:rsid w:val="006B7208"/>
    <w:rsid w:val="006C146B"/>
    <w:rsid w:val="006D04EF"/>
    <w:rsid w:val="006D3F2D"/>
    <w:rsid w:val="006D6CA9"/>
    <w:rsid w:val="006E2FB0"/>
    <w:rsid w:val="00705DC6"/>
    <w:rsid w:val="007102D2"/>
    <w:rsid w:val="00713948"/>
    <w:rsid w:val="00720D4E"/>
    <w:rsid w:val="00725693"/>
    <w:rsid w:val="00727FAA"/>
    <w:rsid w:val="0073550F"/>
    <w:rsid w:val="00746805"/>
    <w:rsid w:val="00747DD8"/>
    <w:rsid w:val="00751C89"/>
    <w:rsid w:val="00753A27"/>
    <w:rsid w:val="007546BA"/>
    <w:rsid w:val="00757A6F"/>
    <w:rsid w:val="00757EE5"/>
    <w:rsid w:val="00764B62"/>
    <w:rsid w:val="00765381"/>
    <w:rsid w:val="00765514"/>
    <w:rsid w:val="00770320"/>
    <w:rsid w:val="00772309"/>
    <w:rsid w:val="00772A1B"/>
    <w:rsid w:val="007732FC"/>
    <w:rsid w:val="0079342A"/>
    <w:rsid w:val="0079382D"/>
    <w:rsid w:val="007A7FC1"/>
    <w:rsid w:val="007B4949"/>
    <w:rsid w:val="007B6853"/>
    <w:rsid w:val="007B6CF7"/>
    <w:rsid w:val="007B7CD6"/>
    <w:rsid w:val="007C7035"/>
    <w:rsid w:val="007CF47A"/>
    <w:rsid w:val="007E4530"/>
    <w:rsid w:val="007E6D97"/>
    <w:rsid w:val="007F0BC6"/>
    <w:rsid w:val="007F2140"/>
    <w:rsid w:val="007F3563"/>
    <w:rsid w:val="00800376"/>
    <w:rsid w:val="00801B1F"/>
    <w:rsid w:val="0080308C"/>
    <w:rsid w:val="0082768B"/>
    <w:rsid w:val="00831374"/>
    <w:rsid w:val="00832AE2"/>
    <w:rsid w:val="00834FE1"/>
    <w:rsid w:val="00842896"/>
    <w:rsid w:val="00857580"/>
    <w:rsid w:val="00865238"/>
    <w:rsid w:val="008667BF"/>
    <w:rsid w:val="00884E7D"/>
    <w:rsid w:val="00886B9F"/>
    <w:rsid w:val="008906BC"/>
    <w:rsid w:val="00895645"/>
    <w:rsid w:val="00896764"/>
    <w:rsid w:val="008A0902"/>
    <w:rsid w:val="008A5B73"/>
    <w:rsid w:val="008A6221"/>
    <w:rsid w:val="008A7917"/>
    <w:rsid w:val="008B032D"/>
    <w:rsid w:val="008B2B92"/>
    <w:rsid w:val="008B65B6"/>
    <w:rsid w:val="008C1949"/>
    <w:rsid w:val="008C3782"/>
    <w:rsid w:val="008C747D"/>
    <w:rsid w:val="008D4A32"/>
    <w:rsid w:val="008D593A"/>
    <w:rsid w:val="008E0B36"/>
    <w:rsid w:val="008E5388"/>
    <w:rsid w:val="008E700B"/>
    <w:rsid w:val="008E7760"/>
    <w:rsid w:val="008E785C"/>
    <w:rsid w:val="00907769"/>
    <w:rsid w:val="00916DCB"/>
    <w:rsid w:val="00922001"/>
    <w:rsid w:val="00922C17"/>
    <w:rsid w:val="009303FA"/>
    <w:rsid w:val="009357DD"/>
    <w:rsid w:val="00936081"/>
    <w:rsid w:val="00937764"/>
    <w:rsid w:val="00940AF8"/>
    <w:rsid w:val="00942DDD"/>
    <w:rsid w:val="009513FB"/>
    <w:rsid w:val="009516A8"/>
    <w:rsid w:val="00963FB5"/>
    <w:rsid w:val="0096502B"/>
    <w:rsid w:val="00965908"/>
    <w:rsid w:val="0097033A"/>
    <w:rsid w:val="00972433"/>
    <w:rsid w:val="0097705C"/>
    <w:rsid w:val="009823B0"/>
    <w:rsid w:val="009939C4"/>
    <w:rsid w:val="009A38CD"/>
    <w:rsid w:val="009A3A80"/>
    <w:rsid w:val="009A4494"/>
    <w:rsid w:val="009A517D"/>
    <w:rsid w:val="009B4860"/>
    <w:rsid w:val="009B54CC"/>
    <w:rsid w:val="009B5F0F"/>
    <w:rsid w:val="009D2137"/>
    <w:rsid w:val="009D4960"/>
    <w:rsid w:val="009D5B6B"/>
    <w:rsid w:val="009D7A71"/>
    <w:rsid w:val="009E4C90"/>
    <w:rsid w:val="009E564C"/>
    <w:rsid w:val="009E6435"/>
    <w:rsid w:val="009F2385"/>
    <w:rsid w:val="009F393D"/>
    <w:rsid w:val="009F7F46"/>
    <w:rsid w:val="00A000BF"/>
    <w:rsid w:val="00A012E2"/>
    <w:rsid w:val="00A020D3"/>
    <w:rsid w:val="00A0587E"/>
    <w:rsid w:val="00A0796F"/>
    <w:rsid w:val="00A12790"/>
    <w:rsid w:val="00A16FF2"/>
    <w:rsid w:val="00A21538"/>
    <w:rsid w:val="00A275BC"/>
    <w:rsid w:val="00A464B4"/>
    <w:rsid w:val="00A528B0"/>
    <w:rsid w:val="00A566D7"/>
    <w:rsid w:val="00A60768"/>
    <w:rsid w:val="00A60ECD"/>
    <w:rsid w:val="00A63D6B"/>
    <w:rsid w:val="00A6457B"/>
    <w:rsid w:val="00A84B52"/>
    <w:rsid w:val="00A8660F"/>
    <w:rsid w:val="00A86963"/>
    <w:rsid w:val="00A9488C"/>
    <w:rsid w:val="00A94A61"/>
    <w:rsid w:val="00A95C48"/>
    <w:rsid w:val="00A976D1"/>
    <w:rsid w:val="00AA6BA8"/>
    <w:rsid w:val="00AA7056"/>
    <w:rsid w:val="00AB31C6"/>
    <w:rsid w:val="00AB523B"/>
    <w:rsid w:val="00AC14EC"/>
    <w:rsid w:val="00AC1ABD"/>
    <w:rsid w:val="00AC638D"/>
    <w:rsid w:val="00AC7DC5"/>
    <w:rsid w:val="00AD58FF"/>
    <w:rsid w:val="00AD592F"/>
    <w:rsid w:val="00AD7E40"/>
    <w:rsid w:val="00AE17C9"/>
    <w:rsid w:val="00AF2C26"/>
    <w:rsid w:val="00AF3504"/>
    <w:rsid w:val="00B03688"/>
    <w:rsid w:val="00B04624"/>
    <w:rsid w:val="00B1124D"/>
    <w:rsid w:val="00B1477A"/>
    <w:rsid w:val="00B17097"/>
    <w:rsid w:val="00B20824"/>
    <w:rsid w:val="00B20993"/>
    <w:rsid w:val="00B27DED"/>
    <w:rsid w:val="00B42E96"/>
    <w:rsid w:val="00B43144"/>
    <w:rsid w:val="00B50EE6"/>
    <w:rsid w:val="00B50F6B"/>
    <w:rsid w:val="00B5128E"/>
    <w:rsid w:val="00B52185"/>
    <w:rsid w:val="00B57F84"/>
    <w:rsid w:val="00B6366E"/>
    <w:rsid w:val="00B74C62"/>
    <w:rsid w:val="00B84160"/>
    <w:rsid w:val="00B903BF"/>
    <w:rsid w:val="00B91C72"/>
    <w:rsid w:val="00B9517C"/>
    <w:rsid w:val="00B9753A"/>
    <w:rsid w:val="00BA6339"/>
    <w:rsid w:val="00BB479C"/>
    <w:rsid w:val="00BB4CD0"/>
    <w:rsid w:val="00BC2A70"/>
    <w:rsid w:val="00BC66D9"/>
    <w:rsid w:val="00BD75A2"/>
    <w:rsid w:val="00BD7B84"/>
    <w:rsid w:val="00BE5214"/>
    <w:rsid w:val="00BE65AF"/>
    <w:rsid w:val="00C04D0C"/>
    <w:rsid w:val="00C0761F"/>
    <w:rsid w:val="00C2017A"/>
    <w:rsid w:val="00C20470"/>
    <w:rsid w:val="00C25654"/>
    <w:rsid w:val="00C34B2F"/>
    <w:rsid w:val="00C42CDB"/>
    <w:rsid w:val="00C4331F"/>
    <w:rsid w:val="00C4641B"/>
    <w:rsid w:val="00C53A2B"/>
    <w:rsid w:val="00C55371"/>
    <w:rsid w:val="00C5609A"/>
    <w:rsid w:val="00C6690E"/>
    <w:rsid w:val="00C703C5"/>
    <w:rsid w:val="00C726B0"/>
    <w:rsid w:val="00C740E1"/>
    <w:rsid w:val="00C77036"/>
    <w:rsid w:val="00C778C7"/>
    <w:rsid w:val="00C805F2"/>
    <w:rsid w:val="00C85F22"/>
    <w:rsid w:val="00C87828"/>
    <w:rsid w:val="00C933EA"/>
    <w:rsid w:val="00CA201E"/>
    <w:rsid w:val="00CA38AC"/>
    <w:rsid w:val="00CA574F"/>
    <w:rsid w:val="00CB780B"/>
    <w:rsid w:val="00CC013D"/>
    <w:rsid w:val="00CC2A6E"/>
    <w:rsid w:val="00CC44B8"/>
    <w:rsid w:val="00CC5E40"/>
    <w:rsid w:val="00CC6A00"/>
    <w:rsid w:val="00CD2431"/>
    <w:rsid w:val="00CD6A76"/>
    <w:rsid w:val="00CD73FB"/>
    <w:rsid w:val="00CE61AD"/>
    <w:rsid w:val="00CF0AB0"/>
    <w:rsid w:val="00CF1FBD"/>
    <w:rsid w:val="00D047E4"/>
    <w:rsid w:val="00D1368A"/>
    <w:rsid w:val="00D1569F"/>
    <w:rsid w:val="00D171DE"/>
    <w:rsid w:val="00D17D91"/>
    <w:rsid w:val="00D20B1E"/>
    <w:rsid w:val="00D21391"/>
    <w:rsid w:val="00D22462"/>
    <w:rsid w:val="00D230AC"/>
    <w:rsid w:val="00D31E3C"/>
    <w:rsid w:val="00D32489"/>
    <w:rsid w:val="00D32D8B"/>
    <w:rsid w:val="00D41597"/>
    <w:rsid w:val="00D6798F"/>
    <w:rsid w:val="00D73CB8"/>
    <w:rsid w:val="00D77658"/>
    <w:rsid w:val="00D838C9"/>
    <w:rsid w:val="00D856C5"/>
    <w:rsid w:val="00D91849"/>
    <w:rsid w:val="00D97D89"/>
    <w:rsid w:val="00DA7591"/>
    <w:rsid w:val="00DA76E2"/>
    <w:rsid w:val="00DA796F"/>
    <w:rsid w:val="00DC46AB"/>
    <w:rsid w:val="00DC4FF8"/>
    <w:rsid w:val="00DC5748"/>
    <w:rsid w:val="00DD42E9"/>
    <w:rsid w:val="00DD6C05"/>
    <w:rsid w:val="00DE7F61"/>
    <w:rsid w:val="00E05D2F"/>
    <w:rsid w:val="00E1257A"/>
    <w:rsid w:val="00E15D08"/>
    <w:rsid w:val="00E21279"/>
    <w:rsid w:val="00E32798"/>
    <w:rsid w:val="00E358F2"/>
    <w:rsid w:val="00E36E77"/>
    <w:rsid w:val="00E51C91"/>
    <w:rsid w:val="00E650F5"/>
    <w:rsid w:val="00E667C1"/>
    <w:rsid w:val="00E81962"/>
    <w:rsid w:val="00E9585C"/>
    <w:rsid w:val="00EA36EB"/>
    <w:rsid w:val="00EA48D0"/>
    <w:rsid w:val="00EA6370"/>
    <w:rsid w:val="00EB04BD"/>
    <w:rsid w:val="00EB0A81"/>
    <w:rsid w:val="00EB0C8B"/>
    <w:rsid w:val="00EB5176"/>
    <w:rsid w:val="00EB6791"/>
    <w:rsid w:val="00EC3F88"/>
    <w:rsid w:val="00EC7227"/>
    <w:rsid w:val="00ED36D8"/>
    <w:rsid w:val="00ED5819"/>
    <w:rsid w:val="00EE51EC"/>
    <w:rsid w:val="00EE6BD7"/>
    <w:rsid w:val="00EF3CDD"/>
    <w:rsid w:val="00EF4664"/>
    <w:rsid w:val="00EF700B"/>
    <w:rsid w:val="00F008BB"/>
    <w:rsid w:val="00F05B68"/>
    <w:rsid w:val="00F0689D"/>
    <w:rsid w:val="00F20277"/>
    <w:rsid w:val="00F24C34"/>
    <w:rsid w:val="00F36FB6"/>
    <w:rsid w:val="00F44523"/>
    <w:rsid w:val="00F51497"/>
    <w:rsid w:val="00F52860"/>
    <w:rsid w:val="00F54210"/>
    <w:rsid w:val="00F6594F"/>
    <w:rsid w:val="00F72B2A"/>
    <w:rsid w:val="00F814D4"/>
    <w:rsid w:val="00F91777"/>
    <w:rsid w:val="00FA57A1"/>
    <w:rsid w:val="00FB01B5"/>
    <w:rsid w:val="00FB0474"/>
    <w:rsid w:val="00FB1D8F"/>
    <w:rsid w:val="00FD054F"/>
    <w:rsid w:val="00FD57D6"/>
    <w:rsid w:val="00FD7526"/>
    <w:rsid w:val="00FD7867"/>
    <w:rsid w:val="00FE1A1B"/>
    <w:rsid w:val="00FE4277"/>
    <w:rsid w:val="00FF6141"/>
    <w:rsid w:val="015E4324"/>
    <w:rsid w:val="024975F0"/>
    <w:rsid w:val="02CD191C"/>
    <w:rsid w:val="06A58C81"/>
    <w:rsid w:val="06BE2C8E"/>
    <w:rsid w:val="07B310C3"/>
    <w:rsid w:val="0D0B241B"/>
    <w:rsid w:val="0EC58833"/>
    <w:rsid w:val="1038EDE6"/>
    <w:rsid w:val="1400F9C1"/>
    <w:rsid w:val="18DF5FFE"/>
    <w:rsid w:val="19EA44BA"/>
    <w:rsid w:val="1AF7038C"/>
    <w:rsid w:val="1BFBC0D7"/>
    <w:rsid w:val="1E843D05"/>
    <w:rsid w:val="23D5A633"/>
    <w:rsid w:val="2482F149"/>
    <w:rsid w:val="255A767B"/>
    <w:rsid w:val="2659E728"/>
    <w:rsid w:val="26ABD722"/>
    <w:rsid w:val="270C29F5"/>
    <w:rsid w:val="2C108F1E"/>
    <w:rsid w:val="2C9CA232"/>
    <w:rsid w:val="2E000CE9"/>
    <w:rsid w:val="2EB9A0C8"/>
    <w:rsid w:val="33A4AA70"/>
    <w:rsid w:val="33C5CFFC"/>
    <w:rsid w:val="3598BC28"/>
    <w:rsid w:val="35CB65FF"/>
    <w:rsid w:val="3665D4D9"/>
    <w:rsid w:val="3A842B16"/>
    <w:rsid w:val="3AB71694"/>
    <w:rsid w:val="3C5B009F"/>
    <w:rsid w:val="3FFDE2D2"/>
    <w:rsid w:val="40E918CA"/>
    <w:rsid w:val="417239C1"/>
    <w:rsid w:val="434E7437"/>
    <w:rsid w:val="452205A5"/>
    <w:rsid w:val="4F9FC08E"/>
    <w:rsid w:val="4FE312BA"/>
    <w:rsid w:val="504EE00D"/>
    <w:rsid w:val="56405040"/>
    <w:rsid w:val="566AC2CA"/>
    <w:rsid w:val="56AFD2EA"/>
    <w:rsid w:val="5863D773"/>
    <w:rsid w:val="5999AD6C"/>
    <w:rsid w:val="5F338D04"/>
    <w:rsid w:val="622944C6"/>
    <w:rsid w:val="62465929"/>
    <w:rsid w:val="633EB697"/>
    <w:rsid w:val="69B96F17"/>
    <w:rsid w:val="6AD4CA37"/>
    <w:rsid w:val="6D11CE98"/>
    <w:rsid w:val="6D35A5C4"/>
    <w:rsid w:val="6DC50AA0"/>
    <w:rsid w:val="70AEE3B9"/>
    <w:rsid w:val="71DD9D14"/>
    <w:rsid w:val="73C60EB7"/>
    <w:rsid w:val="73F7A73F"/>
    <w:rsid w:val="7898E83B"/>
    <w:rsid w:val="78CDD555"/>
    <w:rsid w:val="7964426B"/>
    <w:rsid w:val="7DB313A3"/>
    <w:rsid w:val="7DDF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73FB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3144"/>
    <w:pPr>
      <w:keepNext/>
      <w:keepLines/>
      <w:pageBreakBefore/>
      <w:numPr>
        <w:numId w:val="10"/>
      </w:numPr>
      <w:spacing w:before="160"/>
      <w:ind w:left="0" w:firstLine="0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3144"/>
    <w:pPr>
      <w:keepNext/>
      <w:keepLines/>
      <w:numPr>
        <w:ilvl w:val="1"/>
        <w:numId w:val="10"/>
      </w:numPr>
      <w:spacing w:before="16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3144"/>
    <w:pPr>
      <w:keepNext/>
      <w:keepLines/>
      <w:numPr>
        <w:ilvl w:val="2"/>
        <w:numId w:val="10"/>
      </w:numPr>
      <w:spacing w:before="160"/>
      <w:outlineLvl w:val="2"/>
    </w:pPr>
    <w:rPr>
      <w:rFonts w:asciiTheme="majorHAnsi" w:eastAsiaTheme="majorEastAsia" w:hAnsiTheme="majorHAnsi" w:cstheme="majorBidi"/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3144"/>
    <w:pPr>
      <w:keepNext/>
      <w:keepLines/>
      <w:numPr>
        <w:ilvl w:val="3"/>
        <w:numId w:val="11"/>
      </w:numPr>
      <w:spacing w:before="16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3CB9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6690E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6690E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5C48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95C48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43144"/>
    <w:rPr>
      <w:rFonts w:asciiTheme="majorHAnsi" w:eastAsiaTheme="majorEastAsia" w:hAnsiTheme="majorHAnsi" w:cstheme="majorBidi"/>
      <w:b/>
      <w:caps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43144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653CB9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3250CB"/>
    <w:rPr>
      <w:rFonts w:asciiTheme="majorHAnsi" w:eastAsiaTheme="majorEastAsia" w:hAnsiTheme="majorHAnsi" w:cstheme="majorBidi"/>
      <w:i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3250CB"/>
    <w:rPr>
      <w:rFonts w:asciiTheme="majorHAnsi" w:eastAsiaTheme="majorEastAsia" w:hAnsiTheme="majorHAnsi" w:cstheme="majorBidi"/>
      <w:iCs/>
      <w:color w:val="000000" w:themeColor="text1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3250CB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C55371"/>
    <w:pPr>
      <w:keepNext/>
      <w:keepLines/>
      <w:contextualSpacing/>
    </w:pPr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C55371"/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C55371"/>
    <w:pPr>
      <w:keepLines/>
      <w:pBdr>
        <w:top w:val="single" w:sz="4" w:space="10" w:color="004B8D" w:themeColor="accent2"/>
        <w:bottom w:val="single" w:sz="4" w:space="10" w:color="004B8D" w:themeColor="accent2"/>
      </w:pBdr>
      <w:spacing w:before="240" w:after="240"/>
      <w:ind w:left="357" w:right="357"/>
    </w:pPr>
    <w:rPr>
      <w:i/>
      <w:iCs/>
      <w:color w:val="004B8D" w:themeColor="text2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C55371"/>
    <w:rPr>
      <w:i/>
      <w:iCs/>
      <w:color w:val="004B8D" w:themeColor="text2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ind w:left="357" w:hanging="357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ind w:left="851" w:hanging="494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ind w:left="1474" w:hanging="623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tabs>
        <w:tab w:val="num" w:pos="1474"/>
      </w:tabs>
      <w:ind w:left="2268" w:hanging="794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ind w:left="3232" w:hanging="964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C55371"/>
    <w:pPr>
      <w:keepNext/>
      <w:keepLines/>
      <w:spacing w:before="160"/>
    </w:pPr>
    <w:rPr>
      <w:rFonts w:asciiTheme="majorHAnsi" w:hAnsiTheme="majorHAnsi"/>
      <w:b/>
      <w:color w:val="004B8D" w:themeColor="text2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aliases w:val="Text v bloku A"/>
    <w:basedOn w:val="Normln"/>
    <w:uiPriority w:val="29"/>
    <w:unhideWhenUsed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ind w:left="357" w:right="357"/>
    </w:pPr>
    <w:rPr>
      <w:rFonts w:eastAsiaTheme="minorEastAsia"/>
      <w:i/>
      <w:iCs/>
      <w:color w:val="004B8D" w:themeColor="accent2"/>
    </w:rPr>
  </w:style>
  <w:style w:type="character" w:styleId="Sledovanodkaz">
    <w:name w:val="FollowedHyperlink"/>
    <w:basedOn w:val="Standardnpsmoodstavce"/>
    <w:uiPriority w:val="99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TextvblokuB">
    <w:name w:val="Text v bloku B"/>
    <w:basedOn w:val="Normln"/>
    <w:uiPriority w:val="29"/>
    <w:qFormat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shd w:val="clear" w:color="auto" w:fill="004B8D" w:themeFill="accent2"/>
      <w:ind w:left="357" w:right="357"/>
    </w:pPr>
    <w:rPr>
      <w:color w:val="FFFFFF" w:themeColor="background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7F35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563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7F35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563"/>
    <w:rPr>
      <w:color w:val="000000" w:themeColor="tex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5B7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52746F"/>
    <w:rPr>
      <w:color w:val="000000" w:themeColor="text1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4F3625"/>
    <w:rPr>
      <w:szCs w:val="20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4F3625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4F3625"/>
    <w:rPr>
      <w:vertAlign w:val="superscript"/>
    </w:rPr>
  </w:style>
  <w:style w:type="character" w:styleId="Siln">
    <w:name w:val="Strong"/>
    <w:basedOn w:val="Standardnpsmoodstavce"/>
    <w:uiPriority w:val="22"/>
    <w:qFormat/>
    <w:rsid w:val="00B903BF"/>
    <w:rPr>
      <w:b/>
      <w:bCs/>
    </w:rPr>
  </w:style>
  <w:style w:type="table" w:styleId="Mkatabulky">
    <w:name w:val="Table Grid"/>
    <w:aliases w:val="SGS Table Basic 1,CV table"/>
    <w:basedOn w:val="Normlntabulka"/>
    <w:uiPriority w:val="39"/>
    <w:rsid w:val="00E1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832AE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832AE2"/>
  </w:style>
  <w:style w:type="character" w:customStyle="1" w:styleId="spellingerror">
    <w:name w:val="spellingerror"/>
    <w:basedOn w:val="Standardnpsmoodstavce"/>
    <w:rsid w:val="00832AE2"/>
  </w:style>
  <w:style w:type="character" w:customStyle="1" w:styleId="eop">
    <w:name w:val="eop"/>
    <w:basedOn w:val="Standardnpsmoodstavce"/>
    <w:rsid w:val="00832AE2"/>
  </w:style>
  <w:style w:type="paragraph" w:customStyle="1" w:styleId="oj-normal">
    <w:name w:val="oj-normal"/>
    <w:basedOn w:val="Normln"/>
    <w:rsid w:val="00EA48D0"/>
    <w:pPr>
      <w:spacing w:before="100" w:beforeAutospacing="1" w:after="100" w:afterAutospacing="1"/>
    </w:pPr>
  </w:style>
  <w:style w:type="paragraph" w:customStyle="1" w:styleId="00Body">
    <w:name w:val="00 Body"/>
    <w:basedOn w:val="Normln"/>
    <w:link w:val="00BodyChar"/>
    <w:qFormat/>
    <w:rsid w:val="00A012E2"/>
    <w:pPr>
      <w:spacing w:before="180" w:after="180" w:line="264" w:lineRule="auto"/>
    </w:pPr>
    <w:rPr>
      <w:rFonts w:ascii="Arial (Body)" w:hAnsi="Arial (Body)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A012E2"/>
    <w:rPr>
      <w:rFonts w:ascii="Arial (Body)" w:eastAsia="Times New Roman" w:hAnsi="Arial (Body)" w:cs="Times New Roman"/>
      <w:szCs w:val="20"/>
      <w:lang w:val="en-US"/>
    </w:rPr>
  </w:style>
  <w:style w:type="character" w:customStyle="1" w:styleId="scxw84907031">
    <w:name w:val="scxw84907031"/>
    <w:basedOn w:val="Standardnpsmoodstavce"/>
    <w:rsid w:val="00261C3D"/>
  </w:style>
  <w:style w:type="character" w:styleId="Odkaznakoment">
    <w:name w:val="annotation reference"/>
    <w:basedOn w:val="Standardnpsmoodstavce"/>
    <w:uiPriority w:val="99"/>
    <w:qFormat/>
    <w:rsid w:val="001E55BB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1E55BB"/>
    <w:pPr>
      <w:spacing w:before="100" w:beforeAutospacing="1" w:after="100" w:afterAutospacing="1"/>
    </w:pPr>
  </w:style>
  <w:style w:type="paragraph" w:customStyle="1" w:styleId="xmsonormal">
    <w:name w:val="x_msonormal"/>
    <w:basedOn w:val="Normln"/>
    <w:rsid w:val="001E55BB"/>
    <w:pPr>
      <w:spacing w:before="100" w:beforeAutospacing="1" w:after="100" w:afterAutospacing="1"/>
    </w:pPr>
  </w:style>
  <w:style w:type="character" w:customStyle="1" w:styleId="scxw81695220">
    <w:name w:val="scxw81695220"/>
    <w:basedOn w:val="Standardnpsmoodstavce"/>
    <w:rsid w:val="001E55BB"/>
  </w:style>
  <w:style w:type="paragraph" w:styleId="Textkomente">
    <w:name w:val="annotation text"/>
    <w:basedOn w:val="Normln"/>
    <w:link w:val="TextkomenteChar"/>
    <w:uiPriority w:val="99"/>
    <w:unhideWhenUsed/>
    <w:rsid w:val="001E55BB"/>
    <w:pPr>
      <w:suppressAutoHyphens/>
      <w:overflowPunct w:val="0"/>
      <w:textAlignment w:val="baseline"/>
    </w:pPr>
    <w:rPr>
      <w:szCs w:val="20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55B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BB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Char"/>
    <w:rsid w:val="00FD7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FD7867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TextChar">
    <w:name w:val="K-Text Char"/>
    <w:basedOn w:val="Standardnpsmoodstavce"/>
    <w:link w:val="K-Text"/>
    <w:locked/>
    <w:rsid w:val="00F24C34"/>
    <w:rPr>
      <w:rFonts w:ascii="Times New Roman" w:hAnsi="Times New Roman" w:cs="Times New Roman"/>
      <w:iCs/>
      <w:sz w:val="23"/>
      <w:szCs w:val="23"/>
    </w:rPr>
  </w:style>
  <w:style w:type="paragraph" w:customStyle="1" w:styleId="K-Text">
    <w:name w:val="K-Text"/>
    <w:basedOn w:val="Normln"/>
    <w:link w:val="K-TextChar"/>
    <w:qFormat/>
    <w:rsid w:val="00F24C34"/>
    <w:pPr>
      <w:spacing w:after="120" w:line="292" w:lineRule="auto"/>
    </w:pPr>
    <w:rPr>
      <w:iCs/>
      <w:sz w:val="23"/>
      <w:szCs w:val="23"/>
    </w:rPr>
  </w:style>
  <w:style w:type="character" w:customStyle="1" w:styleId="Nevyeenzmnka10">
    <w:name w:val="Nevyřešená zmínka10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6D3F2D"/>
    <w:pPr>
      <w:numPr>
        <w:numId w:val="0"/>
      </w:numPr>
    </w:pPr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6D3F2D"/>
    <w:pPr>
      <w:numPr>
        <w:ilvl w:val="0"/>
        <w:numId w:val="0"/>
      </w:numPr>
    </w:pPr>
  </w:style>
  <w:style w:type="character" w:customStyle="1" w:styleId="K-Nadpis1Char">
    <w:name w:val="K-Nadpis1 Char"/>
    <w:basedOn w:val="Nadpis1Char"/>
    <w:link w:val="K-Nadpis1"/>
    <w:rsid w:val="006D3F2D"/>
    <w:rPr>
      <w:rFonts w:ascii="Times New Roman" w:eastAsiaTheme="majorEastAsia" w:hAnsi="Times New Roman" w:cs="Times New Roman"/>
      <w:b/>
      <w:caps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C42CDB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6D3F2D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K-Nadpis3Char">
    <w:name w:val="K-Nadpis3 Char"/>
    <w:basedOn w:val="DefaultChar"/>
    <w:link w:val="K-Nadpis3"/>
    <w:rsid w:val="00C42CDB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C42CD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C42CDB"/>
    <w:pPr>
      <w:spacing w:after="120"/>
      <w:jc w:val="both"/>
    </w:pPr>
    <w:rPr>
      <w:b/>
      <w:bCs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C42CD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C42CDB"/>
  </w:style>
  <w:style w:type="character" w:customStyle="1" w:styleId="K-TabulkaChar">
    <w:name w:val="K-Tabulka Char"/>
    <w:basedOn w:val="DefaultChar"/>
    <w:link w:val="K-Tabulka"/>
    <w:rsid w:val="00C42CD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C42CDB"/>
    <w:rPr>
      <w:rFonts w:ascii="Times New Roman" w:hAnsi="Times New Roman" w:cs="Times New Roman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CDB"/>
    <w:pPr>
      <w:suppressAutoHyphens w:val="0"/>
      <w:overflowPunct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CDB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C42CDB"/>
    <w:pPr>
      <w:spacing w:after="0" w:line="240" w:lineRule="auto"/>
    </w:pPr>
    <w:rPr>
      <w:color w:val="000000" w:themeColor="text1"/>
    </w:rPr>
  </w:style>
  <w:style w:type="character" w:customStyle="1" w:styleId="apple-converted-space">
    <w:name w:val="apple-converted-space"/>
    <w:basedOn w:val="Standardnpsmoodstavce"/>
    <w:rsid w:val="00C42CDB"/>
  </w:style>
  <w:style w:type="character" w:customStyle="1" w:styleId="CharStyle11">
    <w:name w:val="Char Style 11"/>
    <w:basedOn w:val="Standardnpsmoodstavce"/>
    <w:link w:val="Style10"/>
    <w:rsid w:val="00C42CDB"/>
    <w:rPr>
      <w:shd w:val="clear" w:color="auto" w:fill="FFFFFF"/>
    </w:rPr>
  </w:style>
  <w:style w:type="paragraph" w:customStyle="1" w:styleId="Style10">
    <w:name w:val="Style 10"/>
    <w:basedOn w:val="Normln"/>
    <w:link w:val="CharStyle11"/>
    <w:qFormat/>
    <w:rsid w:val="00C42CDB"/>
    <w:pPr>
      <w:widowControl w:val="0"/>
      <w:shd w:val="clear" w:color="auto" w:fill="FFFFFF"/>
      <w:spacing w:before="420" w:after="260" w:line="244" w:lineRule="exact"/>
      <w:ind w:hanging="440"/>
    </w:pPr>
  </w:style>
  <w:style w:type="character" w:customStyle="1" w:styleId="CharStyle17">
    <w:name w:val="Char Style 17"/>
    <w:basedOn w:val="Standardnpsmoodstavce"/>
    <w:link w:val="Style18"/>
    <w:rsid w:val="00C42CDB"/>
    <w:rPr>
      <w:i/>
      <w:iCs/>
      <w:sz w:val="23"/>
      <w:szCs w:val="23"/>
      <w:shd w:val="clear" w:color="auto" w:fill="FFFFFF"/>
    </w:rPr>
  </w:style>
  <w:style w:type="paragraph" w:customStyle="1" w:styleId="Style18">
    <w:name w:val="Style 18"/>
    <w:basedOn w:val="Normln"/>
    <w:link w:val="CharStyle17"/>
    <w:rsid w:val="00C42CDB"/>
    <w:pPr>
      <w:widowControl w:val="0"/>
      <w:shd w:val="clear" w:color="auto" w:fill="FFFFFF"/>
      <w:spacing w:before="320" w:after="180" w:line="298" w:lineRule="exact"/>
    </w:pPr>
    <w:rPr>
      <w:i/>
      <w:iCs/>
      <w:sz w:val="23"/>
      <w:szCs w:val="23"/>
    </w:rPr>
  </w:style>
  <w:style w:type="character" w:styleId="PromnnHTML">
    <w:name w:val="HTML Variable"/>
    <w:basedOn w:val="Standardnpsmoodstavce"/>
    <w:uiPriority w:val="99"/>
    <w:semiHidden/>
    <w:unhideWhenUsed/>
    <w:rsid w:val="00C42CDB"/>
    <w:rPr>
      <w:i/>
      <w:iCs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C42CDB"/>
    <w:pPr>
      <w:spacing w:after="200"/>
    </w:pPr>
    <w:rPr>
      <w:i/>
      <w:iCs/>
      <w:noProof/>
      <w:color w:val="004B8D" w:themeColor="text2"/>
      <w:sz w:val="18"/>
      <w:szCs w:val="18"/>
    </w:rPr>
  </w:style>
  <w:style w:type="character" w:customStyle="1" w:styleId="TitulekChar">
    <w:name w:val="Titulek Char"/>
    <w:link w:val="Titulek"/>
    <w:rsid w:val="00C42CDB"/>
    <w:rPr>
      <w:i/>
      <w:iCs/>
      <w:noProof/>
      <w:color w:val="004B8D" w:themeColor="text2"/>
      <w:sz w:val="18"/>
      <w:szCs w:val="18"/>
    </w:rPr>
  </w:style>
  <w:style w:type="paragraph" w:customStyle="1" w:styleId="Odrkyabc">
    <w:name w:val="Odrážky abc"/>
    <w:basedOn w:val="Normln"/>
    <w:uiPriority w:val="99"/>
    <w:rsid w:val="00C42CDB"/>
    <w:pPr>
      <w:numPr>
        <w:numId w:val="73"/>
      </w:numPr>
      <w:spacing w:before="120" w:after="120"/>
    </w:pPr>
    <w:rPr>
      <w:rFonts w:ascii="Arial" w:hAnsi="Arial"/>
    </w:rPr>
  </w:style>
  <w:style w:type="character" w:customStyle="1" w:styleId="apple-style-span">
    <w:name w:val="apple-style-span"/>
    <w:basedOn w:val="Standardnpsmoodstavce"/>
    <w:rsid w:val="00C42CDB"/>
  </w:style>
  <w:style w:type="table" w:customStyle="1" w:styleId="Mkatabulky1">
    <w:name w:val="Mřížka tabulky1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ln"/>
    <w:link w:val="Bullet1Char"/>
    <w:qFormat/>
    <w:rsid w:val="00C42CDB"/>
    <w:pPr>
      <w:numPr>
        <w:numId w:val="76"/>
      </w:numPr>
      <w:spacing w:before="120" w:after="120"/>
    </w:pPr>
    <w:rPr>
      <w:rFonts w:ascii="Arial" w:hAnsi="Arial"/>
    </w:rPr>
  </w:style>
  <w:style w:type="paragraph" w:customStyle="1" w:styleId="Odrka1">
    <w:name w:val="Odrážka 1"/>
    <w:basedOn w:val="Bullet1"/>
    <w:link w:val="Odrka1Char"/>
    <w:qFormat/>
    <w:rsid w:val="00C42CDB"/>
  </w:style>
  <w:style w:type="character" w:customStyle="1" w:styleId="Odrka1Char">
    <w:name w:val="Odrážka 1 Char"/>
    <w:basedOn w:val="Standardnpsmoodstavce"/>
    <w:link w:val="Odrka1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Bullet1Char">
    <w:name w:val="Bullet 1 Char"/>
    <w:basedOn w:val="Standardnpsmoodstavce"/>
    <w:link w:val="Bullet1"/>
    <w:uiPriority w:val="99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C42CDB"/>
  </w:style>
  <w:style w:type="character" w:customStyle="1" w:styleId="tabchar">
    <w:name w:val="tabchar"/>
    <w:basedOn w:val="Standardnpsmoodstavce"/>
    <w:rsid w:val="00C42CDB"/>
  </w:style>
  <w:style w:type="character" w:customStyle="1" w:styleId="scxw103030068">
    <w:name w:val="scxw103030068"/>
    <w:basedOn w:val="Standardnpsmoodstavce"/>
    <w:rsid w:val="00C42CDB"/>
  </w:style>
  <w:style w:type="character" w:styleId="Zstupntext">
    <w:name w:val="Placeholder Text"/>
    <w:basedOn w:val="Standardnpsmoodstavce"/>
    <w:uiPriority w:val="99"/>
    <w:semiHidden/>
    <w:rsid w:val="00C42CDB"/>
    <w:rPr>
      <w:color w:val="808080"/>
    </w:rPr>
  </w:style>
  <w:style w:type="paragraph" w:styleId="FormtovanvHTML">
    <w:name w:val="HTML Preformatted"/>
    <w:basedOn w:val="Normln"/>
    <w:link w:val="FormtovanvHTMLChar"/>
    <w:unhideWhenUsed/>
    <w:rsid w:val="00C4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C42C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scxw108177782">
    <w:name w:val="scxw108177782"/>
    <w:basedOn w:val="Standardnpsmoodstavce"/>
    <w:rsid w:val="00C42CDB"/>
  </w:style>
  <w:style w:type="character" w:customStyle="1" w:styleId="scxw124157007">
    <w:name w:val="scxw124157007"/>
    <w:basedOn w:val="Standardnpsmoodstavce"/>
    <w:rsid w:val="00C42CDB"/>
  </w:style>
  <w:style w:type="character" w:customStyle="1" w:styleId="scxw38832071">
    <w:name w:val="scxw38832071"/>
    <w:basedOn w:val="Standardnpsmoodstavce"/>
    <w:rsid w:val="00C42CDB"/>
  </w:style>
  <w:style w:type="character" w:customStyle="1" w:styleId="pagebreaktextspan">
    <w:name w:val="pagebreaktextspan"/>
    <w:basedOn w:val="Standardnpsmoodstavce"/>
    <w:rsid w:val="00C42CD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Dalodstavec">
    <w:name w:val="Další odstavec"/>
    <w:basedOn w:val="Normln"/>
    <w:link w:val="DalodstavecChar"/>
    <w:uiPriority w:val="1"/>
    <w:qFormat/>
    <w:rsid w:val="00C42CDB"/>
    <w:pPr>
      <w:spacing w:before="120" w:after="120" w:line="276" w:lineRule="auto"/>
    </w:pPr>
    <w:rPr>
      <w:rFonts w:ascii="Tahoma" w:eastAsia="Calibri" w:hAnsi="Tahoma"/>
    </w:rPr>
  </w:style>
  <w:style w:type="character" w:customStyle="1" w:styleId="DalodstavecChar">
    <w:name w:val="Další odstavec Char"/>
    <w:link w:val="Dalodstavec"/>
    <w:uiPriority w:val="1"/>
    <w:rsid w:val="00C42CDB"/>
    <w:rPr>
      <w:rFonts w:ascii="Tahoma" w:eastAsia="Calibri" w:hAnsi="Tahoma" w:cs="Times New Roman"/>
      <w:sz w:val="20"/>
    </w:rPr>
  </w:style>
  <w:style w:type="character" w:customStyle="1" w:styleId="jlqj4b">
    <w:name w:val="jlqj4b"/>
    <w:basedOn w:val="Standardnpsmoodstavce"/>
    <w:rsid w:val="00C42CDB"/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C42CDB"/>
    <w:pPr>
      <w:spacing w:line="240" w:lineRule="exact"/>
    </w:pPr>
    <w:rPr>
      <w:vertAlign w:val="superscript"/>
    </w:rPr>
  </w:style>
  <w:style w:type="paragraph" w:customStyle="1" w:styleId="Briefinglist1">
    <w:name w:val="Briefing list 1"/>
    <w:basedOn w:val="Normln"/>
    <w:rsid w:val="00C42CDB"/>
    <w:pPr>
      <w:keepLines/>
      <w:tabs>
        <w:tab w:val="left" w:pos="284"/>
      </w:tabs>
      <w:spacing w:after="120"/>
      <w:ind w:left="284" w:hanging="284"/>
    </w:pPr>
    <w:rPr>
      <w:rFonts w:ascii="Arial" w:hAnsi="Arial" w:cs="Arial"/>
      <w:lang w:val="en-GB"/>
    </w:rPr>
  </w:style>
  <w:style w:type="paragraph" w:styleId="Prosttext">
    <w:name w:val="Plain Text"/>
    <w:basedOn w:val="Normln"/>
    <w:link w:val="ProsttextChar"/>
    <w:uiPriority w:val="99"/>
    <w:unhideWhenUsed/>
    <w:rsid w:val="00C42CDB"/>
    <w:rPr>
      <w:rFonts w:ascii="Consolas" w:hAnsi="Consolas"/>
      <w:sz w:val="21"/>
      <w:szCs w:val="21"/>
      <w:lang w:val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42CDB"/>
    <w:rPr>
      <w:rFonts w:ascii="Consolas" w:eastAsia="Times New Roman" w:hAnsi="Consolas" w:cs="Times New Roman"/>
      <w:sz w:val="21"/>
      <w:szCs w:val="21"/>
      <w:lang w:val="en-US"/>
    </w:rPr>
  </w:style>
  <w:style w:type="paragraph" w:styleId="Bezmezer">
    <w:name w:val="No Spacing"/>
    <w:link w:val="BezmezerChar"/>
    <w:uiPriority w:val="1"/>
    <w:qFormat/>
    <w:rsid w:val="00C42CDB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unhideWhenUsed/>
    <w:rsid w:val="00C42CD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2CDB"/>
    <w:rPr>
      <w:color w:val="000000" w:themeColor="text1"/>
      <w:sz w:val="16"/>
      <w:szCs w:val="16"/>
    </w:rPr>
  </w:style>
  <w:style w:type="paragraph" w:customStyle="1" w:styleId="Bntext">
    <w:name w:val="Běžný text"/>
    <w:basedOn w:val="Zkladntextodsazen2"/>
    <w:link w:val="BntextChar"/>
    <w:qFormat/>
    <w:rsid w:val="00C42CDB"/>
    <w:pPr>
      <w:spacing w:before="120" w:line="276" w:lineRule="auto"/>
      <w:ind w:left="0" w:firstLine="578"/>
      <w:jc w:val="both"/>
    </w:pPr>
    <w:rPr>
      <w:rFonts w:ascii="Calibri" w:hAnsi="Calibri"/>
      <w:color w:val="212121"/>
      <w:lang w:val="en-US"/>
    </w:rPr>
  </w:style>
  <w:style w:type="character" w:customStyle="1" w:styleId="BntextChar">
    <w:name w:val="Běžný text Char"/>
    <w:basedOn w:val="Zkladntextodsazen2Char"/>
    <w:link w:val="Bntext"/>
    <w:rsid w:val="00C42CDB"/>
    <w:rPr>
      <w:rFonts w:ascii="Calibri" w:eastAsia="Times New Roman" w:hAnsi="Calibri" w:cs="Times New Roman"/>
      <w:color w:val="212121"/>
      <w:szCs w:val="24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42CD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42CDB"/>
    <w:rPr>
      <w:color w:val="000000" w:themeColor="text1"/>
    </w:rPr>
  </w:style>
  <w:style w:type="character" w:customStyle="1" w:styleId="superscript">
    <w:name w:val="superscript"/>
    <w:basedOn w:val="Standardnpsmoodstavce"/>
    <w:rsid w:val="00C42CDB"/>
  </w:style>
  <w:style w:type="paragraph" w:customStyle="1" w:styleId="txt">
    <w:name w:val="txt"/>
    <w:basedOn w:val="Normln"/>
    <w:link w:val="txtChar1"/>
    <w:rsid w:val="00C42CDB"/>
    <w:pPr>
      <w:spacing w:after="120"/>
      <w:ind w:firstLine="357"/>
    </w:pPr>
    <w:rPr>
      <w:rFonts w:ascii="Calibri" w:hAnsi="Calibri"/>
      <w:lang w:val="x-none" w:eastAsia="x-none"/>
    </w:rPr>
  </w:style>
  <w:style w:type="character" w:customStyle="1" w:styleId="txtChar1">
    <w:name w:val="txt Char1"/>
    <w:link w:val="txt"/>
    <w:rsid w:val="00C42CDB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oj-doc-ti">
    <w:name w:val="oj-doc-ti"/>
    <w:basedOn w:val="Normln"/>
    <w:rsid w:val="00C42CDB"/>
    <w:pPr>
      <w:spacing w:before="100" w:beforeAutospacing="1" w:after="100" w:afterAutospacing="1"/>
    </w:pPr>
  </w:style>
  <w:style w:type="character" w:customStyle="1" w:styleId="BezmezerChar">
    <w:name w:val="Bez mezer Char"/>
    <w:basedOn w:val="Standardnpsmoodstavce"/>
    <w:link w:val="Bezmezer"/>
    <w:uiPriority w:val="1"/>
    <w:rsid w:val="00C42CDB"/>
  </w:style>
  <w:style w:type="paragraph" w:styleId="Seznamobrzk">
    <w:name w:val="table of figures"/>
    <w:basedOn w:val="Normln"/>
    <w:next w:val="Normln"/>
    <w:uiPriority w:val="99"/>
    <w:unhideWhenUsed/>
    <w:rsid w:val="00C42CDB"/>
  </w:style>
  <w:style w:type="paragraph" w:customStyle="1" w:styleId="Odrka">
    <w:name w:val="Odrážka"/>
    <w:basedOn w:val="Odstavecseseznamem"/>
    <w:link w:val="OdrkaChar"/>
    <w:qFormat/>
    <w:rsid w:val="00562881"/>
    <w:pPr>
      <w:numPr>
        <w:numId w:val="9"/>
      </w:numPr>
      <w:contextualSpacing w:val="0"/>
    </w:pPr>
    <w:rPr>
      <w:bCs/>
    </w:rPr>
  </w:style>
  <w:style w:type="paragraph" w:customStyle="1" w:styleId="K-nzev">
    <w:name w:val="K - název"/>
    <w:basedOn w:val="K-Nadpis1"/>
    <w:link w:val="K-nzevChar"/>
    <w:qFormat/>
    <w:rsid w:val="00AC1ABD"/>
    <w:rPr>
      <w:rFonts w:asciiTheme="minorHAnsi" w:hAnsiTheme="minorHAnsi" w:cstheme="minorHAnsi"/>
      <w:caps w:val="0"/>
      <w:sz w:val="28"/>
    </w:rPr>
  </w:style>
  <w:style w:type="character" w:customStyle="1" w:styleId="OdrkaChar">
    <w:name w:val="Odrážka Char"/>
    <w:basedOn w:val="OdstavecseseznamemChar"/>
    <w:link w:val="Odrka"/>
    <w:rsid w:val="00562881"/>
    <w:rPr>
      <w:bCs/>
      <w:color w:val="000000" w:themeColor="text1"/>
      <w:sz w:val="20"/>
    </w:rPr>
  </w:style>
  <w:style w:type="paragraph" w:customStyle="1" w:styleId="K-1">
    <w:name w:val="K - 1"/>
    <w:basedOn w:val="K-Nadpis2"/>
    <w:link w:val="K-1Char"/>
    <w:qFormat/>
    <w:rsid w:val="00015CE4"/>
    <w:rPr>
      <w:rFonts w:asciiTheme="minorHAnsi" w:hAnsiTheme="minorHAnsi" w:cstheme="minorHAnsi"/>
      <w:sz w:val="22"/>
    </w:rPr>
  </w:style>
  <w:style w:type="character" w:customStyle="1" w:styleId="K-nzevChar">
    <w:name w:val="K - název Char"/>
    <w:basedOn w:val="K-Nadpis1Char"/>
    <w:link w:val="K-nzev"/>
    <w:rsid w:val="00AC1ABD"/>
    <w:rPr>
      <w:rFonts w:ascii="Times New Roman" w:eastAsiaTheme="majorEastAsia" w:hAnsi="Times New Roman" w:cstheme="minorHAnsi"/>
      <w:b/>
      <w:caps w:val="0"/>
      <w:color w:val="000000" w:themeColor="text1"/>
      <w:sz w:val="28"/>
      <w:szCs w:val="32"/>
    </w:rPr>
  </w:style>
  <w:style w:type="character" w:customStyle="1" w:styleId="K-1Char">
    <w:name w:val="K - 1 Char"/>
    <w:basedOn w:val="K-Nadpis2Char"/>
    <w:link w:val="K-1"/>
    <w:rsid w:val="00015CE4"/>
    <w:rPr>
      <w:rFonts w:asciiTheme="majorHAnsi" w:eastAsiaTheme="majorEastAsia" w:hAnsiTheme="majorHAnsi" w:cstheme="minorHAnsi"/>
      <w:b/>
      <w:color w:val="000000" w:themeColor="text1"/>
      <w:sz w:val="26"/>
      <w:szCs w:val="26"/>
    </w:rPr>
  </w:style>
  <w:style w:type="paragraph" w:customStyle="1" w:styleId="Bullet2">
    <w:name w:val="Bullet 2"/>
    <w:basedOn w:val="Normln"/>
    <w:qFormat/>
    <w:rsid w:val="00D1368A"/>
    <w:pPr>
      <w:numPr>
        <w:numId w:val="236"/>
      </w:numPr>
      <w:spacing w:before="60" w:after="60"/>
    </w:pPr>
    <w:rPr>
      <w:rFonts w:ascii="Henderson BCG Serif" w:hAnsi="Henderson BCG Serif"/>
      <w:sz w:val="22"/>
      <w:lang w:eastAsia="de-DE"/>
    </w:rPr>
  </w:style>
  <w:style w:type="paragraph" w:customStyle="1" w:styleId="Bullet3">
    <w:name w:val="Bullet 3"/>
    <w:basedOn w:val="Normln"/>
    <w:qFormat/>
    <w:rsid w:val="00D1368A"/>
    <w:pPr>
      <w:numPr>
        <w:numId w:val="237"/>
      </w:numPr>
      <w:spacing w:before="60" w:after="60"/>
    </w:pPr>
    <w:rPr>
      <w:rFonts w:ascii="Henderson BCG Serif" w:hAnsi="Henderson BCG Serif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Normal_color%20.dotm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36C60-FBBD-4731-8E4F-89A51BB23C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543CF2-4B6F-447B-AF9C-6784D2A70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6FB955-7DC1-4031-8DFA-B2DCE436F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58449-0F46-4389-A29F-0B06D97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Normal_color .dotm</Template>
  <TotalTime>0</TotalTime>
  <Pages>20</Pages>
  <Words>9107</Words>
  <Characters>53735</Characters>
  <Application>Microsoft Office Word</Application>
  <DocSecurity>0</DocSecurity>
  <Lines>447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2021-06-24T07:25:00Z</dcterms:created>
  <dcterms:modified xsi:type="dcterms:W3CDTF">2021-09-06T08:53:00Z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6ffa64f4-9ef8-499b-ad6c-73a91d5ec702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2021-05-14T07:46:31Z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