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3D9" w:rsidRDefault="005A63D9" w:rsidP="0008405A">
      <w:pPr>
        <w:spacing w:after="144"/>
        <w:jc w:val="center"/>
        <w:rPr>
          <w:b/>
          <w:sz w:val="48"/>
          <w:szCs w:val="48"/>
          <w:lang w:eastAsia="cs-CZ"/>
        </w:rPr>
      </w:pPr>
      <w:bookmarkStart w:id="0" w:name="_Toc437340815"/>
      <w:bookmarkStart w:id="1" w:name="_Toc437427684"/>
    </w:p>
    <w:p w:rsidR="005A63D9" w:rsidRDefault="005A63D9" w:rsidP="0008405A">
      <w:pPr>
        <w:spacing w:after="144"/>
        <w:jc w:val="center"/>
        <w:rPr>
          <w:b/>
          <w:sz w:val="48"/>
          <w:szCs w:val="48"/>
          <w:lang w:eastAsia="cs-CZ"/>
        </w:rPr>
      </w:pPr>
    </w:p>
    <w:p w:rsidR="005A63D9" w:rsidRPr="00734860" w:rsidRDefault="005A63D9" w:rsidP="0008405A">
      <w:pPr>
        <w:spacing w:after="144"/>
        <w:jc w:val="center"/>
        <w:rPr>
          <w:b/>
          <w:sz w:val="48"/>
          <w:szCs w:val="48"/>
          <w:lang w:eastAsia="cs-CZ"/>
        </w:rPr>
      </w:pPr>
      <w:r w:rsidRPr="00734860">
        <w:rPr>
          <w:b/>
          <w:sz w:val="48"/>
          <w:szCs w:val="48"/>
          <w:lang w:eastAsia="cs-CZ"/>
        </w:rPr>
        <w:t>Příloha č. 1</w:t>
      </w:r>
    </w:p>
    <w:p w:rsidR="005A63D9" w:rsidRPr="00734860"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r>
        <w:rPr>
          <w:b/>
          <w:sz w:val="48"/>
          <w:szCs w:val="48"/>
          <w:lang w:eastAsia="cs-CZ"/>
        </w:rPr>
        <w:t>Analýza výzkumu</w:t>
      </w:r>
    </w:p>
    <w:p w:rsidR="005A63D9" w:rsidRDefault="005A63D9" w:rsidP="0008405A">
      <w:pPr>
        <w:spacing w:after="144"/>
        <w:jc w:val="center"/>
        <w:rPr>
          <w:b/>
          <w:sz w:val="48"/>
          <w:szCs w:val="48"/>
          <w:lang w:eastAsia="cs-CZ"/>
        </w:rPr>
      </w:pPr>
      <w:r w:rsidRPr="00734860">
        <w:rPr>
          <w:b/>
          <w:sz w:val="48"/>
          <w:szCs w:val="48"/>
          <w:lang w:eastAsia="cs-CZ"/>
        </w:rPr>
        <w:t>v oblasti životního prostředí v zahraničí</w:t>
      </w: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b/>
          <w:sz w:val="48"/>
          <w:szCs w:val="48"/>
          <w:lang w:eastAsia="cs-CZ"/>
        </w:rPr>
      </w:pPr>
    </w:p>
    <w:p w:rsidR="005A63D9" w:rsidRDefault="005A63D9" w:rsidP="0008405A">
      <w:pPr>
        <w:spacing w:after="144"/>
        <w:jc w:val="center"/>
        <w:rPr>
          <w:sz w:val="24"/>
          <w:szCs w:val="24"/>
          <w:lang w:eastAsia="cs-CZ"/>
        </w:rPr>
      </w:pPr>
      <w:r>
        <w:rPr>
          <w:sz w:val="24"/>
          <w:szCs w:val="24"/>
          <w:lang w:eastAsia="cs-CZ"/>
        </w:rPr>
        <w:t>březen</w:t>
      </w:r>
      <w:r w:rsidRPr="00D82415">
        <w:rPr>
          <w:sz w:val="24"/>
          <w:szCs w:val="24"/>
          <w:lang w:eastAsia="cs-CZ"/>
        </w:rPr>
        <w:t xml:space="preserve"> 2016</w:t>
      </w:r>
    </w:p>
    <w:p w:rsidR="005A63D9" w:rsidRPr="004E7C48" w:rsidRDefault="005A63D9" w:rsidP="0008405A">
      <w:pPr>
        <w:spacing w:after="144"/>
        <w:jc w:val="center"/>
        <w:rPr>
          <w:b/>
          <w:sz w:val="48"/>
          <w:szCs w:val="48"/>
          <w:lang w:eastAsia="cs-CZ"/>
        </w:rPr>
      </w:pPr>
    </w:p>
    <w:p w:rsidR="005A63D9" w:rsidRDefault="005A63D9" w:rsidP="0008405A">
      <w:pPr>
        <w:spacing w:afterLines="0"/>
        <w:contextualSpacing w:val="0"/>
        <w:jc w:val="both"/>
      </w:pPr>
      <w:r>
        <w:br w:type="page"/>
      </w:r>
    </w:p>
    <w:p w:rsidR="005A63D9" w:rsidRDefault="005A63D9" w:rsidP="00F356A8">
      <w:pPr>
        <w:pStyle w:val="Heading1"/>
        <w:spacing w:after="144"/>
      </w:pPr>
      <w:r>
        <w:t>Obsah</w:t>
      </w:r>
    </w:p>
    <w:p w:rsidR="005A63D9" w:rsidRPr="00F356A8" w:rsidRDefault="005A63D9">
      <w:pPr>
        <w:pStyle w:val="TOC1"/>
        <w:tabs>
          <w:tab w:val="right" w:leader="dot" w:pos="9061"/>
        </w:tabs>
        <w:spacing w:after="144"/>
        <w:rPr>
          <w:rFonts w:ascii="Arial" w:hAnsi="Arial"/>
          <w:b w:val="0"/>
          <w:bCs w:val="0"/>
          <w:noProof/>
          <w:sz w:val="22"/>
          <w:szCs w:val="22"/>
          <w:lang w:eastAsia="cs-CZ"/>
        </w:rPr>
      </w:pPr>
      <w:r w:rsidRPr="00F356A8">
        <w:rPr>
          <w:rFonts w:ascii="Arial" w:hAnsi="Arial"/>
          <w:sz w:val="22"/>
          <w:szCs w:val="22"/>
        </w:rPr>
        <w:fldChar w:fldCharType="begin"/>
      </w:r>
      <w:r w:rsidRPr="00F356A8">
        <w:rPr>
          <w:rFonts w:ascii="Arial" w:hAnsi="Arial"/>
          <w:sz w:val="22"/>
          <w:szCs w:val="22"/>
        </w:rPr>
        <w:instrText xml:space="preserve"> TOC \o "1-3" \h \z \u </w:instrText>
      </w:r>
      <w:r w:rsidRPr="00F356A8">
        <w:rPr>
          <w:rFonts w:ascii="Arial" w:hAnsi="Arial"/>
          <w:sz w:val="22"/>
          <w:szCs w:val="22"/>
        </w:rPr>
        <w:fldChar w:fldCharType="separate"/>
      </w:r>
      <w:hyperlink w:anchor="_Toc441849453" w:history="1">
        <w:r w:rsidRPr="00F356A8">
          <w:rPr>
            <w:rStyle w:val="Hyperlink"/>
            <w:rFonts w:ascii="Arial" w:hAnsi="Arial" w:cs="Arial"/>
            <w:noProof/>
            <w:sz w:val="22"/>
            <w:szCs w:val="22"/>
          </w:rPr>
          <w:t>Úvod</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_Toc441849453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454" w:history="1">
        <w:r w:rsidRPr="00F356A8">
          <w:rPr>
            <w:rStyle w:val="Hyperlink"/>
            <w:rFonts w:ascii="Arial" w:hAnsi="Arial" w:cs="Arial"/>
            <w:noProof/>
            <w:kern w:val="32"/>
            <w:sz w:val="22"/>
            <w:szCs w:val="22"/>
            <w:shd w:val="clear" w:color="auto" w:fill="FFFFFF"/>
            <w:lang w:eastAsia="cs-CZ"/>
          </w:rPr>
          <w:t>1. Dánsko</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_Toc441849454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55" w:history="1">
        <w:r w:rsidRPr="00F356A8">
          <w:rPr>
            <w:rStyle w:val="Hyperlink"/>
            <w:rFonts w:ascii="Arial" w:hAnsi="Arial" w:cs="Arial"/>
            <w:bCs/>
            <w:i w:val="0"/>
            <w:noProof/>
            <w:sz w:val="22"/>
            <w:szCs w:val="22"/>
            <w:shd w:val="clear" w:color="auto" w:fill="FFFFFF"/>
            <w:lang w:eastAsia="cs-CZ"/>
          </w:rPr>
          <w:t>1.1. Státní správa</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_Toc441849455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7</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56" w:history="1">
        <w:r w:rsidRPr="00F356A8">
          <w:rPr>
            <w:rStyle w:val="Hyperlink"/>
            <w:rFonts w:ascii="Arial" w:hAnsi="Arial" w:cs="Arial"/>
            <w:bCs/>
            <w:noProof/>
            <w:sz w:val="22"/>
            <w:szCs w:val="22"/>
            <w:shd w:val="clear" w:color="auto" w:fill="FFFFFF"/>
            <w:lang w:eastAsia="cs-CZ"/>
          </w:rPr>
          <w:t>Ministerstvo pro vysokoškolské vzdělávání a vědu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_Toc441849456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57" w:history="1">
        <w:r w:rsidRPr="00F356A8">
          <w:rPr>
            <w:rStyle w:val="Hyperlink"/>
            <w:rFonts w:ascii="Arial" w:hAnsi="Arial" w:cs="Arial"/>
            <w:bCs/>
            <w:noProof/>
            <w:sz w:val="22"/>
            <w:szCs w:val="22"/>
            <w:shd w:val="clear" w:color="auto" w:fill="FFFFFF"/>
            <w:lang w:eastAsia="cs-CZ"/>
          </w:rPr>
          <w:t>Ministerstvo pro životní prostředí a potraviny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_Toc441849457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58" w:history="1">
        <w:r w:rsidRPr="00F356A8">
          <w:rPr>
            <w:rStyle w:val="Hyperlink"/>
            <w:rFonts w:ascii="Arial" w:hAnsi="Arial" w:cs="Arial"/>
            <w:bCs/>
            <w:i w:val="0"/>
            <w:noProof/>
            <w:sz w:val="22"/>
            <w:szCs w:val="22"/>
            <w:shd w:val="clear" w:color="auto" w:fill="FFFFFF"/>
            <w:lang w:eastAsia="cs-CZ"/>
          </w:rPr>
          <w:t>1.2. Veřejná podpora VaVaI</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_Toc441849458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8</w:t>
        </w:r>
        <w:r w:rsidRPr="00F356A8">
          <w:rPr>
            <w:rFonts w:ascii="Arial" w:hAnsi="Arial"/>
            <w:i w:val="0"/>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59" w:history="1">
        <w:r w:rsidRPr="00F356A8">
          <w:rPr>
            <w:rStyle w:val="Hyperlink"/>
            <w:rFonts w:ascii="Arial" w:hAnsi="Arial" w:cs="Arial"/>
            <w:bCs/>
            <w:i w:val="0"/>
            <w:noProof/>
            <w:sz w:val="22"/>
            <w:szCs w:val="22"/>
            <w:shd w:val="clear" w:color="auto" w:fill="FFFFFF"/>
            <w:lang w:eastAsia="cs-CZ"/>
          </w:rPr>
          <w:t>1.3. Reforma</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_Toc441849459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9</w:t>
        </w:r>
        <w:r w:rsidRPr="00F356A8">
          <w:rPr>
            <w:rFonts w:ascii="Arial" w:hAnsi="Arial"/>
            <w:i w:val="0"/>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60" w:history="1">
        <w:r w:rsidRPr="00F356A8">
          <w:rPr>
            <w:rStyle w:val="Hyperlink"/>
            <w:rFonts w:ascii="Arial" w:hAnsi="Arial" w:cs="Arial"/>
            <w:bCs/>
            <w:i w:val="0"/>
            <w:noProof/>
            <w:sz w:val="22"/>
            <w:szCs w:val="22"/>
            <w:shd w:val="clear" w:color="auto" w:fill="FFFFFF"/>
            <w:lang w:eastAsia="cs-CZ"/>
          </w:rPr>
          <w:t>1.4. Programy VaVaI koordinované Dánským inovačním fondem</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_Toc441849460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9</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1" w:history="1">
        <w:r w:rsidRPr="00F356A8">
          <w:rPr>
            <w:rStyle w:val="Hyperlink"/>
            <w:rFonts w:ascii="Arial" w:hAnsi="Arial" w:cs="Arial"/>
            <w:bCs/>
            <w:noProof/>
            <w:sz w:val="22"/>
            <w:szCs w:val="22"/>
            <w:shd w:val="clear" w:color="auto" w:fill="FFFFFF"/>
            <w:lang w:eastAsia="cs-CZ"/>
          </w:rPr>
          <w:t>Dánský technologický institut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11</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2" w:history="1">
        <w:r w:rsidRPr="00F356A8">
          <w:rPr>
            <w:rStyle w:val="Hyperlink"/>
            <w:rFonts w:ascii="Arial" w:hAnsi="Arial" w:cs="Arial"/>
            <w:bCs/>
            <w:noProof/>
            <w:sz w:val="22"/>
            <w:szCs w:val="22"/>
            <w:shd w:val="clear" w:color="auto" w:fill="FFFFFF"/>
            <w:lang w:eastAsia="cs-CZ"/>
          </w:rPr>
          <w:t>Dánský institut pro vodu a životní prostředí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11</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3" w:history="1">
        <w:r w:rsidRPr="00F356A8">
          <w:rPr>
            <w:rStyle w:val="Hyperlink"/>
            <w:rFonts w:ascii="Arial" w:hAnsi="Arial" w:cs="Arial"/>
            <w:bCs/>
            <w:noProof/>
            <w:sz w:val="22"/>
            <w:szCs w:val="22"/>
            <w:shd w:val="clear" w:color="auto" w:fill="FFFFFF"/>
            <w:lang w:eastAsia="cs-CZ"/>
          </w:rPr>
          <w:t>Inovační sítě</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11</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64" w:history="1">
        <w:r w:rsidRPr="00F356A8">
          <w:rPr>
            <w:rStyle w:val="Hyperlink"/>
            <w:rFonts w:ascii="Arial" w:hAnsi="Arial" w:cs="Arial"/>
            <w:bCs/>
            <w:i w:val="0"/>
            <w:noProof/>
            <w:sz w:val="22"/>
            <w:szCs w:val="22"/>
            <w:shd w:val="clear" w:color="auto" w:fill="FFFFFF"/>
            <w:lang w:eastAsia="cs-CZ"/>
          </w:rPr>
          <w:t>1.5. Financování VaVaI z veřejných prostředků</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_Toc441849464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12</w:t>
        </w:r>
        <w:r w:rsidRPr="00F356A8">
          <w:rPr>
            <w:rFonts w:ascii="Arial" w:hAnsi="Arial"/>
            <w:i w:val="0"/>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465" w:history="1">
        <w:r w:rsidRPr="00F356A8">
          <w:rPr>
            <w:rStyle w:val="Hyperlink"/>
            <w:rFonts w:ascii="Arial" w:hAnsi="Arial" w:cs="Arial"/>
            <w:noProof/>
            <w:kern w:val="32"/>
            <w:sz w:val="22"/>
            <w:szCs w:val="22"/>
            <w:shd w:val="clear" w:color="auto" w:fill="FFFFFF"/>
            <w:lang w:eastAsia="cs-CZ"/>
          </w:rPr>
          <w:t>2. Rakousko</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16</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66" w:history="1">
        <w:r w:rsidRPr="00F356A8">
          <w:rPr>
            <w:rStyle w:val="Hyperlink"/>
            <w:rFonts w:ascii="Arial" w:hAnsi="Arial" w:cs="Arial"/>
            <w:bCs/>
            <w:i w:val="0"/>
            <w:noProof/>
            <w:sz w:val="22"/>
            <w:szCs w:val="22"/>
            <w:shd w:val="clear" w:color="auto" w:fill="FFFFFF"/>
            <w:lang w:eastAsia="cs-CZ"/>
          </w:rPr>
          <w:t>2.1. Státní správa v oblastech VaVaI a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_Toc441849466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17</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7" w:history="1">
        <w:r w:rsidRPr="00F356A8">
          <w:rPr>
            <w:rStyle w:val="Hyperlink"/>
            <w:rFonts w:ascii="Arial" w:hAnsi="Arial" w:cs="Arial"/>
            <w:bCs/>
            <w:noProof/>
            <w:sz w:val="22"/>
            <w:szCs w:val="22"/>
            <w:shd w:val="clear" w:color="auto" w:fill="FFFFFF"/>
            <w:lang w:eastAsia="cs-CZ"/>
          </w:rPr>
          <w:t>Spolkové ministerstvo pro vědu, výzkum a hospodářství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17</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8" w:history="1">
        <w:r w:rsidRPr="00F356A8">
          <w:rPr>
            <w:rStyle w:val="Hyperlink"/>
            <w:rFonts w:ascii="Arial" w:hAnsi="Arial" w:cs="Arial"/>
            <w:bCs/>
            <w:noProof/>
            <w:sz w:val="22"/>
            <w:szCs w:val="22"/>
            <w:shd w:val="clear" w:color="auto" w:fill="FFFFFF"/>
            <w:lang w:eastAsia="cs-CZ"/>
          </w:rPr>
          <w:t>Spolkové ministerstvo pro dopravu, inovace a technologie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17</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69" w:history="1">
        <w:r w:rsidRPr="00F356A8">
          <w:rPr>
            <w:rStyle w:val="Hyperlink"/>
            <w:rFonts w:ascii="Arial" w:hAnsi="Arial" w:cs="Arial"/>
            <w:bCs/>
            <w:noProof/>
            <w:sz w:val="22"/>
            <w:szCs w:val="22"/>
            <w:shd w:val="clear" w:color="auto" w:fill="FFFFFF"/>
            <w:lang w:eastAsia="cs-CZ"/>
          </w:rPr>
          <w:t>Spolkové ministerstvo pro zemědělství, lesnictví, životní prostředí a vodní hospodářství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_Toc441849469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17</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70" w:history="1">
        <w:r w:rsidRPr="00F356A8">
          <w:rPr>
            <w:rStyle w:val="Hyperlink"/>
            <w:rFonts w:ascii="Arial" w:hAnsi="Arial" w:cs="Arial"/>
            <w:bCs/>
            <w:i w:val="0"/>
            <w:noProof/>
            <w:sz w:val="22"/>
            <w:szCs w:val="22"/>
            <w:shd w:val="clear" w:color="auto" w:fill="FFFFFF"/>
            <w:lang w:eastAsia="cs-CZ"/>
          </w:rPr>
          <w:t>2.2. Instituce zabezpečující podporu VaV</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_Toc441849470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19</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1" w:history="1">
        <w:r w:rsidRPr="00F356A8">
          <w:rPr>
            <w:rStyle w:val="Hyperlink"/>
            <w:rFonts w:ascii="Arial" w:hAnsi="Arial" w:cs="Arial"/>
            <w:bCs/>
            <w:noProof/>
            <w:sz w:val="22"/>
            <w:szCs w:val="22"/>
            <w:shd w:val="clear" w:color="auto" w:fill="FFFFFF"/>
            <w:lang w:eastAsia="cs-CZ"/>
          </w:rPr>
          <w:t>Rakouská společnost pro podporu hospodářství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19</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2" w:history="1">
        <w:r w:rsidRPr="00F356A8">
          <w:rPr>
            <w:rStyle w:val="Hyperlink"/>
            <w:rFonts w:ascii="Arial" w:hAnsi="Arial" w:cs="Arial"/>
            <w:bCs/>
            <w:noProof/>
            <w:sz w:val="22"/>
            <w:szCs w:val="22"/>
            <w:shd w:val="clear" w:color="auto" w:fill="FFFFFF"/>
            <w:lang w:eastAsia="cs-CZ"/>
          </w:rPr>
          <w:t>Fond pro podporu vědeckého výzkumu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19</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3" w:history="1">
        <w:r w:rsidRPr="00F356A8">
          <w:rPr>
            <w:rStyle w:val="Hyperlink"/>
            <w:rFonts w:ascii="Arial" w:hAnsi="Arial" w:cs="Arial"/>
            <w:bCs/>
            <w:noProof/>
            <w:sz w:val="22"/>
            <w:szCs w:val="22"/>
            <w:shd w:val="clear" w:color="auto" w:fill="FFFFFF"/>
            <w:lang w:eastAsia="cs-CZ"/>
          </w:rPr>
          <w:t>Společnost pro podporu výzkumu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20</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74" w:history="1">
        <w:r w:rsidRPr="00F356A8">
          <w:rPr>
            <w:rStyle w:val="Hyperlink"/>
            <w:rFonts w:ascii="Arial" w:hAnsi="Arial" w:cs="Arial"/>
            <w:bCs/>
            <w:i w:val="0"/>
            <w:noProof/>
            <w:sz w:val="22"/>
            <w:szCs w:val="22"/>
            <w:shd w:val="clear" w:color="auto" w:fill="FFFFFF"/>
            <w:lang w:eastAsia="cs-CZ"/>
          </w:rPr>
          <w:t>2.3 Instituce a organizace zabývající se VaVaI v oblasti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_Toc441849474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21</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5" w:history="1">
        <w:r w:rsidRPr="00F356A8">
          <w:rPr>
            <w:rStyle w:val="Hyperlink"/>
            <w:rFonts w:ascii="Arial" w:hAnsi="Arial" w:cs="Arial"/>
            <w:bCs/>
            <w:noProof/>
            <w:sz w:val="22"/>
            <w:szCs w:val="22"/>
            <w:shd w:val="clear" w:color="auto" w:fill="FFFFFF"/>
            <w:lang w:eastAsia="cs-CZ"/>
          </w:rPr>
          <w:t>Rakouský technologický institut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22</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6" w:history="1">
        <w:r w:rsidRPr="00F356A8">
          <w:rPr>
            <w:rStyle w:val="Hyperlink"/>
            <w:rFonts w:ascii="Arial" w:hAnsi="Arial" w:cs="Arial"/>
            <w:bCs/>
            <w:noProof/>
            <w:sz w:val="22"/>
            <w:szCs w:val="22"/>
            <w:shd w:val="clear" w:color="auto" w:fill="FFFFFF"/>
            <w:lang w:eastAsia="cs-CZ"/>
          </w:rPr>
          <w:t>Společnost Joanneum Research</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23</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477" w:history="1">
        <w:r w:rsidRPr="00F356A8">
          <w:rPr>
            <w:rStyle w:val="Hyperlink"/>
            <w:rFonts w:ascii="Arial" w:hAnsi="Arial" w:cs="Arial"/>
            <w:noProof/>
            <w:kern w:val="32"/>
            <w:sz w:val="22"/>
            <w:szCs w:val="22"/>
            <w:shd w:val="clear" w:color="auto" w:fill="FFFFFF"/>
            <w:lang w:eastAsia="cs-CZ"/>
          </w:rPr>
          <w:t>3. Švýcarsko</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25</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78" w:history="1">
        <w:r w:rsidRPr="00F356A8">
          <w:rPr>
            <w:rStyle w:val="Hyperlink"/>
            <w:rFonts w:ascii="Arial" w:hAnsi="Arial" w:cs="Arial"/>
            <w:bCs/>
            <w:i w:val="0"/>
            <w:noProof/>
            <w:sz w:val="22"/>
            <w:szCs w:val="22"/>
            <w:shd w:val="clear" w:color="auto" w:fill="FFFFFF"/>
            <w:lang w:eastAsia="cs-CZ"/>
          </w:rPr>
          <w:t>3.1. Státní správa v oblastech VaVaI a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_Toc441849478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26</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79" w:history="1">
        <w:r w:rsidRPr="00F356A8">
          <w:rPr>
            <w:rStyle w:val="Hyperlink"/>
            <w:rFonts w:ascii="Arial" w:hAnsi="Arial" w:cs="Arial"/>
            <w:bCs/>
            <w:noProof/>
            <w:sz w:val="22"/>
            <w:szCs w:val="22"/>
            <w:shd w:val="clear" w:color="auto" w:fill="FFFFFF"/>
            <w:lang w:eastAsia="cs-CZ"/>
          </w:rPr>
          <w:t>Švýcarské ministerstvo pro hospodářství, vzdělání a výzkum</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_Toc441849479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26</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0" w:history="1">
        <w:r w:rsidRPr="00F356A8">
          <w:rPr>
            <w:rStyle w:val="Hyperlink"/>
            <w:rFonts w:ascii="Arial" w:hAnsi="Arial" w:cs="Arial"/>
            <w:bCs/>
            <w:noProof/>
            <w:sz w:val="22"/>
            <w:szCs w:val="22"/>
            <w:shd w:val="clear" w:color="auto" w:fill="FFFFFF"/>
            <w:lang w:eastAsia="cs-CZ"/>
          </w:rPr>
          <w:t>Švýcarské ministerstvo pro životní prostředí, dopravu, energii a komunikace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_Toc441849480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27</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81" w:history="1">
        <w:r w:rsidRPr="00F356A8">
          <w:rPr>
            <w:rStyle w:val="Hyperlink"/>
            <w:rFonts w:ascii="Arial" w:hAnsi="Arial" w:cs="Arial"/>
            <w:bCs/>
            <w:i w:val="0"/>
            <w:noProof/>
            <w:sz w:val="22"/>
            <w:szCs w:val="22"/>
            <w:shd w:val="clear" w:color="auto" w:fill="FFFFFF"/>
            <w:lang w:eastAsia="cs-CZ"/>
          </w:rPr>
          <w:t>3.2. Veřejná podpora VaVaI</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_Toc441849481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28</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2" w:history="1">
        <w:r w:rsidRPr="00F356A8">
          <w:rPr>
            <w:rStyle w:val="Hyperlink"/>
            <w:rFonts w:ascii="Arial" w:hAnsi="Arial" w:cs="Arial"/>
            <w:bCs/>
            <w:noProof/>
            <w:sz w:val="22"/>
            <w:szCs w:val="22"/>
            <w:shd w:val="clear" w:color="auto" w:fill="FFFFFF"/>
            <w:lang w:eastAsia="cs-CZ"/>
          </w:rPr>
          <w:t>Švýcarský národní fond pro podporu vědeckého výzkumu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29</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3" w:history="1">
        <w:r w:rsidRPr="00F356A8">
          <w:rPr>
            <w:rStyle w:val="Hyperlink"/>
            <w:rFonts w:ascii="Arial" w:hAnsi="Arial" w:cs="Arial"/>
            <w:bCs/>
            <w:noProof/>
            <w:sz w:val="22"/>
            <w:szCs w:val="22"/>
            <w:shd w:val="clear" w:color="auto" w:fill="FFFFFF"/>
            <w:lang w:eastAsia="cs-CZ"/>
          </w:rPr>
          <w:t>Komise pro technologie a inovace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30</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84" w:history="1">
        <w:r w:rsidRPr="00F356A8">
          <w:rPr>
            <w:rStyle w:val="Hyperlink"/>
            <w:rFonts w:ascii="Arial" w:hAnsi="Arial" w:cs="Arial"/>
            <w:bCs/>
            <w:i w:val="0"/>
            <w:noProof/>
            <w:sz w:val="22"/>
            <w:szCs w:val="22"/>
            <w:shd w:val="clear" w:color="auto" w:fill="FFFFFF"/>
            <w:lang w:eastAsia="cs-CZ"/>
          </w:rPr>
          <w:t>3.3. Instituce a organizace zabývající se VaV v oblasti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_Toc441849484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31</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5" w:history="1">
        <w:r w:rsidRPr="00F356A8">
          <w:rPr>
            <w:rStyle w:val="Hyperlink"/>
            <w:rFonts w:ascii="Arial" w:hAnsi="Arial" w:cs="Arial"/>
            <w:bCs/>
            <w:noProof/>
            <w:sz w:val="22"/>
            <w:szCs w:val="22"/>
            <w:shd w:val="clear" w:color="auto" w:fill="FFFFFF"/>
            <w:lang w:eastAsia="cs-CZ"/>
          </w:rPr>
          <w:t>Švýcarský výzkumný ústav pro lesy, sníh a krajinu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31</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6" w:history="1">
        <w:r w:rsidRPr="00F356A8">
          <w:rPr>
            <w:rStyle w:val="Hyperlink"/>
            <w:rFonts w:ascii="Arial" w:hAnsi="Arial" w:cs="Arial"/>
            <w:bCs/>
            <w:noProof/>
            <w:sz w:val="22"/>
            <w:szCs w:val="22"/>
            <w:shd w:val="clear" w:color="auto" w:fill="FFFFFF"/>
            <w:lang w:eastAsia="cs-CZ"/>
          </w:rPr>
          <w:t>Švýcarský institut pro zásobování vodou, čištění odpadních vod a ochranu spodních vod</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33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87" w:history="1">
        <w:r w:rsidRPr="00F356A8">
          <w:rPr>
            <w:rStyle w:val="Hyperlink"/>
            <w:rFonts w:ascii="Arial" w:hAnsi="Arial" w:cs="Arial"/>
            <w:bCs/>
            <w:noProof/>
            <w:sz w:val="22"/>
            <w:szCs w:val="22"/>
            <w:shd w:val="clear" w:color="auto" w:fill="FFFFFF"/>
            <w:lang w:eastAsia="cs-CZ"/>
          </w:rPr>
          <w:t>Členské univerzity v oblasti (skupině) ETH</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34</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488" w:history="1">
        <w:r w:rsidRPr="00F356A8">
          <w:rPr>
            <w:rStyle w:val="Hyperlink"/>
            <w:rFonts w:ascii="Arial" w:hAnsi="Arial" w:cs="Arial"/>
            <w:noProof/>
            <w:kern w:val="32"/>
            <w:sz w:val="22"/>
            <w:szCs w:val="22"/>
            <w:shd w:val="clear" w:color="auto" w:fill="FFFFFF"/>
            <w:lang w:eastAsia="cs-CZ"/>
          </w:rPr>
          <w:t>4. Německo</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_Toc441849488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35</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89" w:history="1">
        <w:r w:rsidRPr="00F356A8">
          <w:rPr>
            <w:rStyle w:val="Hyperlink"/>
            <w:rFonts w:ascii="Arial" w:hAnsi="Arial" w:cs="Arial"/>
            <w:bCs/>
            <w:i w:val="0"/>
            <w:noProof/>
            <w:sz w:val="22"/>
            <w:szCs w:val="22"/>
            <w:shd w:val="clear" w:color="auto" w:fill="FFFFFF"/>
            <w:lang w:eastAsia="cs-CZ"/>
          </w:rPr>
          <w:t>4.1. Politiky a strategie VaV</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_Toc441849489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35</w:t>
        </w:r>
        <w:r w:rsidRPr="00F356A8">
          <w:rPr>
            <w:rFonts w:ascii="Arial" w:hAnsi="Arial"/>
            <w:i w:val="0"/>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90" w:history="1">
        <w:r w:rsidRPr="00F356A8">
          <w:rPr>
            <w:rStyle w:val="Hyperlink"/>
            <w:rFonts w:ascii="Arial" w:hAnsi="Arial" w:cs="Arial"/>
            <w:bCs/>
            <w:i w:val="0"/>
            <w:noProof/>
            <w:sz w:val="22"/>
            <w:szCs w:val="22"/>
            <w:shd w:val="clear" w:color="auto" w:fill="FFFFFF"/>
            <w:lang w:eastAsia="cs-CZ"/>
          </w:rPr>
          <w:t>4.2. Státní správa VaV v oblasti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_Toc441849490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38</w:t>
        </w:r>
        <w:r w:rsidRPr="00F356A8">
          <w:rPr>
            <w:rFonts w:ascii="Arial" w:hAnsi="Arial"/>
            <w:i w:val="0"/>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91" w:history="1">
        <w:r w:rsidRPr="00F356A8">
          <w:rPr>
            <w:rStyle w:val="Hyperlink"/>
            <w:rFonts w:ascii="Arial" w:hAnsi="Arial" w:cs="Arial"/>
            <w:bCs/>
            <w:i w:val="0"/>
            <w:noProof/>
            <w:sz w:val="22"/>
            <w:szCs w:val="22"/>
            <w:shd w:val="clear" w:color="auto" w:fill="FFFFFF"/>
            <w:lang w:eastAsia="cs-CZ"/>
          </w:rPr>
          <w:t>4.3. Organizace zabývající se VaV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_Toc441849491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40</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2" w:history="1">
        <w:r w:rsidRPr="00F356A8">
          <w:rPr>
            <w:rStyle w:val="Hyperlink"/>
            <w:rFonts w:ascii="Arial" w:hAnsi="Arial" w:cs="Arial"/>
            <w:bCs/>
            <w:noProof/>
            <w:sz w:val="22"/>
            <w:szCs w:val="22"/>
            <w:shd w:val="clear" w:color="auto" w:fill="FFFFFF"/>
            <w:lang w:eastAsia="cs-CZ"/>
          </w:rPr>
          <w:t>Společnost Maxe Plancka</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40</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3" w:history="1">
        <w:r w:rsidRPr="00F356A8">
          <w:rPr>
            <w:rStyle w:val="Hyperlink"/>
            <w:rFonts w:ascii="Arial" w:hAnsi="Arial" w:cs="Arial"/>
            <w:bCs/>
            <w:noProof/>
            <w:sz w:val="22"/>
            <w:szCs w:val="22"/>
            <w:shd w:val="clear" w:color="auto" w:fill="FFFFFF"/>
            <w:lang w:eastAsia="cs-CZ"/>
          </w:rPr>
          <w:t>Fraunhoferova společnost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40</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4" w:history="1">
        <w:r w:rsidRPr="00F356A8">
          <w:rPr>
            <w:rStyle w:val="Hyperlink"/>
            <w:rFonts w:ascii="Arial" w:hAnsi="Arial" w:cs="Arial"/>
            <w:bCs/>
            <w:noProof/>
            <w:sz w:val="22"/>
            <w:szCs w:val="22"/>
            <w:shd w:val="clear" w:color="auto" w:fill="FFFFFF"/>
            <w:lang w:eastAsia="cs-CZ"/>
          </w:rPr>
          <w:t>Helmholtzovo společenství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_Toc441849494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41</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5" w:history="1">
        <w:r w:rsidRPr="00F356A8">
          <w:rPr>
            <w:rStyle w:val="Hyperlink"/>
            <w:rFonts w:ascii="Arial" w:hAnsi="Arial" w:cs="Arial"/>
            <w:bCs/>
            <w:noProof/>
            <w:sz w:val="22"/>
            <w:szCs w:val="22"/>
            <w:shd w:val="clear" w:color="auto" w:fill="FFFFFF"/>
            <w:lang w:eastAsia="cs-CZ"/>
          </w:rPr>
          <w:t>Leibnizovo společenství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6" w:history="1">
        <w:r w:rsidRPr="00F356A8">
          <w:rPr>
            <w:rStyle w:val="Hyperlink"/>
            <w:rFonts w:ascii="Arial" w:hAnsi="Arial" w:cs="Arial"/>
            <w:bCs/>
            <w:noProof/>
            <w:sz w:val="22"/>
            <w:szCs w:val="22"/>
            <w:shd w:val="clear" w:color="auto" w:fill="FFFFFF"/>
            <w:lang w:eastAsia="cs-CZ"/>
          </w:rPr>
          <w:t>Potsdamský ústav pro změny klimatu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44</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497" w:history="1">
        <w:r w:rsidRPr="00F356A8">
          <w:rPr>
            <w:rStyle w:val="Hyperlink"/>
            <w:rFonts w:ascii="Arial" w:hAnsi="Arial" w:cs="Arial"/>
            <w:bCs/>
            <w:noProof/>
            <w:sz w:val="22"/>
            <w:szCs w:val="22"/>
            <w:shd w:val="clear" w:color="auto" w:fill="FFFFFF"/>
            <w:lang w:eastAsia="cs-CZ"/>
          </w:rPr>
          <w:t>Německé výzkumné společenství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46</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498" w:history="1">
        <w:r w:rsidRPr="00F356A8">
          <w:rPr>
            <w:rStyle w:val="Hyperlink"/>
            <w:rFonts w:ascii="Arial" w:hAnsi="Arial" w:cs="Arial"/>
            <w:noProof/>
            <w:kern w:val="32"/>
            <w:sz w:val="22"/>
            <w:szCs w:val="22"/>
            <w:shd w:val="clear" w:color="auto" w:fill="FFFFFF"/>
            <w:lang w:eastAsia="cs-CZ"/>
          </w:rPr>
          <w:t>5. Velká Británie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_Toc441849498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48</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499" w:history="1">
        <w:r w:rsidRPr="00F356A8">
          <w:rPr>
            <w:rStyle w:val="Hyperlink"/>
            <w:rFonts w:ascii="Arial" w:hAnsi="Arial" w:cs="Arial"/>
            <w:bCs/>
            <w:i w:val="0"/>
            <w:noProof/>
            <w:sz w:val="22"/>
            <w:szCs w:val="22"/>
            <w:shd w:val="clear" w:color="auto" w:fill="FFFFFF"/>
            <w:lang w:eastAsia="cs-CZ"/>
          </w:rPr>
          <w:t>5.1. Orgán státní správy pro životní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_Toc441849499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52</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0" w:history="1">
        <w:r w:rsidRPr="00F356A8">
          <w:rPr>
            <w:rStyle w:val="Hyperlink"/>
            <w:rFonts w:ascii="Arial" w:hAnsi="Arial" w:cs="Arial"/>
            <w:bCs/>
            <w:noProof/>
            <w:sz w:val="22"/>
            <w:szCs w:val="22"/>
            <w:shd w:val="clear" w:color="auto" w:fill="FFFFFF"/>
            <w:lang w:eastAsia="cs-CZ"/>
          </w:rPr>
          <w:t>Výzkum v rámci DEFRA</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_Toc441849500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1" w:history="1">
        <w:r w:rsidRPr="00F356A8">
          <w:rPr>
            <w:rStyle w:val="Hyperlink"/>
            <w:rFonts w:ascii="Arial" w:hAnsi="Arial" w:cs="Arial"/>
            <w:bCs/>
            <w:noProof/>
            <w:sz w:val="22"/>
            <w:szCs w:val="22"/>
            <w:shd w:val="clear" w:color="auto" w:fill="FFFFFF"/>
            <w:lang w:eastAsia="cs-CZ"/>
          </w:rPr>
          <w:t>Poradní rada pro výzkum</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2" w:history="1">
        <w:r w:rsidRPr="00F356A8">
          <w:rPr>
            <w:rStyle w:val="Hyperlink"/>
            <w:rFonts w:ascii="Arial" w:hAnsi="Arial" w:cs="Arial"/>
            <w:bCs/>
            <w:noProof/>
            <w:sz w:val="22"/>
            <w:szCs w:val="22"/>
            <w:shd w:val="clear" w:color="auto" w:fill="FFFFFF"/>
            <w:lang w:eastAsia="cs-CZ"/>
          </w:rPr>
          <w:t>FERA – Agentura pro výzkum potravin a životního prostředí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54</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3" w:history="1">
        <w:r w:rsidRPr="00F356A8">
          <w:rPr>
            <w:rStyle w:val="Hyperlink"/>
            <w:rFonts w:ascii="Arial" w:hAnsi="Arial" w:cs="Arial"/>
            <w:bCs/>
            <w:noProof/>
            <w:sz w:val="22"/>
            <w:szCs w:val="22"/>
            <w:shd w:val="clear" w:color="auto" w:fill="FFFFFF"/>
            <w:lang w:eastAsia="cs-CZ"/>
          </w:rPr>
          <w:t>CEFAS – Centrum pro výzkum životního prostředí, rybářství a akvakultury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55</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04" w:history="1">
        <w:r w:rsidRPr="00F356A8">
          <w:rPr>
            <w:rStyle w:val="Hyperlink"/>
            <w:rFonts w:ascii="Arial" w:hAnsi="Arial" w:cs="Arial"/>
            <w:bCs/>
            <w:i w:val="0"/>
            <w:noProof/>
            <w:sz w:val="22"/>
            <w:szCs w:val="22"/>
            <w:shd w:val="clear" w:color="auto" w:fill="FFFFFF"/>
            <w:lang w:eastAsia="cs-CZ"/>
          </w:rPr>
          <w:t>5.2. Výzkumné rady</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_Toc441849504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56</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5" w:history="1">
        <w:r w:rsidRPr="00F356A8">
          <w:rPr>
            <w:rStyle w:val="Hyperlink"/>
            <w:rFonts w:ascii="Arial" w:hAnsi="Arial" w:cs="Arial"/>
            <w:bCs/>
            <w:noProof/>
            <w:sz w:val="22"/>
            <w:szCs w:val="22"/>
            <w:shd w:val="clear" w:color="auto" w:fill="FFFFFF"/>
            <w:lang w:eastAsia="cs-CZ"/>
          </w:rPr>
          <w:t>Rada pro výzkum životního prostředí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57</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506" w:history="1">
        <w:r w:rsidRPr="00F356A8">
          <w:rPr>
            <w:rStyle w:val="Hyperlink"/>
            <w:rFonts w:ascii="Arial" w:hAnsi="Arial" w:cs="Arial"/>
            <w:noProof/>
            <w:kern w:val="32"/>
            <w:sz w:val="22"/>
            <w:szCs w:val="22"/>
            <w:shd w:val="clear" w:color="auto" w:fill="FFFFFF"/>
            <w:lang w:eastAsia="cs-CZ"/>
          </w:rPr>
          <w:t>6. Evropská unie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61</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07" w:history="1">
        <w:r w:rsidRPr="00F356A8">
          <w:rPr>
            <w:rStyle w:val="Hyperlink"/>
            <w:rFonts w:ascii="Arial" w:hAnsi="Arial" w:cs="Arial"/>
            <w:bCs/>
            <w:i w:val="0"/>
            <w:noProof/>
            <w:sz w:val="22"/>
            <w:szCs w:val="22"/>
            <w:shd w:val="clear" w:color="auto" w:fill="FFFFFF"/>
            <w:lang w:eastAsia="cs-CZ"/>
          </w:rPr>
          <w:t>6.1. Orgány EU v oblasti VaVaI a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_Toc441849507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61</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8" w:history="1">
        <w:r w:rsidRPr="00F356A8">
          <w:rPr>
            <w:rStyle w:val="Hyperlink"/>
            <w:rFonts w:ascii="Arial" w:hAnsi="Arial" w:cs="Arial"/>
            <w:bCs/>
            <w:noProof/>
            <w:sz w:val="22"/>
            <w:szCs w:val="22"/>
            <w:shd w:val="clear" w:color="auto" w:fill="FFFFFF"/>
            <w:lang w:eastAsia="cs-CZ"/>
          </w:rPr>
          <w:t>Evropský parlament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62</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09" w:history="1">
        <w:r w:rsidRPr="00F356A8">
          <w:rPr>
            <w:rStyle w:val="Hyperlink"/>
            <w:rFonts w:ascii="Arial" w:hAnsi="Arial" w:cs="Arial"/>
            <w:bCs/>
            <w:noProof/>
            <w:sz w:val="22"/>
            <w:szCs w:val="22"/>
            <w:shd w:val="clear" w:color="auto" w:fill="FFFFFF"/>
            <w:lang w:eastAsia="cs-CZ"/>
          </w:rPr>
          <w:t>Rada Evropy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_Toc441849509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62</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0" w:history="1">
        <w:r w:rsidRPr="00F356A8">
          <w:rPr>
            <w:rStyle w:val="Hyperlink"/>
            <w:rFonts w:ascii="Arial" w:hAnsi="Arial" w:cs="Arial"/>
            <w:bCs/>
            <w:noProof/>
            <w:sz w:val="22"/>
            <w:szCs w:val="22"/>
            <w:shd w:val="clear" w:color="auto" w:fill="FFFFFF"/>
            <w:lang w:eastAsia="cs-CZ"/>
          </w:rPr>
          <w:t>Evropská komise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_Toc441849510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62</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1" w:history="1">
        <w:r w:rsidRPr="00F356A8">
          <w:rPr>
            <w:rStyle w:val="Hyperlink"/>
            <w:rFonts w:ascii="Arial" w:hAnsi="Arial" w:cs="Arial"/>
            <w:bCs/>
            <w:noProof/>
            <w:sz w:val="22"/>
            <w:szCs w:val="22"/>
            <w:shd w:val="clear" w:color="auto" w:fill="FFFFFF"/>
            <w:lang w:eastAsia="cs-CZ"/>
          </w:rPr>
          <w:t>Evropská rada pro výzkum</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63</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12" w:history="1">
        <w:r w:rsidRPr="00F356A8">
          <w:rPr>
            <w:rStyle w:val="Hyperlink"/>
            <w:rFonts w:ascii="Arial" w:hAnsi="Arial" w:cs="Arial"/>
            <w:bCs/>
            <w:i w:val="0"/>
            <w:noProof/>
            <w:sz w:val="22"/>
            <w:szCs w:val="22"/>
            <w:shd w:val="clear" w:color="auto" w:fill="FFFFFF"/>
            <w:lang w:eastAsia="cs-CZ"/>
          </w:rPr>
          <w:t>6.2. Nástroje podpory VaV</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_Toc441849512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64</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3" w:history="1">
        <w:r w:rsidRPr="00F356A8">
          <w:rPr>
            <w:rStyle w:val="Hyperlink"/>
            <w:rFonts w:ascii="Arial" w:hAnsi="Arial" w:cs="Arial"/>
            <w:bCs/>
            <w:noProof/>
            <w:sz w:val="22"/>
            <w:szCs w:val="22"/>
            <w:shd w:val="clear" w:color="auto" w:fill="FFFFFF"/>
            <w:lang w:eastAsia="cs-CZ"/>
          </w:rPr>
          <w:t>Program Horizont 2020</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64</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14" w:history="1">
        <w:r w:rsidRPr="00F356A8">
          <w:rPr>
            <w:rStyle w:val="Hyperlink"/>
            <w:rFonts w:ascii="Arial" w:hAnsi="Arial" w:cs="Arial"/>
            <w:bCs/>
            <w:i w:val="0"/>
            <w:noProof/>
            <w:sz w:val="22"/>
            <w:szCs w:val="22"/>
            <w:shd w:val="clear" w:color="auto" w:fill="FFFFFF"/>
            <w:lang w:eastAsia="cs-CZ"/>
          </w:rPr>
          <w:t>6.3. Instituce zabezpečující podporu VaV</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_Toc441849514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67</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5" w:history="1">
        <w:r w:rsidRPr="00F356A8">
          <w:rPr>
            <w:rStyle w:val="Hyperlink"/>
            <w:rFonts w:ascii="Arial" w:hAnsi="Arial" w:cs="Arial"/>
            <w:bCs/>
            <w:noProof/>
            <w:sz w:val="22"/>
            <w:szCs w:val="22"/>
            <w:shd w:val="clear" w:color="auto" w:fill="FFFFFF"/>
            <w:lang w:eastAsia="cs-CZ"/>
          </w:rPr>
          <w:t>Exekutivní agentura pro výzkum</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67</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16" w:history="1">
        <w:r w:rsidRPr="00F356A8">
          <w:rPr>
            <w:rStyle w:val="Hyperlink"/>
            <w:rFonts w:ascii="Arial" w:hAnsi="Arial" w:cs="Arial"/>
            <w:bCs/>
            <w:i w:val="0"/>
            <w:noProof/>
            <w:sz w:val="22"/>
            <w:szCs w:val="22"/>
            <w:shd w:val="clear" w:color="auto" w:fill="FFFFFF"/>
            <w:lang w:eastAsia="cs-CZ"/>
          </w:rPr>
          <w:t>6.4. Instituce a organizace zabývající se VaVaI v oblasti životního prostředí</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_Toc441849516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67</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7" w:history="1">
        <w:r w:rsidRPr="00F356A8">
          <w:rPr>
            <w:rStyle w:val="Hyperlink"/>
            <w:rFonts w:ascii="Arial" w:hAnsi="Arial" w:cs="Arial"/>
            <w:bCs/>
            <w:noProof/>
            <w:sz w:val="22"/>
            <w:szCs w:val="22"/>
            <w:shd w:val="clear" w:color="auto" w:fill="FFFFFF"/>
            <w:lang w:eastAsia="cs-CZ"/>
          </w:rPr>
          <w:t>Evropský technologický institut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67</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8" w:history="1">
        <w:r w:rsidRPr="00F356A8">
          <w:rPr>
            <w:rStyle w:val="Hyperlink"/>
            <w:rFonts w:ascii="Arial" w:hAnsi="Arial" w:cs="Arial"/>
            <w:bCs/>
            <w:noProof/>
            <w:sz w:val="22"/>
            <w:szCs w:val="22"/>
            <w:shd w:val="clear" w:color="auto" w:fill="FFFFFF"/>
            <w:lang w:eastAsia="cs-CZ"/>
          </w:rPr>
          <w:t>Společenství Climate</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68</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19" w:history="1">
        <w:r w:rsidRPr="00F356A8">
          <w:rPr>
            <w:rStyle w:val="Hyperlink"/>
            <w:rFonts w:ascii="Arial" w:hAnsi="Arial" w:cs="Arial"/>
            <w:bCs/>
            <w:noProof/>
            <w:sz w:val="22"/>
            <w:szCs w:val="22"/>
            <w:shd w:val="clear" w:color="auto" w:fill="FFFFFF"/>
            <w:lang w:eastAsia="cs-CZ"/>
          </w:rPr>
          <w:t>Společné výzkumné centrum</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_Toc441849519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69</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0" w:history="1">
        <w:r w:rsidRPr="00F356A8">
          <w:rPr>
            <w:rStyle w:val="Hyperlink"/>
            <w:rFonts w:ascii="Arial" w:hAnsi="Arial" w:cs="Arial"/>
            <w:bCs/>
            <w:noProof/>
            <w:sz w:val="22"/>
            <w:szCs w:val="22"/>
            <w:shd w:val="clear" w:color="auto" w:fill="FFFFFF"/>
            <w:lang w:eastAsia="cs-CZ"/>
          </w:rPr>
          <w:t>Ústav pro životní prostředí a udržitelnost</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_Toc441849520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70</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1" w:history="1">
        <w:r w:rsidRPr="00F356A8">
          <w:rPr>
            <w:rStyle w:val="Hyperlink"/>
            <w:rFonts w:ascii="Arial" w:hAnsi="Arial" w:cs="Arial"/>
            <w:bCs/>
            <w:noProof/>
            <w:sz w:val="22"/>
            <w:szCs w:val="22"/>
            <w:shd w:val="clear" w:color="auto" w:fill="FFFFFF"/>
            <w:lang w:eastAsia="cs-CZ"/>
          </w:rPr>
          <w:t>Společné technologické iniciativy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70</w:t>
        </w:r>
        <w:r w:rsidRPr="00F356A8">
          <w:rPr>
            <w:rFonts w:ascii="Arial" w:hAnsi="Arial"/>
            <w:noProof/>
            <w:webHidden/>
            <w:sz w:val="22"/>
            <w:szCs w:val="22"/>
          </w:rPr>
          <w:fldChar w:fldCharType="end"/>
        </w:r>
      </w:hyperlink>
    </w:p>
    <w:p w:rsidR="005A63D9" w:rsidRPr="00F356A8" w:rsidRDefault="005A63D9">
      <w:pPr>
        <w:pStyle w:val="TOC1"/>
        <w:tabs>
          <w:tab w:val="right" w:leader="dot" w:pos="9061"/>
        </w:tabs>
        <w:spacing w:after="144"/>
        <w:rPr>
          <w:rFonts w:ascii="Arial" w:hAnsi="Arial"/>
          <w:b w:val="0"/>
          <w:bCs w:val="0"/>
          <w:noProof/>
          <w:sz w:val="22"/>
          <w:szCs w:val="22"/>
          <w:lang w:eastAsia="cs-CZ"/>
        </w:rPr>
      </w:pPr>
      <w:hyperlink w:anchor="_Toc441849522" w:history="1">
        <w:r w:rsidRPr="00F356A8">
          <w:rPr>
            <w:rStyle w:val="Hyperlink"/>
            <w:rFonts w:ascii="Arial" w:hAnsi="Arial" w:cs="Arial"/>
            <w:noProof/>
            <w:kern w:val="32"/>
            <w:sz w:val="22"/>
            <w:szCs w:val="22"/>
            <w:shd w:val="clear" w:color="auto" w:fill="FFFFFF"/>
            <w:lang w:eastAsia="cs-CZ"/>
          </w:rPr>
          <w:t>7. Dodatky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_Toc441849522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72</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23" w:history="1">
        <w:r w:rsidRPr="00F356A8">
          <w:rPr>
            <w:rStyle w:val="Hyperlink"/>
            <w:rFonts w:ascii="Arial" w:hAnsi="Arial" w:cs="Arial"/>
            <w:bCs/>
            <w:i w:val="0"/>
            <w:noProof/>
            <w:sz w:val="22"/>
            <w:szCs w:val="22"/>
            <w:shd w:val="clear" w:color="auto" w:fill="FFFFFF"/>
            <w:lang w:eastAsia="cs-CZ"/>
          </w:rPr>
          <w:t>7.1. Dodatek 1 (Dánsko)</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_Toc441849523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72</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4" w:history="1">
        <w:r w:rsidRPr="00F356A8">
          <w:rPr>
            <w:rStyle w:val="Hyperlink"/>
            <w:rFonts w:ascii="Arial" w:hAnsi="Arial" w:cs="Arial"/>
            <w:bCs/>
            <w:noProof/>
            <w:sz w:val="22"/>
            <w:szCs w:val="22"/>
            <w:shd w:val="clear" w:color="auto" w:fill="FFFFFF"/>
            <w:lang w:eastAsia="cs-CZ"/>
          </w:rPr>
          <w:t>Organigram Ministerstva pro vysokoškolské vzdělávání a vědu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_Toc441849524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72</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5" w:history="1">
        <w:r w:rsidRPr="00F356A8">
          <w:rPr>
            <w:rStyle w:val="Hyperlink"/>
            <w:rFonts w:ascii="Arial" w:hAnsi="Arial" w:cs="Arial"/>
            <w:bCs/>
            <w:noProof/>
            <w:sz w:val="22"/>
            <w:szCs w:val="22"/>
            <w:shd w:val="clear" w:color="auto" w:fill="FFFFFF"/>
            <w:lang w:eastAsia="cs-CZ"/>
          </w:rPr>
          <w:t>Organigram Ministerstva pro životní prostředí a potraviny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6" w:history="1">
        <w:r w:rsidRPr="00F356A8">
          <w:rPr>
            <w:rStyle w:val="Hyperlink"/>
            <w:rFonts w:ascii="Arial" w:hAnsi="Arial" w:cs="Arial"/>
            <w:bCs/>
            <w:noProof/>
            <w:sz w:val="22"/>
            <w:szCs w:val="22"/>
            <w:shd w:val="clear" w:color="auto" w:fill="FFFFFF"/>
            <w:lang w:eastAsia="cs-CZ"/>
          </w:rPr>
          <w:t>Schéma základní úpravy dánského systému podpory VaVaI</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_Toc441849526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74</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27" w:history="1">
        <w:r w:rsidRPr="00F356A8">
          <w:rPr>
            <w:rStyle w:val="Hyperlink"/>
            <w:rFonts w:ascii="Arial" w:hAnsi="Arial" w:cs="Arial"/>
            <w:bCs/>
            <w:i w:val="0"/>
            <w:noProof/>
            <w:sz w:val="22"/>
            <w:szCs w:val="22"/>
            <w:shd w:val="clear" w:color="auto" w:fill="FFFFFF"/>
            <w:lang w:eastAsia="cs-CZ"/>
          </w:rPr>
          <w:t>7.2. Dodatek 2 (Rakousko)</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_Toc441849527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75</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8" w:history="1">
        <w:r w:rsidRPr="00F356A8">
          <w:rPr>
            <w:rStyle w:val="Hyperlink"/>
            <w:rFonts w:ascii="Arial" w:hAnsi="Arial" w:cs="Arial"/>
            <w:bCs/>
            <w:noProof/>
            <w:sz w:val="22"/>
            <w:szCs w:val="22"/>
            <w:shd w:val="clear" w:color="auto" w:fill="FFFFFF"/>
            <w:lang w:eastAsia="cs-CZ"/>
          </w:rPr>
          <w:t>Překlad části o VaVaI v oblasti životního prostředí ze Strategie výzkumu, technologií a inovací spolkové vlády</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75</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29" w:history="1">
        <w:r w:rsidRPr="00F356A8">
          <w:rPr>
            <w:rStyle w:val="Hyperlink"/>
            <w:rFonts w:ascii="Arial" w:hAnsi="Arial" w:cs="Arial"/>
            <w:bCs/>
            <w:noProof/>
            <w:sz w:val="22"/>
            <w:szCs w:val="22"/>
            <w:shd w:val="clear" w:color="auto" w:fill="FFFFFF"/>
            <w:lang w:eastAsia="cs-CZ"/>
          </w:rPr>
          <w:t>Obsah Programu výzkumu a vývoje Spolkového ministerstva pro zemědělství, lesnictví, životní prostředí a vodní hospodářství na období 2011–2015 (PFEIL)</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_Toc441849529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76</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30" w:history="1">
        <w:r w:rsidRPr="00F356A8">
          <w:rPr>
            <w:rStyle w:val="Hyperlink"/>
            <w:rFonts w:ascii="Arial" w:hAnsi="Arial" w:cs="Arial"/>
            <w:bCs/>
            <w:i w:val="0"/>
            <w:noProof/>
            <w:sz w:val="22"/>
            <w:szCs w:val="22"/>
            <w:shd w:val="clear" w:color="auto" w:fill="FFFFFF"/>
            <w:lang w:eastAsia="cs-CZ"/>
          </w:rPr>
          <w:t>7.3. Dodatek 3 (Švýcarsko)</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_Toc441849530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79</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1" w:history="1">
        <w:r w:rsidRPr="00F356A8">
          <w:rPr>
            <w:rStyle w:val="Hyperlink"/>
            <w:rFonts w:ascii="Arial" w:hAnsi="Arial" w:cs="Arial"/>
            <w:bCs/>
            <w:noProof/>
            <w:sz w:val="22"/>
            <w:szCs w:val="22"/>
            <w:shd w:val="clear" w:color="auto" w:fill="FFFFFF"/>
            <w:lang w:eastAsia="cs-CZ"/>
          </w:rPr>
          <w:t>Priority a výzkumné oblasti Spolkového úřadu pro životní prostředí (BAFU) pro období 2013–2016</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79</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32" w:history="1">
        <w:r w:rsidRPr="00F356A8">
          <w:rPr>
            <w:rStyle w:val="Hyperlink"/>
            <w:rFonts w:ascii="Arial" w:hAnsi="Arial" w:cs="Arial"/>
            <w:bCs/>
            <w:i w:val="0"/>
            <w:noProof/>
            <w:sz w:val="22"/>
            <w:szCs w:val="22"/>
            <w:shd w:val="clear" w:color="auto" w:fill="FFFFFF"/>
            <w:lang w:eastAsia="cs-CZ"/>
          </w:rPr>
          <w:t>7.4. Dodatek 4 (Velká Británie)</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_Toc441849532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80</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3" w:history="1">
        <w:r w:rsidRPr="00F356A8">
          <w:rPr>
            <w:rStyle w:val="Hyperlink"/>
            <w:rFonts w:ascii="Arial" w:hAnsi="Arial" w:cs="Arial"/>
            <w:bCs/>
            <w:noProof/>
            <w:sz w:val="22"/>
            <w:szCs w:val="22"/>
            <w:shd w:val="clear" w:color="auto" w:fill="FFFFFF"/>
            <w:lang w:eastAsia="cs-CZ"/>
          </w:rPr>
          <w:t>Přehled politik, které zabezpečuje nebo se na zabezpečení podílí Ministerstvo pro životní prostředí, potraviny a záležitosti venkova</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_Toc441849533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80</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4" w:history="1">
        <w:r w:rsidRPr="00F356A8">
          <w:rPr>
            <w:rStyle w:val="Hyperlink"/>
            <w:rFonts w:ascii="Arial" w:hAnsi="Arial" w:cs="Arial"/>
            <w:bCs/>
            <w:noProof/>
            <w:sz w:val="22"/>
            <w:szCs w:val="22"/>
            <w:shd w:val="clear" w:color="auto" w:fill="FFFFFF"/>
            <w:lang w:eastAsia="cs-CZ"/>
          </w:rPr>
          <w:t>Počet ukončených a řešených výzkumných projektů v jednotlivých oborových skupinách databáze DEFRA</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_Toc441849534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81</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5" w:history="1">
        <w:r w:rsidRPr="00F356A8">
          <w:rPr>
            <w:rStyle w:val="Hyperlink"/>
            <w:rFonts w:ascii="Arial" w:hAnsi="Arial" w:cs="Arial"/>
            <w:noProof/>
            <w:sz w:val="22"/>
            <w:szCs w:val="22"/>
            <w:lang w:eastAsia="cs-CZ"/>
          </w:rPr>
          <w:t>Počet ukončených a řešených výzkumných projektů v jednotlivých oborových skupinách databáze DEFRA</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_Toc441849535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81</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36" w:history="1">
        <w:r w:rsidRPr="00F356A8">
          <w:rPr>
            <w:rStyle w:val="Hyperlink"/>
            <w:rFonts w:ascii="Arial" w:hAnsi="Arial" w:cs="Arial"/>
            <w:bCs/>
            <w:i w:val="0"/>
            <w:noProof/>
            <w:sz w:val="22"/>
            <w:szCs w:val="22"/>
            <w:shd w:val="clear" w:color="auto" w:fill="FFFFFF"/>
            <w:lang w:eastAsia="cs-CZ"/>
          </w:rPr>
          <w:t>7.5. Dodatek 5 (Evropská unie)</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_Toc441849536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83</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7" w:history="1">
        <w:r w:rsidRPr="00F356A8">
          <w:rPr>
            <w:rStyle w:val="Hyperlink"/>
            <w:rFonts w:ascii="Arial" w:hAnsi="Arial" w:cs="Arial"/>
            <w:bCs/>
            <w:noProof/>
            <w:sz w:val="22"/>
            <w:szCs w:val="22"/>
            <w:shd w:val="clear" w:color="auto" w:fill="FFFFFF"/>
            <w:lang w:eastAsia="cs-CZ"/>
          </w:rPr>
          <w:t>Rámcové programy EU na podporu výzkumu, vývoje technologií a demonstrací</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_Toc441849537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83</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8" w:history="1">
        <w:r w:rsidRPr="00F356A8">
          <w:rPr>
            <w:rStyle w:val="Hyperlink"/>
            <w:rFonts w:ascii="Arial" w:hAnsi="Arial" w:cs="Arial"/>
            <w:bCs/>
            <w:noProof/>
            <w:sz w:val="22"/>
            <w:szCs w:val="22"/>
            <w:shd w:val="clear" w:color="auto" w:fill="FFFFFF"/>
            <w:lang w:eastAsia="cs-CZ"/>
          </w:rPr>
          <w:t>Seznam projektů řešených ve společenství Climate–KIC</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_Toc441849538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84</w:t>
        </w:r>
        <w:r w:rsidRPr="00F356A8">
          <w:rPr>
            <w:rFonts w:ascii="Arial" w:hAnsi="Arial"/>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39" w:history="1">
        <w:r w:rsidRPr="00F356A8">
          <w:rPr>
            <w:rStyle w:val="Hyperlink"/>
            <w:rFonts w:ascii="Arial" w:hAnsi="Arial" w:cs="Arial"/>
            <w:bCs/>
            <w:noProof/>
            <w:sz w:val="22"/>
            <w:szCs w:val="22"/>
            <w:shd w:val="clear" w:color="auto" w:fill="FFFFFF"/>
            <w:lang w:eastAsia="cs-CZ"/>
          </w:rPr>
          <w:t>Přehled technologických platforem v EU</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_Toc441849539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85</w:t>
        </w:r>
        <w:r w:rsidRPr="00F356A8">
          <w:rPr>
            <w:rFonts w:ascii="Arial" w:hAnsi="Arial"/>
            <w:noProof/>
            <w:webHidden/>
            <w:sz w:val="22"/>
            <w:szCs w:val="22"/>
          </w:rPr>
          <w:fldChar w:fldCharType="end"/>
        </w:r>
      </w:hyperlink>
    </w:p>
    <w:p w:rsidR="005A63D9" w:rsidRPr="00F356A8" w:rsidRDefault="005A63D9">
      <w:pPr>
        <w:pStyle w:val="TOC2"/>
        <w:tabs>
          <w:tab w:val="right" w:leader="dot" w:pos="9061"/>
        </w:tabs>
        <w:spacing w:after="144"/>
        <w:rPr>
          <w:rFonts w:ascii="Arial" w:hAnsi="Arial"/>
          <w:i w:val="0"/>
          <w:iCs w:val="0"/>
          <w:noProof/>
          <w:sz w:val="22"/>
          <w:szCs w:val="22"/>
          <w:lang w:eastAsia="cs-CZ"/>
        </w:rPr>
      </w:pPr>
      <w:hyperlink w:anchor="_Toc441849540" w:history="1">
        <w:r w:rsidRPr="00F356A8">
          <w:rPr>
            <w:rStyle w:val="Hyperlink"/>
            <w:rFonts w:ascii="Arial" w:hAnsi="Arial" w:cs="Arial"/>
            <w:bCs/>
            <w:i w:val="0"/>
            <w:noProof/>
            <w:sz w:val="22"/>
            <w:szCs w:val="22"/>
            <w:shd w:val="clear" w:color="auto" w:fill="FFFFFF"/>
            <w:lang w:eastAsia="cs-CZ"/>
          </w:rPr>
          <w:t>7.6. Dodatek 6 (Zdroje)</w:t>
        </w:r>
        <w:r w:rsidRPr="00F356A8">
          <w:rPr>
            <w:rFonts w:ascii="Arial" w:hAnsi="Arial"/>
            <w:i w:val="0"/>
            <w:noProof/>
            <w:webHidden/>
            <w:sz w:val="22"/>
            <w:szCs w:val="22"/>
          </w:rPr>
          <w:tab/>
        </w:r>
        <w:r w:rsidRPr="00F356A8">
          <w:rPr>
            <w:rFonts w:ascii="Arial" w:hAnsi="Arial"/>
            <w:i w:val="0"/>
            <w:noProof/>
            <w:webHidden/>
            <w:sz w:val="22"/>
            <w:szCs w:val="22"/>
          </w:rPr>
          <w:fldChar w:fldCharType="begin"/>
        </w:r>
        <w:r w:rsidRPr="00F356A8">
          <w:rPr>
            <w:rFonts w:ascii="Arial" w:hAnsi="Arial"/>
            <w:i w:val="0"/>
            <w:noProof/>
            <w:webHidden/>
            <w:sz w:val="22"/>
            <w:szCs w:val="22"/>
          </w:rPr>
          <w:instrText xml:space="preserve"> PAGEREF _Toc441849540 \h </w:instrText>
        </w:r>
        <w:r w:rsidRPr="00F356A8">
          <w:rPr>
            <w:rFonts w:ascii="Arial" w:hAnsi="Arial"/>
            <w:i w:val="0"/>
            <w:noProof/>
            <w:webHidden/>
            <w:sz w:val="22"/>
            <w:szCs w:val="22"/>
          </w:rPr>
        </w:r>
        <w:r w:rsidRPr="00F356A8">
          <w:rPr>
            <w:rFonts w:ascii="Arial" w:hAnsi="Arial"/>
            <w:i w:val="0"/>
            <w:noProof/>
            <w:webHidden/>
            <w:sz w:val="22"/>
            <w:szCs w:val="22"/>
          </w:rPr>
          <w:fldChar w:fldCharType="separate"/>
        </w:r>
        <w:r>
          <w:rPr>
            <w:rFonts w:ascii="Arial" w:hAnsi="Arial"/>
            <w:i w:val="0"/>
            <w:noProof/>
            <w:webHidden/>
            <w:sz w:val="22"/>
            <w:szCs w:val="22"/>
          </w:rPr>
          <w:t>86</w:t>
        </w:r>
        <w:r w:rsidRPr="00F356A8">
          <w:rPr>
            <w:rFonts w:ascii="Arial" w:hAnsi="Arial"/>
            <w:i w:val="0"/>
            <w:noProof/>
            <w:webHidden/>
            <w:sz w:val="22"/>
            <w:szCs w:val="22"/>
          </w:rPr>
          <w:fldChar w:fldCharType="end"/>
        </w:r>
      </w:hyperlink>
    </w:p>
    <w:p w:rsidR="005A63D9" w:rsidRPr="00F356A8" w:rsidRDefault="005A63D9">
      <w:pPr>
        <w:pStyle w:val="TOC3"/>
        <w:tabs>
          <w:tab w:val="right" w:leader="dot" w:pos="9061"/>
        </w:tabs>
        <w:spacing w:after="144"/>
        <w:rPr>
          <w:rFonts w:ascii="Arial" w:hAnsi="Arial"/>
          <w:noProof/>
          <w:sz w:val="22"/>
          <w:szCs w:val="22"/>
          <w:lang w:eastAsia="cs-CZ"/>
        </w:rPr>
      </w:pPr>
      <w:hyperlink w:anchor="_Toc441849541" w:history="1">
        <w:r w:rsidRPr="00F356A8">
          <w:rPr>
            <w:rStyle w:val="Hyperlink"/>
            <w:rFonts w:ascii="Arial" w:hAnsi="Arial" w:cs="Arial"/>
            <w:bCs/>
            <w:noProof/>
            <w:sz w:val="22"/>
            <w:szCs w:val="22"/>
            <w:shd w:val="clear" w:color="auto" w:fill="FFFFFF"/>
            <w:lang w:eastAsia="cs-CZ"/>
          </w:rPr>
          <w:t>Seznam použitých internetových adres</w:t>
        </w:r>
        <w:r w:rsidRPr="00F356A8">
          <w:rPr>
            <w:rFonts w:ascii="Arial" w:hAnsi="Arial"/>
            <w:noProof/>
            <w:webHidden/>
            <w:sz w:val="22"/>
            <w:szCs w:val="22"/>
          </w:rPr>
          <w:tab/>
        </w:r>
        <w:r w:rsidRPr="00F356A8">
          <w:rPr>
            <w:rFonts w:ascii="Arial" w:hAnsi="Arial"/>
            <w:noProof/>
            <w:webHidden/>
            <w:sz w:val="22"/>
            <w:szCs w:val="22"/>
          </w:rPr>
          <w:fldChar w:fldCharType="begin"/>
        </w:r>
        <w:r w:rsidRPr="00F356A8">
          <w:rPr>
            <w:rFonts w:ascii="Arial" w:hAnsi="Arial"/>
            <w:noProof/>
            <w:webHidden/>
            <w:sz w:val="22"/>
            <w:szCs w:val="22"/>
          </w:rPr>
          <w:instrText xml:space="preserve"> PAGEREF _Toc441849541 \h </w:instrText>
        </w:r>
        <w:r w:rsidRPr="00F356A8">
          <w:rPr>
            <w:rFonts w:ascii="Arial" w:hAnsi="Arial"/>
            <w:noProof/>
            <w:webHidden/>
            <w:sz w:val="22"/>
            <w:szCs w:val="22"/>
          </w:rPr>
        </w:r>
        <w:r w:rsidRPr="00F356A8">
          <w:rPr>
            <w:rFonts w:ascii="Arial" w:hAnsi="Arial"/>
            <w:noProof/>
            <w:webHidden/>
            <w:sz w:val="22"/>
            <w:szCs w:val="22"/>
          </w:rPr>
          <w:fldChar w:fldCharType="separate"/>
        </w:r>
        <w:r>
          <w:rPr>
            <w:rFonts w:ascii="Arial" w:hAnsi="Arial"/>
            <w:noProof/>
            <w:webHidden/>
            <w:sz w:val="22"/>
            <w:szCs w:val="22"/>
          </w:rPr>
          <w:t>86</w:t>
        </w:r>
        <w:r w:rsidRPr="00F356A8">
          <w:rPr>
            <w:rFonts w:ascii="Arial" w:hAnsi="Arial"/>
            <w:noProof/>
            <w:webHidden/>
            <w:sz w:val="22"/>
            <w:szCs w:val="22"/>
          </w:rPr>
          <w:fldChar w:fldCharType="end"/>
        </w:r>
      </w:hyperlink>
    </w:p>
    <w:p w:rsidR="005A63D9" w:rsidRDefault="005A63D9" w:rsidP="0024443B">
      <w:pPr>
        <w:spacing w:afterLines="0"/>
        <w:contextualSpacing w:val="0"/>
        <w:jc w:val="both"/>
      </w:pPr>
      <w:r w:rsidRPr="00F356A8">
        <w:fldChar w:fldCharType="end"/>
      </w:r>
    </w:p>
    <w:p w:rsidR="005A63D9" w:rsidRDefault="005A63D9">
      <w:pPr>
        <w:spacing w:afterLines="0" w:line="259" w:lineRule="auto"/>
        <w:contextualSpacing w:val="0"/>
      </w:pPr>
      <w:r>
        <w:br w:type="page"/>
      </w:r>
    </w:p>
    <w:p w:rsidR="005A63D9" w:rsidRPr="0036241E" w:rsidRDefault="005A63D9" w:rsidP="0008405A">
      <w:pPr>
        <w:pStyle w:val="Heading1"/>
        <w:spacing w:after="144"/>
        <w:jc w:val="both"/>
      </w:pPr>
      <w:bookmarkStart w:id="2" w:name="_Toc440897388"/>
      <w:bookmarkStart w:id="3" w:name="_Toc441760790"/>
      <w:bookmarkStart w:id="4" w:name="_Toc441849453"/>
      <w:r w:rsidRPr="0036241E">
        <w:t>Úvod</w:t>
      </w:r>
      <w:bookmarkEnd w:id="0"/>
      <w:bookmarkEnd w:id="1"/>
      <w:bookmarkEnd w:id="2"/>
      <w:bookmarkEnd w:id="3"/>
      <w:bookmarkEnd w:id="4"/>
    </w:p>
    <w:p w:rsidR="005A63D9" w:rsidRPr="00C1570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C15709">
        <w:rPr>
          <w:color w:val="000000"/>
          <w:shd w:val="clear" w:color="auto" w:fill="FFFFFF"/>
          <w:lang w:eastAsia="cs-CZ"/>
        </w:rPr>
        <w:t>Při zpracování podkladu se výrazně projevilo, že oblast VaV životního prostředí není dostatečně přesně vymezena, navíc se tato oblast v čase rychle mění. Statistika VaV v zemích OECD se řídí tzv. Manuálem Frascati</w:t>
      </w:r>
      <w:r w:rsidRPr="00736D38">
        <w:rPr>
          <w:color w:val="000000"/>
          <w:shd w:val="clear" w:color="auto" w:fill="FFFFFF"/>
          <w:vertAlign w:val="superscript"/>
          <w:lang w:eastAsia="cs-CZ"/>
        </w:rPr>
        <w:footnoteReference w:id="1"/>
      </w:r>
      <w:r w:rsidRPr="00C15709">
        <w:rPr>
          <w:color w:val="000000"/>
          <w:shd w:val="clear" w:color="auto" w:fill="FFFFFF"/>
          <w:lang w:eastAsia="cs-CZ"/>
        </w:rPr>
        <w:t>. Jeho sedmá aktualizace z října 2015.</w:t>
      </w:r>
      <w:r w:rsidRPr="00736D38">
        <w:rPr>
          <w:color w:val="000000"/>
          <w:shd w:val="clear" w:color="auto" w:fill="FFFFFF"/>
          <w:vertAlign w:val="superscript"/>
          <w:lang w:eastAsia="cs-CZ"/>
        </w:rPr>
        <w:footnoteReference w:id="2"/>
      </w:r>
      <w:r>
        <w:rPr>
          <w:color w:val="000000"/>
          <w:shd w:val="clear" w:color="auto" w:fill="FFFFFF"/>
          <w:lang w:eastAsia="cs-CZ"/>
        </w:rPr>
        <w:t xml:space="preserve"> i </w:t>
      </w:r>
      <w:r w:rsidRPr="00C15709">
        <w:rPr>
          <w:color w:val="000000"/>
          <w:shd w:val="clear" w:color="auto" w:fill="FFFFFF"/>
          <w:lang w:eastAsia="cs-CZ"/>
        </w:rPr>
        <w:t>nadále v klasifikaci oblastí VaV ve skupině I. přírodní vědy uvádí podoblast 1.5 Vědy o Zemi a související vědy o životním prostředí. Přitom „vědy o životním prostředí“ nejsou nijak blíže charakterizovány. Ve skupině II. Technické vědy a technologie jsou uvedeny podoblasti 2.7 Environmentální technické vědy a 2.8 Biotechnologie.</w:t>
      </w:r>
    </w:p>
    <w:p w:rsidR="005A63D9" w:rsidRPr="00C1570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C15709">
        <w:rPr>
          <w:color w:val="000000"/>
          <w:shd w:val="clear" w:color="auto" w:fill="FFFFFF"/>
          <w:lang w:eastAsia="cs-CZ"/>
        </w:rPr>
        <w:t>Statistika VaV dle manuálu Frascati sleduje i strukturu státních výdajů na VaV. Klasifikace</w:t>
      </w:r>
      <w:r w:rsidRPr="00736D38">
        <w:rPr>
          <w:color w:val="000000"/>
          <w:shd w:val="clear" w:color="auto" w:fill="FFFFFF"/>
          <w:vertAlign w:val="superscript"/>
          <w:lang w:eastAsia="cs-CZ"/>
        </w:rPr>
        <w:footnoteReference w:id="3"/>
      </w:r>
      <w:r w:rsidRPr="00C15709">
        <w:rPr>
          <w:color w:val="000000"/>
          <w:shd w:val="clear" w:color="auto" w:fill="FFFFFF"/>
          <w:lang w:eastAsia="cs-CZ"/>
        </w:rPr>
        <w:t xml:space="preserve"> zahrnuje 14 oborů a 12 podoborů. Oblastí životního prostředí se zcela nesporně zabývají obor 1. Průzkum Země a její využívání a obor 2. Environment. Podle charakteristik dalších však je problematika životního prostředí výrazně za</w:t>
      </w:r>
      <w:r>
        <w:rPr>
          <w:color w:val="000000"/>
          <w:shd w:val="clear" w:color="auto" w:fill="FFFFFF"/>
          <w:lang w:eastAsia="cs-CZ"/>
        </w:rPr>
        <w:t>hrnuta do oborů 5. Energie a 8. </w:t>
      </w:r>
      <w:r w:rsidRPr="00C15709">
        <w:rPr>
          <w:color w:val="000000"/>
          <w:shd w:val="clear" w:color="auto" w:fill="FFFFFF"/>
          <w:lang w:eastAsia="cs-CZ"/>
        </w:rPr>
        <w:t>Zemědělství. V těchto dvou oblastech je VaV často motivován nároky na ochranu životního prostředí. Orgán OECD si občas stěžuje, že ne vždy a ne všechny státy tuto klasifikaci dodržují</w:t>
      </w:r>
      <w:r w:rsidRPr="00736D38">
        <w:rPr>
          <w:color w:val="000000"/>
          <w:shd w:val="clear" w:color="auto" w:fill="FFFFFF"/>
          <w:vertAlign w:val="superscript"/>
          <w:lang w:eastAsia="cs-CZ"/>
        </w:rPr>
        <w:footnoteReference w:id="4"/>
      </w:r>
      <w:r w:rsidRPr="00C15709">
        <w:rPr>
          <w:color w:val="000000"/>
          <w:shd w:val="clear" w:color="auto" w:fill="FFFFFF"/>
          <w:lang w:eastAsia="cs-CZ"/>
        </w:rPr>
        <w:t>.</w:t>
      </w:r>
    </w:p>
    <w:p w:rsidR="005A63D9" w:rsidRPr="00C1570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C15709">
        <w:rPr>
          <w:color w:val="000000"/>
          <w:shd w:val="clear" w:color="auto" w:fill="FFFFFF"/>
          <w:lang w:eastAsia="cs-CZ"/>
        </w:rPr>
        <w:t>V nejbližší budoucnosti lze očekávat změny před</w:t>
      </w:r>
      <w:r>
        <w:rPr>
          <w:color w:val="000000"/>
          <w:shd w:val="clear" w:color="auto" w:fill="FFFFFF"/>
          <w:lang w:eastAsia="cs-CZ"/>
        </w:rPr>
        <w:t>evším v souvislosti s rychle se </w:t>
      </w:r>
      <w:r w:rsidRPr="00C15709">
        <w:rPr>
          <w:color w:val="000000"/>
          <w:shd w:val="clear" w:color="auto" w:fill="FFFFFF"/>
          <w:lang w:eastAsia="cs-CZ"/>
        </w:rPr>
        <w:t>rozvíjející problematikou „Bioekonomie“. Bioekonomií je míněna výroba a využití biologických zdrojů na základě poznatků VaV s cílem zajistit ve všech sektorech hospodářství výrobky, postupy a služby v rámci jednoho udržitelného hospodářského systému. Zdá se, že v tomto systému by byly veškeré nároky VaV v oblasti životního prostředí plně respektovány. Ze zemí charakterizovaných v </w:t>
      </w:r>
      <w:r>
        <w:rPr>
          <w:color w:val="000000"/>
          <w:shd w:val="clear" w:color="auto" w:fill="FFFFFF"/>
          <w:lang w:eastAsia="cs-CZ"/>
        </w:rPr>
        <w:t>této analýze</w:t>
      </w:r>
      <w:r w:rsidRPr="00C15709">
        <w:rPr>
          <w:color w:val="000000"/>
          <w:shd w:val="clear" w:color="auto" w:fill="FFFFFF"/>
          <w:lang w:eastAsia="cs-CZ"/>
        </w:rPr>
        <w:t xml:space="preserve"> vývoj nejdále postoupili v Německu, Dánsku a Švýcarsku. Podtitul dokumentu Spolkového ministerstva pro vzdělávání a výzkum (BMBF) o biooekonomii má podtitul</w:t>
      </w:r>
      <w:r>
        <w:rPr>
          <w:color w:val="000000"/>
          <w:shd w:val="clear" w:color="auto" w:fill="FFFFFF"/>
          <w:lang w:eastAsia="cs-CZ"/>
        </w:rPr>
        <w:t xml:space="preserve"> „Nové příležitosti: Ekologie a </w:t>
      </w:r>
      <w:r w:rsidRPr="00C15709">
        <w:rPr>
          <w:color w:val="000000"/>
          <w:shd w:val="clear" w:color="auto" w:fill="FFFFFF"/>
          <w:lang w:eastAsia="cs-CZ"/>
        </w:rPr>
        <w:t>ekonomie pod jednou střechou“. Velice aktivní v problema</w:t>
      </w:r>
      <w:r>
        <w:rPr>
          <w:color w:val="000000"/>
          <w:shd w:val="clear" w:color="auto" w:fill="FFFFFF"/>
          <w:lang w:eastAsia="cs-CZ"/>
        </w:rPr>
        <w:t>tice bioekonomie je OECD, které </w:t>
      </w:r>
      <w:r w:rsidRPr="00C15709">
        <w:rPr>
          <w:color w:val="000000"/>
          <w:shd w:val="clear" w:color="auto" w:fill="FFFFFF"/>
          <w:lang w:eastAsia="cs-CZ"/>
        </w:rPr>
        <w:t xml:space="preserve">připravuje projekt Bioekonomie 2030. S uvedeným stavem, větší či menší neurčitosti, co to je oblast VaV v životním prostředí, se </w:t>
      </w:r>
      <w:r>
        <w:rPr>
          <w:color w:val="000000"/>
          <w:shd w:val="clear" w:color="auto" w:fill="FFFFFF"/>
          <w:lang w:eastAsia="cs-CZ"/>
        </w:rPr>
        <w:t>tato Analýza</w:t>
      </w:r>
      <w:r w:rsidRPr="00C15709">
        <w:rPr>
          <w:color w:val="000000"/>
          <w:shd w:val="clear" w:color="auto" w:fill="FFFFFF"/>
          <w:lang w:eastAsia="cs-CZ"/>
        </w:rPr>
        <w:t xml:space="preserve"> pokusil</w:t>
      </w:r>
      <w:r>
        <w:rPr>
          <w:color w:val="000000"/>
          <w:shd w:val="clear" w:color="auto" w:fill="FFFFFF"/>
          <w:lang w:eastAsia="cs-CZ"/>
        </w:rPr>
        <w:t>a</w:t>
      </w:r>
      <w:r w:rsidRPr="00C15709">
        <w:rPr>
          <w:color w:val="000000"/>
          <w:shd w:val="clear" w:color="auto" w:fill="FFFFFF"/>
          <w:lang w:eastAsia="cs-CZ"/>
        </w:rPr>
        <w:t xml:space="preserve"> co nejlépe vypořádat.</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Srovnání stavu výzkumu a vývoje v ČR a ve vybraných evropských zemích je proto v dokumentu zpracováno pro zařazení této problematiky do širšího kontextu. Životní prostředí je společné všem, nehledě na státní hranice či systém podpory výzkumu. Právě systém podpory výzkumu v oblasti životního prostředí je v každém státě velmi odlišný. Společným jmenovatelem zůstává, že pro všechny sledované státy je aplikovaný výzkum a vývoj v oblasti životního prostředí jednou z klíčových priorit, byť se jeho specifikace a vymezení v jednotlivých zemích liší. Prakticky ve všech státech je tento výzkum pod garancí příslušného ministerstva životního prostředí, případně rady či organizace, zřízené právě a jedině za účelem podpory výzkumu v oblasti životního prostředí. Výjimku tvoří Dánsko, které financuje většinu aplikovaného výzkumu pomocí Dánského inovačního institutu, který vznikl po nedávné reformě z roku 2014. </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Dále je ve všech sledovaných státech kladen důraz na dodržování cílů stanovených ve strategických dokumentech. V žádném státě, který byl vybrán pro porovnání, však nenajdeme stejnou situaci, v jaké se nyní nachází ČR. Tedy že by orgán zodpovědný za životní prostředí neměl k dispozici žádné prostředky pro výzkum a vývoj. Pro činnost MŽP (nebo v zahraničí jakéhokoli orgánu státní správy zodpovědného za oblast životního prostředí) je nutné vynakládat určité prostředky do výzkumu pro potřeby státní správy v oblasti životního prostředí. </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Bez tohoto mechanismu není možný efektivní výkon státní správy a současný stav, kdy je tento výzkum „zajišťován“ pomocí programu BETA Technologické agentury České republiky, je nejen dlouhodobě neudržitelný, ale navíc ani v mezinárodním srovnání nemá žádné opodstatnění či výhody. </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Podobný stav je pak u podpory aplikovaného výzkumu v oblasti životního prostředí skrze TA ČR. Pouze v Dánsku najdeme podobný model, na jehož vyhodnocení je však ještě brzy. V Dánsku je tento model aplikován teprve od roku 2014. Jinde v zahraničí není aplikován model, že by prostředky na výzkum v oblasti životního prostředí poskytoval jediný poskytovatel, který by byl zároveň odpovědný za průmyslový výzkum. </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Současné investice do aplikovaného výzkumu v oblasti životního prostředí, které se pohybují v řádu desítek milionů korun ročně (viz. Příloha č.2 - </w:t>
      </w:r>
      <w:r w:rsidRPr="00EB5F6B">
        <w:rPr>
          <w:color w:val="000000"/>
          <w:shd w:val="clear" w:color="auto" w:fill="FFFFFF"/>
          <w:lang w:eastAsia="cs-CZ"/>
        </w:rPr>
        <w:t>Analýza výzkumu v oblasti životního prostředí v</w:t>
      </w:r>
      <w:r>
        <w:rPr>
          <w:color w:val="000000"/>
          <w:shd w:val="clear" w:color="auto" w:fill="FFFFFF"/>
          <w:lang w:eastAsia="cs-CZ"/>
        </w:rPr>
        <w:t> </w:t>
      </w:r>
      <w:r w:rsidRPr="00EB5F6B">
        <w:rPr>
          <w:color w:val="000000"/>
          <w:shd w:val="clear" w:color="auto" w:fill="FFFFFF"/>
          <w:lang w:eastAsia="cs-CZ"/>
        </w:rPr>
        <w:t>ČR</w:t>
      </w:r>
      <w:r>
        <w:rPr>
          <w:color w:val="000000"/>
          <w:shd w:val="clear" w:color="auto" w:fill="FFFFFF"/>
          <w:lang w:eastAsia="cs-CZ"/>
        </w:rPr>
        <w:t xml:space="preserve"> – cca 62 mil. Kč ročně) jsou tak nízkým procentem, že je se zahraničím nelze srovnávat. Činí totiž cca 0,2% veřejných výdajů na VaV. </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Pr>
          <w:color w:val="000000"/>
          <w:shd w:val="clear" w:color="auto" w:fill="FFFFFF"/>
          <w:lang w:eastAsia="cs-CZ"/>
        </w:rPr>
        <w:t xml:space="preserve">Tato situace staví Českou republiku do pozice outsidera, který navzdory globálním trendům a mezinárodním standardům i úmluvám, nedostatečně financuje a v podstatě tak podceňuje závažnost a důležitost výzkumu v oblasti životního prostředí. ČR tak díky nevyhovující systému financování výzkumu v oblasti životního prostředí není schopna prostředky, které jsou v rozpočtu na výzkum v oblasti životního prostředí alokovány, investovat do projektů, které skutečně pro životní prostředí znamenají přínos. </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br w:type="page"/>
      </w:r>
    </w:p>
    <w:p w:rsidR="005A63D9" w:rsidRPr="004F4B69" w:rsidRDefault="005A63D9" w:rsidP="004F4B69">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5" w:name="_Toc421716604"/>
      <w:bookmarkStart w:id="6" w:name="_Toc440897389"/>
      <w:bookmarkStart w:id="7" w:name="_Toc441760791"/>
      <w:bookmarkStart w:id="8" w:name="_Toc441849454"/>
      <w:r>
        <w:rPr>
          <w:rFonts w:cs="Arial"/>
          <w:bCs/>
          <w:color w:val="000000"/>
          <w:kern w:val="32"/>
          <w:szCs w:val="32"/>
          <w:shd w:val="clear" w:color="auto" w:fill="FFFFFF"/>
          <w:lang/>
        </w:rPr>
        <w:t xml:space="preserve">1. </w:t>
      </w:r>
      <w:r w:rsidRPr="004F4B69">
        <w:rPr>
          <w:rFonts w:cs="Arial"/>
          <w:bCs/>
          <w:color w:val="000000"/>
          <w:kern w:val="32"/>
          <w:szCs w:val="32"/>
          <w:shd w:val="clear" w:color="auto" w:fill="FFFFFF"/>
          <w:lang/>
        </w:rPr>
        <w:t>Dánsko</w:t>
      </w:r>
      <w:bookmarkEnd w:id="5"/>
      <w:bookmarkEnd w:id="6"/>
      <w:bookmarkEnd w:id="7"/>
      <w:bookmarkEnd w:id="8"/>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Kapitola o Dánsku uvádí i širší popis dánského systému veřejné podpory VaVaI. Důvody jsou dva. Prvním je, že dánský systém již řadu let nebyl obsažen v českých srovnávacích dokumentech o zahraničních systéme</w:t>
      </w:r>
      <w:r>
        <w:rPr>
          <w:color w:val="000000"/>
          <w:shd w:val="clear" w:color="auto" w:fill="FFFFFF"/>
          <w:lang w:eastAsia="cs-CZ"/>
        </w:rPr>
        <w:t>ch VaVaI. Druhým důvodem je, že </w:t>
      </w:r>
      <w:r w:rsidRPr="004F4B69">
        <w:rPr>
          <w:color w:val="000000"/>
          <w:shd w:val="clear" w:color="auto" w:fill="FFFFFF"/>
          <w:lang w:eastAsia="cs-CZ"/>
        </w:rPr>
        <w:t>dánský systém byl 1. dubna 2014 na všech úrovních významně reformován. Jedním z hlavních principů reformy bylo těsnější propojení p</w:t>
      </w:r>
      <w:r>
        <w:rPr>
          <w:color w:val="000000"/>
          <w:shd w:val="clear" w:color="auto" w:fill="FFFFFF"/>
          <w:lang w:eastAsia="cs-CZ"/>
        </w:rPr>
        <w:t>odpory VaV s podporou inovací a </w:t>
      </w:r>
      <w:r w:rsidRPr="004F4B69">
        <w:rPr>
          <w:color w:val="000000"/>
          <w:shd w:val="clear" w:color="auto" w:fill="FFFFFF"/>
          <w:lang w:eastAsia="cs-CZ"/>
        </w:rPr>
        <w:t>odstranění některých duplicit v systému.</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p>
    <w:p w:rsidR="005A63D9" w:rsidRPr="004F4B69" w:rsidRDefault="005A63D9" w:rsidP="004F4B69">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9" w:name="_Toc440897390"/>
      <w:bookmarkStart w:id="10" w:name="_Toc441760792"/>
      <w:bookmarkStart w:id="11" w:name="_Toc441849455"/>
      <w:r>
        <w:rPr>
          <w:rFonts w:cs="Arial"/>
          <w:bCs/>
          <w:iCs/>
          <w:color w:val="000000"/>
          <w:shd w:val="clear" w:color="auto" w:fill="FFFFFF"/>
          <w:lang/>
        </w:rPr>
        <w:t xml:space="preserve">1.1. </w:t>
      </w:r>
      <w:r w:rsidRPr="004F4B69">
        <w:rPr>
          <w:rFonts w:cs="Arial"/>
          <w:bCs/>
          <w:iCs/>
          <w:color w:val="000000"/>
          <w:shd w:val="clear" w:color="auto" w:fill="FFFFFF"/>
          <w:lang/>
        </w:rPr>
        <w:t>Státní správa</w:t>
      </w:r>
      <w:bookmarkEnd w:id="9"/>
      <w:bookmarkEnd w:id="10"/>
      <w:bookmarkEnd w:id="11"/>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Dánsko má 16 ministerstev. Dánsko patří k nevelké skupině zemí, kde veškeré záležitosti VaVaI patří do působnosti jednoho ministerstva. Hlavním orgánem státní správy pro záležitosti výzkumu, vývoje a inovací je Ministerstvo pro vysokoškolské vzdělávání a</w:t>
      </w:r>
      <w:r>
        <w:rPr>
          <w:color w:val="000000"/>
          <w:shd w:val="clear" w:color="auto" w:fill="FFFFFF"/>
          <w:lang w:eastAsia="cs-CZ"/>
        </w:rPr>
        <w:t> </w:t>
      </w:r>
      <w:r w:rsidRPr="004F4B69">
        <w:rPr>
          <w:color w:val="000000"/>
          <w:shd w:val="clear" w:color="auto" w:fill="FFFFFF"/>
          <w:lang w:eastAsia="cs-CZ"/>
        </w:rPr>
        <w:t>vědu (Ministry of Higher Education and Science). Ostatní ministerstva mají jen výjimečně útvary VaV. Jednou z výjimek je Ministerstvo pro životní prostředí a potraviny.</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Pozoruhodné je, že dánská ministerstva nemají jednotnou organizační strukturu. Z hledisek tohoto podkladu jsou nejvýznamnější dvě ministerstva, u kterých lze rozdílnost prezentovat:</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Ministerstvo pro vysokoškolské vzdělávání a vědu (Ministry of H</w:t>
      </w:r>
      <w:r>
        <w:rPr>
          <w:color w:val="000000"/>
          <w:shd w:val="clear" w:color="auto" w:fill="FFFFFF"/>
          <w:lang w:eastAsia="cs-CZ"/>
        </w:rPr>
        <w:t>igher Education and </w:t>
      </w:r>
      <w:r w:rsidRPr="004F4B69">
        <w:rPr>
          <w:color w:val="000000"/>
          <w:shd w:val="clear" w:color="auto" w:fill="FFFFFF"/>
          <w:lang w:eastAsia="cs-CZ"/>
        </w:rPr>
        <w:t>Science – www.ufm.dk);</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Ministerstvo pro životní prostředí a potraviny (Ministry for Environment and Food – www.mfvm.dk).</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Organigramy obou ministerstev jsou v dodatku č. 1 této přílohy.</w:t>
      </w:r>
    </w:p>
    <w:p w:rsidR="005A63D9" w:rsidRPr="004F4B69" w:rsidRDefault="005A63D9" w:rsidP="004F4B69">
      <w:pPr>
        <w:pStyle w:val="Heading3"/>
        <w:keepNext/>
        <w:spacing w:before="240" w:afterLines="0" w:line="240" w:lineRule="auto"/>
        <w:contextualSpacing w:val="0"/>
        <w:rPr>
          <w:bCs/>
          <w:shd w:val="clear" w:color="auto" w:fill="FFFFFF"/>
          <w:lang/>
        </w:rPr>
      </w:pPr>
      <w:bookmarkStart w:id="12" w:name="_Toc440897391"/>
      <w:bookmarkStart w:id="13" w:name="_Toc441760793"/>
      <w:bookmarkStart w:id="14" w:name="_Toc441849456"/>
      <w:r w:rsidRPr="004F4B69">
        <w:rPr>
          <w:bCs/>
          <w:shd w:val="clear" w:color="auto" w:fill="FFFFFF"/>
          <w:lang/>
        </w:rPr>
        <w:t>Ministerstvo pro vysokoškolské vzdělávání a vědu</w:t>
      </w:r>
      <w:bookmarkEnd w:id="12"/>
      <w:bookmarkEnd w:id="13"/>
      <w:bookmarkEnd w:id="14"/>
      <w:r w:rsidRPr="004F4B69">
        <w:rPr>
          <w:bCs/>
          <w:shd w:val="clear" w:color="auto" w:fill="FFFFFF"/>
          <w:lang/>
        </w:rPr>
        <w:t xml:space="preserve"> </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Má tři velké sekce. První dvě jsou v podstatě jen útv</w:t>
      </w:r>
      <w:r>
        <w:rPr>
          <w:color w:val="000000"/>
          <w:shd w:val="clear" w:color="auto" w:fill="FFFFFF"/>
          <w:lang w:eastAsia="cs-CZ"/>
        </w:rPr>
        <w:t>ary pro koordinaci, systémové a </w:t>
      </w:r>
      <w:r w:rsidRPr="004F4B69">
        <w:rPr>
          <w:color w:val="000000"/>
          <w:shd w:val="clear" w:color="auto" w:fill="FFFFFF"/>
          <w:lang w:eastAsia="cs-CZ"/>
        </w:rPr>
        <w:t>interní záležitosti ministerstva. Třetí sekce se zabývá</w:t>
      </w:r>
      <w:r>
        <w:rPr>
          <w:color w:val="000000"/>
          <w:shd w:val="clear" w:color="auto" w:fill="FFFFFF"/>
          <w:lang w:eastAsia="cs-CZ"/>
        </w:rPr>
        <w:t xml:space="preserve"> informačními technologiemi pro </w:t>
      </w:r>
      <w:r w:rsidRPr="004F4B69">
        <w:rPr>
          <w:color w:val="000000"/>
          <w:shd w:val="clear" w:color="auto" w:fill="FFFFFF"/>
          <w:lang w:eastAsia="cs-CZ"/>
        </w:rPr>
        <w:t>vnitřní i vnější záležitosti ministerstva. Věcná problematika, včetně realizace a hodnocení politik ministerstva je plně přenesena na agentury ministerstva, které jsou „vnějšími“ částmi ministerstva: Dánskou agenturu pro vědu, technologie a</w:t>
      </w:r>
      <w:r>
        <w:rPr>
          <w:color w:val="000000"/>
          <w:shd w:val="clear" w:color="auto" w:fill="FFFFFF"/>
          <w:lang w:eastAsia="cs-CZ"/>
        </w:rPr>
        <w:t xml:space="preserve"> inovace a Dánskou agenturu pro </w:t>
      </w:r>
      <w:r w:rsidRPr="004F4B69">
        <w:rPr>
          <w:color w:val="000000"/>
          <w:shd w:val="clear" w:color="auto" w:fill="FFFFFF"/>
          <w:lang w:eastAsia="cs-CZ"/>
        </w:rPr>
        <w:t>vysokoškolské vzdělávání. Poskytování státní finanční podpory VaVaI je v plné působnosti dvou dalších institucí:</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Dánská rada pro nezávislý výzkum (The Danish Council for Independent Research) kter</w:t>
      </w:r>
      <w:r>
        <w:rPr>
          <w:color w:val="000000"/>
          <w:shd w:val="clear" w:color="auto" w:fill="FFFFFF"/>
          <w:lang w:eastAsia="cs-CZ"/>
        </w:rPr>
        <w:t>á</w:t>
      </w:r>
      <w:r w:rsidRPr="004F4B69">
        <w:rPr>
          <w:color w:val="000000"/>
          <w:shd w:val="clear" w:color="auto" w:fill="FFFFFF"/>
          <w:lang w:eastAsia="cs-CZ"/>
        </w:rPr>
        <w:t xml:space="preserve"> zabezpečuje především podporu základního výzkumu;</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Dánský fond pro inovace (The Innovation Fund Denmark</w:t>
      </w:r>
      <w:r w:rsidRPr="00736D38">
        <w:rPr>
          <w:color w:val="000000"/>
          <w:shd w:val="clear" w:color="auto" w:fill="FFFFFF"/>
          <w:vertAlign w:val="superscript"/>
          <w:lang w:eastAsia="cs-CZ"/>
        </w:rPr>
        <w:footnoteReference w:id="5"/>
      </w:r>
      <w:r w:rsidRPr="004F4B69">
        <w:rPr>
          <w:color w:val="000000"/>
          <w:shd w:val="clear" w:color="auto" w:fill="FFFFFF"/>
          <w:lang w:eastAsia="cs-CZ"/>
        </w:rPr>
        <w:t>), který podporuje aplikovaný výzkum, experimentální vývoj a inovace.</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Přístup ke všem uvedeným institucím je přes web ministerstva (www.ufm.dk).</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Dánsko má samozřejmě i poradní orgán státní správy pro záležitosti VaVaI. Je jím Dánská rada pro politiku výzkumu a inovací, která patří do působnosti a je hlavním poradním orgánem Ministerstva pro vysokoškolské vzdělávání a vědu a plní jeho úkoly. Sekretariát (Office) Rady je jedním z útvarů “Dánské agentury pro vědu, technologie a inovace</w:t>
      </w:r>
      <w:r>
        <w:rPr>
          <w:color w:val="000000"/>
          <w:shd w:val="clear" w:color="auto" w:fill="FFFFFF"/>
          <w:lang w:eastAsia="cs-CZ"/>
        </w:rPr>
        <w:t>“</w:t>
      </w:r>
      <w:r w:rsidRPr="004F4B69">
        <w:rPr>
          <w:color w:val="000000"/>
          <w:shd w:val="clear" w:color="auto" w:fill="FFFFFF"/>
          <w:lang w:eastAsia="cs-CZ"/>
        </w:rPr>
        <w:t>. Rada má předsedu a osm členů (z toho 5 žen). Všich</w:t>
      </w:r>
      <w:r>
        <w:rPr>
          <w:color w:val="000000"/>
          <w:shd w:val="clear" w:color="auto" w:fill="FFFFFF"/>
          <w:lang w:eastAsia="cs-CZ"/>
        </w:rPr>
        <w:t>ni jsou jmenováni ministrem pro </w:t>
      </w:r>
      <w:r w:rsidRPr="004F4B69">
        <w:rPr>
          <w:color w:val="000000"/>
          <w:shd w:val="clear" w:color="auto" w:fill="FFFFFF"/>
          <w:lang w:eastAsia="cs-CZ"/>
        </w:rPr>
        <w:t>vysokoškolské vzdělávání a vědu.</w:t>
      </w:r>
    </w:p>
    <w:p w:rsidR="005A63D9" w:rsidRPr="00F51ADE" w:rsidRDefault="005A63D9" w:rsidP="004F4B69">
      <w:pPr>
        <w:pStyle w:val="Heading3"/>
        <w:keepNext/>
        <w:spacing w:before="240" w:afterLines="0" w:line="240" w:lineRule="auto"/>
        <w:contextualSpacing w:val="0"/>
        <w:rPr>
          <w:bCs/>
          <w:shd w:val="clear" w:color="auto" w:fill="FFFFFF"/>
          <w:lang/>
        </w:rPr>
      </w:pPr>
      <w:bookmarkStart w:id="15" w:name="_Toc440897392"/>
      <w:bookmarkStart w:id="16" w:name="_Toc441760794"/>
      <w:bookmarkStart w:id="17" w:name="_Toc441849457"/>
      <w:r w:rsidRPr="00F51ADE">
        <w:rPr>
          <w:bCs/>
          <w:shd w:val="clear" w:color="auto" w:fill="FFFFFF"/>
          <w:lang/>
        </w:rPr>
        <w:t>Ministerstvo pro životní prostředí a potraviny</w:t>
      </w:r>
      <w:bookmarkEnd w:id="15"/>
      <w:bookmarkEnd w:id="16"/>
      <w:bookmarkEnd w:id="17"/>
      <w:r w:rsidRPr="00F51ADE">
        <w:rPr>
          <w:bCs/>
          <w:shd w:val="clear" w:color="auto" w:fill="FFFFFF"/>
          <w:lang/>
        </w:rPr>
        <w:t xml:space="preserve"> </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Má 4 velké sekce: Mezinárodní záležitosti (EU a osta</w:t>
      </w:r>
      <w:r>
        <w:rPr>
          <w:color w:val="000000"/>
          <w:shd w:val="clear" w:color="auto" w:fill="FFFFFF"/>
          <w:lang w:eastAsia="cs-CZ"/>
        </w:rPr>
        <w:t>tní zahraničí; EU agrikultura a </w:t>
      </w:r>
      <w:r w:rsidRPr="004F4B69">
        <w:rPr>
          <w:color w:val="000000"/>
          <w:shd w:val="clear" w:color="auto" w:fill="FFFFFF"/>
          <w:lang w:eastAsia="cs-CZ"/>
        </w:rPr>
        <w:t>rybářství); Potraviny, spotřebitelé a podnikání (se třemi o</w:t>
      </w:r>
      <w:r>
        <w:rPr>
          <w:color w:val="000000"/>
          <w:shd w:val="clear" w:color="auto" w:fill="FFFFFF"/>
          <w:lang w:eastAsia="cs-CZ"/>
        </w:rPr>
        <w:t>dbory / departmenty); Příroda a </w:t>
      </w:r>
      <w:r w:rsidRPr="004F4B69">
        <w:rPr>
          <w:color w:val="000000"/>
          <w:shd w:val="clear" w:color="auto" w:fill="FFFFFF"/>
          <w:lang w:eastAsia="cs-CZ"/>
        </w:rPr>
        <w:t>využití půdy (se dvěma odbory / departementy); Interní, systémové a koordinační záležitosti (s pěti odbory / departmenty. Jedním z pěti odborů / departementů poslední sekce je odbor Výzkumu a digitalizace</w:t>
      </w:r>
      <w:r w:rsidRPr="00736D38">
        <w:rPr>
          <w:color w:val="000000"/>
          <w:shd w:val="clear" w:color="auto" w:fill="FFFFFF"/>
          <w:vertAlign w:val="superscript"/>
          <w:lang w:eastAsia="cs-CZ"/>
        </w:rPr>
        <w:footnoteReference w:id="6"/>
      </w:r>
      <w:r w:rsidRPr="004F4B69">
        <w:rPr>
          <w:color w:val="000000"/>
          <w:shd w:val="clear" w:color="auto" w:fill="FFFFFF"/>
          <w:lang w:eastAsia="cs-CZ"/>
        </w:rPr>
        <w:t>. Ministerstvo má pět výkonných (exekutivních) agentur:</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Dánská agentura pro ochranu životního prostředí (cca 450 zaměstnanců);</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 xml:space="preserve">Dánský veterinární a potravinářský úřad (2 150 zaměstnanců); </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Dánská agentura pro rybářství (cca 1 200 zaměstnanců ve 14 lokálních pracovištích);</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Dánská agentura pro přírodu (cca 850 zaměstnanců v 19 pobočkách jednotlivých regionů a cca 400 zaměstnanců v kodaňském ústředí);</w:t>
      </w:r>
    </w:p>
    <w:p w:rsidR="005A63D9" w:rsidRPr="004F4B69" w:rsidRDefault="005A63D9" w:rsidP="004F4B6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F4B69">
        <w:rPr>
          <w:color w:val="000000"/>
          <w:shd w:val="clear" w:color="auto" w:fill="FFFFFF"/>
          <w:lang w:eastAsia="cs-CZ"/>
        </w:rPr>
        <w:t>Dánská agentura pro záležitost pobřeží (70 zaměstnanců).</w:t>
      </w:r>
    </w:p>
    <w:p w:rsidR="005A63D9" w:rsidRPr="00F51ADE" w:rsidRDefault="005A63D9" w:rsidP="00F51ADE">
      <w:pPr>
        <w:spacing w:after="144"/>
        <w:jc w:val="both"/>
        <w:rPr>
          <w:b/>
        </w:rPr>
      </w:pPr>
    </w:p>
    <w:p w:rsidR="005A63D9" w:rsidRPr="004F4B69" w:rsidRDefault="005A63D9" w:rsidP="004F4B69">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8" w:name="_Toc440897393"/>
      <w:bookmarkStart w:id="19" w:name="_Toc441760795"/>
      <w:bookmarkStart w:id="20" w:name="_Toc441849458"/>
      <w:r>
        <w:rPr>
          <w:rFonts w:cs="Arial"/>
          <w:bCs/>
          <w:iCs/>
          <w:color w:val="000000"/>
          <w:shd w:val="clear" w:color="auto" w:fill="FFFFFF"/>
          <w:lang/>
        </w:rPr>
        <w:t xml:space="preserve">1.2. </w:t>
      </w:r>
      <w:r w:rsidRPr="004F4B69">
        <w:rPr>
          <w:rFonts w:cs="Arial"/>
          <w:bCs/>
          <w:iCs/>
          <w:color w:val="000000"/>
          <w:shd w:val="clear" w:color="auto" w:fill="FFFFFF"/>
          <w:lang/>
        </w:rPr>
        <w:t>Veřejná podpora VaVaI</w:t>
      </w:r>
      <w:bookmarkEnd w:id="18"/>
      <w:bookmarkEnd w:id="19"/>
      <w:bookmarkEnd w:id="20"/>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Dánsko patří k nevelké skupině zemí, kde celková podpora VaV se již několik let pohybuje na úrovni 3 % HDP. Podíl státních (veřejných prostředků) na celkové podpoře není příliš vysoký a pohybuje se okolo jedné třetiny celkových výdajů – viz Tab. č. 1.</w:t>
      </w:r>
    </w:p>
    <w:p w:rsidR="005A63D9" w:rsidRPr="00F95CD1" w:rsidRDefault="005A63D9" w:rsidP="0008405A">
      <w:pPr>
        <w:spacing w:after="144"/>
        <w:jc w:val="both"/>
        <w:rPr>
          <w:b/>
        </w:rPr>
      </w:pPr>
    </w:p>
    <w:p w:rsidR="005A63D9" w:rsidRPr="004F4B69" w:rsidRDefault="005A63D9" w:rsidP="004F4B69">
      <w:pPr>
        <w:widowControl w:val="0"/>
        <w:adjustRightInd w:val="0"/>
        <w:spacing w:afterLines="0"/>
        <w:contextualSpacing w:val="0"/>
        <w:jc w:val="both"/>
        <w:textAlignment w:val="baseline"/>
        <w:rPr>
          <w:color w:val="000000"/>
          <w:shd w:val="clear" w:color="auto" w:fill="FFFFFF"/>
          <w:lang w:eastAsia="cs-CZ"/>
        </w:rPr>
      </w:pPr>
      <w:r w:rsidRPr="004F4B69">
        <w:rPr>
          <w:b/>
          <w:color w:val="000000"/>
          <w:shd w:val="clear" w:color="auto" w:fill="FFFFFF"/>
          <w:lang w:eastAsia="cs-CZ"/>
        </w:rPr>
        <w:t>Tab. č. 1</w:t>
      </w:r>
      <w:r w:rsidRPr="004F4B69">
        <w:rPr>
          <w:color w:val="000000"/>
          <w:shd w:val="clear" w:color="auto" w:fill="FFFFFF"/>
          <w:lang w:eastAsia="cs-CZ"/>
        </w:rPr>
        <w:t xml:space="preserve"> Výdaje na VaV v Dánsku (% HDP)</w:t>
      </w:r>
    </w:p>
    <w:tbl>
      <w:tblPr>
        <w:tblW w:w="5000" w:type="pct"/>
        <w:tblLook w:val="00A0"/>
      </w:tblPr>
      <w:tblGrid>
        <w:gridCol w:w="2601"/>
        <w:gridCol w:w="1338"/>
        <w:gridCol w:w="1337"/>
        <w:gridCol w:w="1337"/>
        <w:gridCol w:w="1337"/>
        <w:gridCol w:w="1337"/>
      </w:tblGrid>
      <w:tr w:rsidR="005A63D9" w:rsidRPr="00E27ED8" w:rsidTr="00510C04">
        <w:tc>
          <w:tcPr>
            <w:tcW w:w="1400" w:type="pct"/>
            <w:tcBorders>
              <w:top w:val="single" w:sz="12" w:space="0" w:color="auto"/>
              <w:left w:val="single" w:sz="12" w:space="0" w:color="auto"/>
              <w:bottom w:val="double" w:sz="4" w:space="0" w:color="auto"/>
              <w:right w:val="single" w:sz="12" w:space="0" w:color="auto"/>
            </w:tcBorders>
            <w:shd w:val="clear" w:color="auto" w:fill="D9D9D9"/>
          </w:tcPr>
          <w:p w:rsidR="005A63D9" w:rsidRPr="00E27ED8" w:rsidRDefault="005A63D9" w:rsidP="0008405A">
            <w:pPr>
              <w:spacing w:after="144"/>
              <w:jc w:val="both"/>
              <w:rPr>
                <w:b/>
                <w:sz w:val="18"/>
                <w:szCs w:val="18"/>
              </w:rPr>
            </w:pPr>
          </w:p>
        </w:tc>
        <w:tc>
          <w:tcPr>
            <w:tcW w:w="720" w:type="pct"/>
            <w:tcBorders>
              <w:top w:val="single" w:sz="12" w:space="0" w:color="auto"/>
              <w:left w:val="single" w:sz="12" w:space="0" w:color="auto"/>
              <w:bottom w:val="double" w:sz="4" w:space="0" w:color="auto"/>
              <w:right w:val="single" w:sz="4" w:space="0" w:color="auto"/>
            </w:tcBorders>
            <w:shd w:val="clear" w:color="auto" w:fill="D9D9D9"/>
            <w:vAlign w:val="center"/>
          </w:tcPr>
          <w:p w:rsidR="005A63D9" w:rsidRPr="00E27ED8" w:rsidRDefault="005A63D9" w:rsidP="0008405A">
            <w:pPr>
              <w:spacing w:after="144"/>
              <w:jc w:val="both"/>
              <w:rPr>
                <w:b/>
                <w:sz w:val="18"/>
                <w:szCs w:val="18"/>
              </w:rPr>
            </w:pPr>
            <w:r w:rsidRPr="00E27ED8">
              <w:rPr>
                <w:b/>
                <w:sz w:val="18"/>
                <w:szCs w:val="18"/>
              </w:rPr>
              <w:t>2009</w:t>
            </w:r>
          </w:p>
        </w:tc>
        <w:tc>
          <w:tcPr>
            <w:tcW w:w="720" w:type="pct"/>
            <w:tcBorders>
              <w:top w:val="single" w:sz="12" w:space="0" w:color="auto"/>
              <w:left w:val="single" w:sz="4" w:space="0" w:color="auto"/>
              <w:bottom w:val="double" w:sz="4" w:space="0" w:color="auto"/>
              <w:right w:val="single" w:sz="4" w:space="0" w:color="auto"/>
            </w:tcBorders>
            <w:shd w:val="clear" w:color="auto" w:fill="D9D9D9"/>
            <w:vAlign w:val="center"/>
          </w:tcPr>
          <w:p w:rsidR="005A63D9" w:rsidRPr="00E27ED8" w:rsidRDefault="005A63D9" w:rsidP="0008405A">
            <w:pPr>
              <w:spacing w:after="144"/>
              <w:jc w:val="both"/>
              <w:rPr>
                <w:b/>
                <w:sz w:val="18"/>
                <w:szCs w:val="18"/>
              </w:rPr>
            </w:pPr>
            <w:r w:rsidRPr="00E27ED8">
              <w:rPr>
                <w:b/>
                <w:sz w:val="18"/>
                <w:szCs w:val="18"/>
              </w:rPr>
              <w:t>2010</w:t>
            </w:r>
          </w:p>
        </w:tc>
        <w:tc>
          <w:tcPr>
            <w:tcW w:w="720" w:type="pct"/>
            <w:tcBorders>
              <w:top w:val="single" w:sz="12" w:space="0" w:color="auto"/>
              <w:left w:val="single" w:sz="4" w:space="0" w:color="auto"/>
              <w:bottom w:val="double" w:sz="4" w:space="0" w:color="auto"/>
              <w:right w:val="single" w:sz="4" w:space="0" w:color="auto"/>
            </w:tcBorders>
            <w:shd w:val="clear" w:color="auto" w:fill="D9D9D9"/>
            <w:vAlign w:val="center"/>
          </w:tcPr>
          <w:p w:rsidR="005A63D9" w:rsidRPr="00E27ED8" w:rsidRDefault="005A63D9" w:rsidP="0008405A">
            <w:pPr>
              <w:spacing w:after="144"/>
              <w:jc w:val="both"/>
              <w:rPr>
                <w:b/>
                <w:sz w:val="18"/>
                <w:szCs w:val="18"/>
              </w:rPr>
            </w:pPr>
            <w:r w:rsidRPr="00E27ED8">
              <w:rPr>
                <w:b/>
                <w:sz w:val="18"/>
                <w:szCs w:val="18"/>
              </w:rPr>
              <w:t>2011</w:t>
            </w:r>
          </w:p>
        </w:tc>
        <w:tc>
          <w:tcPr>
            <w:tcW w:w="720" w:type="pct"/>
            <w:tcBorders>
              <w:top w:val="single" w:sz="12" w:space="0" w:color="auto"/>
              <w:left w:val="single" w:sz="4" w:space="0" w:color="auto"/>
              <w:bottom w:val="double" w:sz="4" w:space="0" w:color="auto"/>
              <w:right w:val="single" w:sz="4" w:space="0" w:color="auto"/>
            </w:tcBorders>
            <w:shd w:val="clear" w:color="auto" w:fill="D9D9D9"/>
            <w:vAlign w:val="center"/>
          </w:tcPr>
          <w:p w:rsidR="005A63D9" w:rsidRPr="00E27ED8" w:rsidRDefault="005A63D9" w:rsidP="0008405A">
            <w:pPr>
              <w:spacing w:after="144"/>
              <w:jc w:val="both"/>
              <w:rPr>
                <w:b/>
                <w:sz w:val="18"/>
                <w:szCs w:val="18"/>
              </w:rPr>
            </w:pPr>
            <w:r w:rsidRPr="00E27ED8">
              <w:rPr>
                <w:b/>
                <w:sz w:val="18"/>
                <w:szCs w:val="18"/>
              </w:rPr>
              <w:t>2012</w:t>
            </w:r>
          </w:p>
        </w:tc>
        <w:tc>
          <w:tcPr>
            <w:tcW w:w="720" w:type="pct"/>
            <w:tcBorders>
              <w:top w:val="single" w:sz="12" w:space="0" w:color="auto"/>
              <w:left w:val="single" w:sz="4" w:space="0" w:color="auto"/>
              <w:bottom w:val="double" w:sz="4" w:space="0" w:color="auto"/>
              <w:right w:val="single" w:sz="12" w:space="0" w:color="auto"/>
            </w:tcBorders>
            <w:shd w:val="clear" w:color="auto" w:fill="D9D9D9"/>
            <w:vAlign w:val="center"/>
          </w:tcPr>
          <w:p w:rsidR="005A63D9" w:rsidRPr="00E27ED8" w:rsidRDefault="005A63D9" w:rsidP="0008405A">
            <w:pPr>
              <w:spacing w:after="144"/>
              <w:jc w:val="both"/>
              <w:rPr>
                <w:b/>
                <w:sz w:val="18"/>
                <w:szCs w:val="18"/>
              </w:rPr>
            </w:pPr>
            <w:r w:rsidRPr="00E27ED8">
              <w:rPr>
                <w:b/>
                <w:sz w:val="18"/>
                <w:szCs w:val="18"/>
              </w:rPr>
              <w:t>2013</w:t>
            </w:r>
          </w:p>
        </w:tc>
      </w:tr>
      <w:tr w:rsidR="005A63D9" w:rsidRPr="00E27ED8" w:rsidTr="00510C04">
        <w:tc>
          <w:tcPr>
            <w:tcW w:w="1400" w:type="pct"/>
            <w:tcBorders>
              <w:top w:val="doub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b/>
                <w:sz w:val="18"/>
                <w:szCs w:val="18"/>
              </w:rPr>
            </w:pPr>
            <w:r w:rsidRPr="00E27ED8">
              <w:rPr>
                <w:b/>
                <w:sz w:val="18"/>
                <w:szCs w:val="18"/>
              </w:rPr>
              <w:t>Celkem</w:t>
            </w:r>
          </w:p>
        </w:tc>
        <w:tc>
          <w:tcPr>
            <w:tcW w:w="720"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both"/>
            </w:pPr>
            <w:r w:rsidRPr="00E27ED8">
              <w:t>3,07</w:t>
            </w:r>
          </w:p>
        </w:tc>
        <w:tc>
          <w:tcPr>
            <w:tcW w:w="720" w:type="pct"/>
            <w:tcBorders>
              <w:top w:val="doub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both"/>
            </w:pPr>
            <w:r w:rsidRPr="00E27ED8">
              <w:t>2,94</w:t>
            </w:r>
          </w:p>
        </w:tc>
        <w:tc>
          <w:tcPr>
            <w:tcW w:w="720" w:type="pct"/>
            <w:tcBorders>
              <w:top w:val="doub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both"/>
            </w:pPr>
            <w:r w:rsidRPr="00E27ED8">
              <w:t>2,97</w:t>
            </w:r>
          </w:p>
        </w:tc>
        <w:tc>
          <w:tcPr>
            <w:tcW w:w="720" w:type="pct"/>
            <w:tcBorders>
              <w:top w:val="doub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both"/>
            </w:pPr>
            <w:r w:rsidRPr="00E27ED8">
              <w:t>3,03</w:t>
            </w:r>
          </w:p>
        </w:tc>
        <w:tc>
          <w:tcPr>
            <w:tcW w:w="720"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both"/>
            </w:pPr>
            <w:r w:rsidRPr="00E27ED8">
              <w:t>3,08</w:t>
            </w:r>
          </w:p>
        </w:tc>
      </w:tr>
      <w:tr w:rsidR="005A63D9" w:rsidRPr="00E27ED8" w:rsidTr="00510C04">
        <w:tc>
          <w:tcPr>
            <w:tcW w:w="1400" w:type="pct"/>
            <w:tcBorders>
              <w:top w:val="single" w:sz="4" w:space="0" w:color="auto"/>
              <w:left w:val="single" w:sz="12" w:space="0" w:color="auto"/>
              <w:bottom w:val="single" w:sz="12" w:space="0" w:color="auto"/>
              <w:right w:val="single" w:sz="12" w:space="0" w:color="auto"/>
            </w:tcBorders>
          </w:tcPr>
          <w:p w:rsidR="005A63D9" w:rsidRPr="00436201" w:rsidRDefault="005A63D9" w:rsidP="0008405A">
            <w:pPr>
              <w:pStyle w:val="ZDROJovan"/>
              <w:spacing w:after="144" w:line="288" w:lineRule="auto"/>
              <w:jc w:val="both"/>
              <w:rPr>
                <w:rFonts w:cs="Arial"/>
                <w:sz w:val="18"/>
              </w:rPr>
            </w:pPr>
            <w:r w:rsidRPr="00436201">
              <w:rPr>
                <w:rFonts w:cs="Arial"/>
                <w:sz w:val="18"/>
              </w:rPr>
              <w:t>Veřejný sektor</w:t>
            </w:r>
          </w:p>
        </w:tc>
        <w:tc>
          <w:tcPr>
            <w:tcW w:w="720" w:type="pct"/>
            <w:tcBorders>
              <w:top w:val="single" w:sz="4" w:space="0" w:color="auto"/>
              <w:left w:val="single" w:sz="12" w:space="0" w:color="auto"/>
              <w:bottom w:val="single" w:sz="12" w:space="0" w:color="auto"/>
              <w:right w:val="single" w:sz="4" w:space="0" w:color="auto"/>
            </w:tcBorders>
            <w:vAlign w:val="center"/>
          </w:tcPr>
          <w:p w:rsidR="005A63D9" w:rsidRPr="00436201" w:rsidRDefault="005A63D9" w:rsidP="0008405A">
            <w:pPr>
              <w:pStyle w:val="ZDROJovan"/>
              <w:spacing w:after="144" w:line="288" w:lineRule="auto"/>
              <w:jc w:val="both"/>
              <w:rPr>
                <w:rFonts w:cs="Arial"/>
                <w:sz w:val="18"/>
              </w:rPr>
            </w:pPr>
            <w:r w:rsidRPr="00436201">
              <w:rPr>
                <w:rFonts w:cs="Arial"/>
                <w:sz w:val="18"/>
              </w:rPr>
              <w:t>0,93</w:t>
            </w:r>
          </w:p>
        </w:tc>
        <w:tc>
          <w:tcPr>
            <w:tcW w:w="720" w:type="pct"/>
            <w:tcBorders>
              <w:top w:val="single" w:sz="4" w:space="0" w:color="auto"/>
              <w:left w:val="single" w:sz="4" w:space="0" w:color="auto"/>
              <w:bottom w:val="single" w:sz="12" w:space="0" w:color="auto"/>
              <w:right w:val="single" w:sz="4" w:space="0" w:color="auto"/>
            </w:tcBorders>
            <w:vAlign w:val="center"/>
          </w:tcPr>
          <w:p w:rsidR="005A63D9" w:rsidRPr="00436201" w:rsidRDefault="005A63D9" w:rsidP="0008405A">
            <w:pPr>
              <w:pStyle w:val="ZDROJovan"/>
              <w:spacing w:after="144" w:line="288" w:lineRule="auto"/>
              <w:jc w:val="both"/>
              <w:rPr>
                <w:rFonts w:cs="Arial"/>
                <w:sz w:val="18"/>
              </w:rPr>
            </w:pPr>
            <w:r w:rsidRPr="00436201">
              <w:rPr>
                <w:rFonts w:cs="Arial"/>
                <w:sz w:val="18"/>
              </w:rPr>
              <w:t>0,97</w:t>
            </w:r>
          </w:p>
        </w:tc>
        <w:tc>
          <w:tcPr>
            <w:tcW w:w="720" w:type="pct"/>
            <w:tcBorders>
              <w:top w:val="single" w:sz="4" w:space="0" w:color="auto"/>
              <w:left w:val="single" w:sz="4" w:space="0" w:color="auto"/>
              <w:bottom w:val="single" w:sz="12" w:space="0" w:color="auto"/>
              <w:right w:val="single" w:sz="4" w:space="0" w:color="auto"/>
            </w:tcBorders>
            <w:vAlign w:val="center"/>
          </w:tcPr>
          <w:p w:rsidR="005A63D9" w:rsidRPr="00436201" w:rsidRDefault="005A63D9" w:rsidP="0008405A">
            <w:pPr>
              <w:pStyle w:val="ZDROJovan"/>
              <w:spacing w:after="144" w:line="288" w:lineRule="auto"/>
              <w:jc w:val="both"/>
              <w:rPr>
                <w:rFonts w:cs="Arial"/>
                <w:sz w:val="18"/>
              </w:rPr>
            </w:pPr>
            <w:r w:rsidRPr="00436201">
              <w:rPr>
                <w:rFonts w:cs="Arial"/>
                <w:sz w:val="18"/>
              </w:rPr>
              <w:t>0,99</w:t>
            </w:r>
          </w:p>
        </w:tc>
        <w:tc>
          <w:tcPr>
            <w:tcW w:w="720" w:type="pct"/>
            <w:tcBorders>
              <w:top w:val="single" w:sz="4" w:space="0" w:color="auto"/>
              <w:left w:val="single" w:sz="4" w:space="0" w:color="auto"/>
              <w:bottom w:val="single" w:sz="12" w:space="0" w:color="auto"/>
              <w:right w:val="single" w:sz="4" w:space="0" w:color="auto"/>
            </w:tcBorders>
            <w:vAlign w:val="center"/>
          </w:tcPr>
          <w:p w:rsidR="005A63D9" w:rsidRPr="00436201" w:rsidRDefault="005A63D9" w:rsidP="0008405A">
            <w:pPr>
              <w:pStyle w:val="ZDROJovan"/>
              <w:spacing w:after="144" w:line="288" w:lineRule="auto"/>
              <w:jc w:val="both"/>
              <w:rPr>
                <w:rFonts w:cs="Arial"/>
                <w:sz w:val="18"/>
              </w:rPr>
            </w:pPr>
            <w:r w:rsidRPr="00436201">
              <w:rPr>
                <w:rFonts w:cs="Arial"/>
                <w:sz w:val="18"/>
              </w:rPr>
              <w:t>1,04</w:t>
            </w:r>
          </w:p>
        </w:tc>
        <w:tc>
          <w:tcPr>
            <w:tcW w:w="720" w:type="pct"/>
            <w:tcBorders>
              <w:top w:val="single" w:sz="4" w:space="0" w:color="auto"/>
              <w:left w:val="single" w:sz="4" w:space="0" w:color="auto"/>
              <w:bottom w:val="single" w:sz="12" w:space="0" w:color="auto"/>
              <w:right w:val="single" w:sz="12" w:space="0" w:color="auto"/>
            </w:tcBorders>
            <w:vAlign w:val="center"/>
          </w:tcPr>
          <w:p w:rsidR="005A63D9" w:rsidRPr="00436201" w:rsidRDefault="005A63D9" w:rsidP="0008405A">
            <w:pPr>
              <w:pStyle w:val="ZDROJovan"/>
              <w:spacing w:after="144" w:line="288" w:lineRule="auto"/>
              <w:jc w:val="both"/>
              <w:rPr>
                <w:rFonts w:cs="Arial"/>
                <w:sz w:val="18"/>
              </w:rPr>
            </w:pPr>
            <w:r w:rsidRPr="00436201">
              <w:rPr>
                <w:rFonts w:cs="Arial"/>
                <w:sz w:val="18"/>
              </w:rPr>
              <w:t>1,11</w:t>
            </w:r>
          </w:p>
        </w:tc>
      </w:tr>
    </w:tbl>
    <w:p w:rsidR="005A63D9" w:rsidRPr="00466AF8" w:rsidRDefault="005A63D9" w:rsidP="0008405A">
      <w:pPr>
        <w:pStyle w:val="ZDROJovan"/>
        <w:spacing w:after="144" w:line="288" w:lineRule="auto"/>
        <w:jc w:val="both"/>
      </w:pPr>
      <w:r w:rsidRPr="00401A39">
        <w:t>Zdroj: StatBank Denmark – Education and Knowledge, Statistics Denmark; stav prosinec 2015.</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 xml:space="preserve">Z dánské Statistické ročenky 2014 vyplývá, že podíly výdajů na VaV z celkových výdajů státního rozpočtu činily: 2011 – 1,7 %; 2012 – 1,8 %; 2013 – 1,7 %. Převážná část státních (vládních) výdajů na VaV se spotřebovává na vysokých </w:t>
      </w:r>
      <w:r>
        <w:rPr>
          <w:color w:val="000000"/>
          <w:shd w:val="clear" w:color="auto" w:fill="FFFFFF"/>
          <w:lang w:eastAsia="cs-CZ"/>
        </w:rPr>
        <w:t>školách (87 %), výrazně méně ve </w:t>
      </w:r>
      <w:r w:rsidRPr="004F4B69">
        <w:rPr>
          <w:color w:val="000000"/>
          <w:shd w:val="clear" w:color="auto" w:fill="FFFFFF"/>
          <w:lang w:eastAsia="cs-CZ"/>
        </w:rPr>
        <w:t>veřejných výzkumných institucích (7 %) a v podnicích (6 %).</w:t>
      </w:r>
    </w:p>
    <w:p w:rsidR="005A63D9" w:rsidRPr="004F4B6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r w:rsidRPr="004F4B69">
        <w:rPr>
          <w:color w:val="000000"/>
          <w:shd w:val="clear" w:color="auto" w:fill="FFFFFF"/>
          <w:lang w:eastAsia="cs-CZ"/>
        </w:rPr>
        <w:t>Dánsko má 8 univerzit a 6 vládních (státních) výzkumných ústavů: Kennedy Center (lékařský výzkumný ústav v působnosti Ministerstva zdravotnictví), Národní výzkumné centrum pracovního prostředí (v působnosti Ministerstva práce – zaměstnanosti), Dánské národní centrum pro sociální výzkum (v působnost Ministerstva pro děti, rovnost pohlaví, integraci a sociální záležitosti); Státní ústav pro séra (v působnosti Ministerstva zdravotnictví), Dánský meteorologický ústav (v působnosti Ministerstva pro klima a energ</w:t>
      </w:r>
      <w:r>
        <w:rPr>
          <w:color w:val="000000"/>
          <w:shd w:val="clear" w:color="auto" w:fill="FFFFFF"/>
          <w:lang w:eastAsia="cs-CZ"/>
        </w:rPr>
        <w:t>ii) a </w:t>
      </w:r>
      <w:r w:rsidRPr="004F4B69">
        <w:rPr>
          <w:color w:val="000000"/>
          <w:shd w:val="clear" w:color="auto" w:fill="FFFFFF"/>
          <w:lang w:eastAsia="cs-CZ"/>
        </w:rPr>
        <w:t>Dánské centrum pro Scientific Computing (v působnosti Ministerstva pro vysokoškolské vzdělávání a vědu).</w:t>
      </w:r>
    </w:p>
    <w:p w:rsidR="005A63D9" w:rsidRDefault="005A63D9" w:rsidP="004F4B69">
      <w:pPr>
        <w:widowControl w:val="0"/>
        <w:adjustRightInd w:val="0"/>
        <w:spacing w:afterLines="0"/>
        <w:ind w:firstLine="539"/>
        <w:contextualSpacing w:val="0"/>
        <w:jc w:val="both"/>
        <w:textAlignment w:val="baseline"/>
        <w:rPr>
          <w:color w:val="000000"/>
          <w:shd w:val="clear" w:color="auto" w:fill="FFFFFF"/>
          <w:lang w:eastAsia="cs-CZ"/>
        </w:rPr>
      </w:pPr>
    </w:p>
    <w:p w:rsidR="005A63D9" w:rsidRPr="00736D38" w:rsidRDefault="005A63D9" w:rsidP="00736D38">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1" w:name="_Toc440897394"/>
      <w:bookmarkStart w:id="22" w:name="_Toc441760796"/>
      <w:bookmarkStart w:id="23" w:name="_Toc441849459"/>
      <w:r>
        <w:rPr>
          <w:rFonts w:cs="Arial"/>
          <w:bCs/>
          <w:iCs/>
          <w:color w:val="000000"/>
          <w:shd w:val="clear" w:color="auto" w:fill="FFFFFF"/>
          <w:lang/>
        </w:rPr>
        <w:t xml:space="preserve">1.3. </w:t>
      </w:r>
      <w:r w:rsidRPr="00736D38">
        <w:rPr>
          <w:rFonts w:cs="Arial"/>
          <w:bCs/>
          <w:iCs/>
          <w:color w:val="000000"/>
          <w:shd w:val="clear" w:color="auto" w:fill="FFFFFF"/>
          <w:lang/>
        </w:rPr>
        <w:t>Reforma</w:t>
      </w:r>
      <w:bookmarkEnd w:id="21"/>
      <w:bookmarkEnd w:id="22"/>
      <w:bookmarkEnd w:id="23"/>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Jak již bylo uvedeno, v Dánsku proběhla reforma systému veřejné podpory VaVaI. Koncem roku 2013 byla v parlamentu dosažena politické dohoda o reformě systému. Reforma má přinést podstatné zjednodušení a zvýšení efektivnosti celého systému, především má odstranit „mnohokolejnost“ podpory VaVaI.</w:t>
      </w:r>
      <w:r>
        <w:rPr>
          <w:color w:val="000000"/>
          <w:shd w:val="clear" w:color="auto" w:fill="FFFFFF"/>
          <w:lang w:eastAsia="cs-CZ"/>
        </w:rPr>
        <w:t xml:space="preserve"> Reforma probíhá postupně. K 1. </w:t>
      </w:r>
      <w:r w:rsidRPr="00736D38">
        <w:rPr>
          <w:color w:val="000000"/>
          <w:shd w:val="clear" w:color="auto" w:fill="FFFFFF"/>
          <w:lang w:eastAsia="cs-CZ"/>
        </w:rPr>
        <w:t>dubnu 2014 byly zrušeny Dánská rada pro strategický výzkum, D</w:t>
      </w:r>
      <w:r>
        <w:rPr>
          <w:color w:val="000000"/>
          <w:shd w:val="clear" w:color="auto" w:fill="FFFFFF"/>
          <w:lang w:eastAsia="cs-CZ"/>
        </w:rPr>
        <w:t>ánská rada pro </w:t>
      </w:r>
      <w:r w:rsidRPr="00736D38">
        <w:rPr>
          <w:color w:val="000000"/>
          <w:shd w:val="clear" w:color="auto" w:fill="FFFFFF"/>
          <w:lang w:eastAsia="cs-CZ"/>
        </w:rPr>
        <w:t>technologie a inovace a Dánský národní fond pro pokročilé technologie. Ke stejnému datu byl zákonem č. 306 z 29. 3. 2014 zřízen Dánský fond pro inovace (Danish Innovation Foundation – www.innovationsfonden.dk). V rámci reformy byla působnost</w:t>
      </w:r>
      <w:r>
        <w:rPr>
          <w:color w:val="000000"/>
          <w:shd w:val="clear" w:color="auto" w:fill="FFFFFF"/>
          <w:lang w:eastAsia="cs-CZ"/>
        </w:rPr>
        <w:t xml:space="preserve"> Dánské rady pro </w:t>
      </w:r>
      <w:r w:rsidRPr="00736D38">
        <w:rPr>
          <w:color w:val="000000"/>
          <w:shd w:val="clear" w:color="auto" w:fill="FFFFFF"/>
          <w:lang w:eastAsia="cs-CZ"/>
        </w:rPr>
        <w:t>politiku výzkumu, hlavního poradního orgánu Dánské rady pro VaV, rozšířena o vývoj technologií a inovace. Eventuální další úpravy, a to Dánské</w:t>
      </w:r>
      <w:r>
        <w:rPr>
          <w:color w:val="000000"/>
          <w:shd w:val="clear" w:color="auto" w:fill="FFFFFF"/>
          <w:lang w:eastAsia="cs-CZ"/>
        </w:rPr>
        <w:t>ho fondu pro nezávislý výzkum a </w:t>
      </w:r>
      <w:r w:rsidRPr="00736D38">
        <w:rPr>
          <w:color w:val="000000"/>
          <w:shd w:val="clear" w:color="auto" w:fill="FFFFFF"/>
          <w:lang w:eastAsia="cs-CZ"/>
        </w:rPr>
        <w:t>Dánského národního fondu pro výzkum budou navrženy po jejich důkladně evaluaci.</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Strategie Dánského inovačního fondu DFI z 29. ledna</w:t>
      </w:r>
      <w:r>
        <w:rPr>
          <w:color w:val="000000"/>
          <w:shd w:val="clear" w:color="auto" w:fill="FFFFFF"/>
          <w:lang w:eastAsia="cs-CZ"/>
        </w:rPr>
        <w:t xml:space="preserve"> 2015 stanovuje poslání, vize a </w:t>
      </w:r>
      <w:r w:rsidRPr="00736D38">
        <w:rPr>
          <w:color w:val="000000"/>
          <w:shd w:val="clear" w:color="auto" w:fill="FFFFFF"/>
          <w:lang w:eastAsia="cs-CZ"/>
        </w:rPr>
        <w:t>cíle DFI, definuje nové nástroje podpory, vyhlašuje</w:t>
      </w:r>
      <w:r>
        <w:rPr>
          <w:color w:val="000000"/>
          <w:shd w:val="clear" w:color="auto" w:fill="FFFFFF"/>
          <w:lang w:eastAsia="cs-CZ"/>
        </w:rPr>
        <w:t xml:space="preserve"> restrukturalizaci řízení DFI a </w:t>
      </w:r>
      <w:r w:rsidRPr="00736D38">
        <w:rPr>
          <w:color w:val="000000"/>
          <w:shd w:val="clear" w:color="auto" w:fill="FFFFFF"/>
          <w:lang w:eastAsia="cs-CZ"/>
        </w:rPr>
        <w:t>konkretizuje nový, uživatelsky přívětivý model kontaktů IFD s vnějším prostředím. Strategie byla stanovena po konzultacích s velkým počtem stakeholders z oblasti VaV, podnikání, inovací a kontaktů s veřejností.</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Dánský inovační fond (DFI) řídí desetičlenné představenstvo (předseda, místopředseda a 8 členů) složené z externích odborníků. Nároky na jejich předpoklady stanoví zákon. Členkou představenstva je například ředitelka pro výzkum amerického Google. Management fondu zabezpečuje kancelář v čele s předsedou (prezidentem), místopředsedou a vedoucími tří větších sekcí: Strategický výzkum; Vývoj a komercionalizace; Talenty.</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Dánský inovační fond převzal od zrušených institucí programovou podporu VaVaI s výjimkou podpory základního výzkumu, který i nadále zabezpečuje Rada pro nezávislý výzkum. Fond je velkou agenturou</w:t>
      </w:r>
      <w:r w:rsidRPr="00736D38">
        <w:rPr>
          <w:color w:val="000000"/>
          <w:shd w:val="clear" w:color="auto" w:fill="FFFFFF"/>
          <w:vertAlign w:val="superscript"/>
          <w:lang w:eastAsia="cs-CZ"/>
        </w:rPr>
        <w:footnoteReference w:id="7"/>
      </w:r>
      <w:r w:rsidRPr="00736D38">
        <w:rPr>
          <w:color w:val="000000"/>
          <w:shd w:val="clear" w:color="auto" w:fill="FFFFFF"/>
          <w:lang w:eastAsia="cs-CZ"/>
        </w:rPr>
        <w:t>, která formou relativně velkého počtu výzkumných programů podporuje aplikovaný výzkum, vývoj a inovace. Klade velký důraz na propojení veřejného a soukromého sektoru a na mezinárodní spolup</w:t>
      </w:r>
      <w:r>
        <w:rPr>
          <w:color w:val="000000"/>
          <w:shd w:val="clear" w:color="auto" w:fill="FFFFFF"/>
          <w:lang w:eastAsia="cs-CZ"/>
        </w:rPr>
        <w:t>ráci. Tato agentura podporuje i </w:t>
      </w:r>
      <w:r w:rsidRPr="00736D38">
        <w:rPr>
          <w:color w:val="000000"/>
          <w:shd w:val="clear" w:color="auto" w:fill="FFFFFF"/>
          <w:lang w:eastAsia="cs-CZ"/>
        </w:rPr>
        <w:t>výchovu výzkumných pracovníků (programy Ph.D.). Agentura má téměř čtyřikrát větší rozpočet než Dánská rada pro nezávislý výzkum.</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V současné době fond podporuje následující program</w:t>
      </w:r>
      <w:r>
        <w:rPr>
          <w:color w:val="000000"/>
          <w:shd w:val="clear" w:color="auto" w:fill="FFFFFF"/>
          <w:lang w:eastAsia="cs-CZ"/>
        </w:rPr>
        <w:t>y. U programů zabývajících se i </w:t>
      </w:r>
      <w:r w:rsidRPr="00736D38">
        <w:rPr>
          <w:color w:val="000000"/>
          <w:shd w:val="clear" w:color="auto" w:fill="FFFFFF"/>
          <w:lang w:eastAsia="cs-CZ"/>
        </w:rPr>
        <w:t>problematikou životního prostředí jsou kromě názvu uvedeny i některé doplňující informace.</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p>
    <w:p w:rsidR="005A63D9" w:rsidRPr="00736D38" w:rsidRDefault="005A63D9" w:rsidP="00736D38">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4" w:name="_Toc440897395"/>
      <w:bookmarkStart w:id="25" w:name="_Toc441760797"/>
      <w:bookmarkStart w:id="26" w:name="_Toc441849460"/>
      <w:r w:rsidRPr="00736D38">
        <w:rPr>
          <w:rFonts w:cs="Arial"/>
          <w:bCs/>
          <w:iCs/>
          <w:color w:val="000000"/>
          <w:shd w:val="clear" w:color="auto" w:fill="FFFFFF"/>
          <w:lang/>
        </w:rPr>
        <w:t>1.4. Programy VaVaI koordinované Dánským inovačním fondem</w:t>
      </w:r>
      <w:bookmarkEnd w:id="24"/>
      <w:bookmarkEnd w:id="25"/>
      <w:bookmarkEnd w:id="26"/>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Strategický výzkum pro udržitelnou energetiku a životní prostředí</w:t>
      </w:r>
    </w:p>
    <w:p w:rsidR="005A63D9" w:rsidRPr="00736D38" w:rsidRDefault="005A63D9" w:rsidP="003557E0">
      <w:pPr>
        <w:pStyle w:val="ListParagraph"/>
        <w:widowControl w:val="0"/>
        <w:adjustRightInd w:val="0"/>
        <w:spacing w:afterLines="0"/>
        <w:ind w:left="851"/>
        <w:contextualSpacing w:val="0"/>
        <w:jc w:val="both"/>
        <w:textAlignment w:val="baseline"/>
        <w:rPr>
          <w:color w:val="000000"/>
          <w:shd w:val="clear" w:color="auto" w:fill="FFFFFF"/>
          <w:lang w:eastAsia="cs-CZ"/>
        </w:rPr>
      </w:pPr>
      <w:r w:rsidRPr="00736D38">
        <w:rPr>
          <w:color w:val="000000"/>
          <w:shd w:val="clear" w:color="auto" w:fill="FFFFFF"/>
          <w:lang w:eastAsia="cs-CZ"/>
        </w:rPr>
        <w:t>Cílem program</w:t>
      </w:r>
      <w:r>
        <w:rPr>
          <w:color w:val="000000"/>
          <w:shd w:val="clear" w:color="auto" w:fill="FFFFFF"/>
          <w:lang w:eastAsia="cs-CZ"/>
        </w:rPr>
        <w:t>u</w:t>
      </w:r>
      <w:r w:rsidRPr="00736D38">
        <w:rPr>
          <w:color w:val="000000"/>
          <w:shd w:val="clear" w:color="auto" w:fill="FFFFFF"/>
          <w:lang w:eastAsia="cs-CZ"/>
        </w:rPr>
        <w:t xml:space="preserve"> je vytvoření udržitelného energetického systému. V rámci programu je podporován strategický výzkum energeticky účinných, inteligentních a životní prostředí šetřících technologií. Jde o technologie, které umožní snížit emise skleníkových plynů a snížit závislost na fosilních palivech.</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Strategický výzkum pro zdraví, potraviny a spokojenost (blahobyt)</w:t>
      </w:r>
    </w:p>
    <w:p w:rsidR="005A63D9" w:rsidRPr="00736D38" w:rsidRDefault="005A63D9" w:rsidP="003557E0">
      <w:pPr>
        <w:pStyle w:val="ListParagraph"/>
        <w:widowControl w:val="0"/>
        <w:adjustRightInd w:val="0"/>
        <w:spacing w:afterLines="0"/>
        <w:ind w:left="851"/>
        <w:contextualSpacing w:val="0"/>
        <w:jc w:val="both"/>
        <w:textAlignment w:val="baseline"/>
        <w:rPr>
          <w:color w:val="000000"/>
          <w:shd w:val="clear" w:color="auto" w:fill="FFFFFF"/>
          <w:lang w:eastAsia="cs-CZ"/>
        </w:rPr>
      </w:pPr>
      <w:r w:rsidRPr="00736D38">
        <w:rPr>
          <w:color w:val="000000"/>
          <w:shd w:val="clear" w:color="auto" w:fill="FFFFFF"/>
          <w:lang w:eastAsia="cs-CZ"/>
        </w:rPr>
        <w:t>Program je zaměřen na tři dílčí problematiky: Souvisl</w:t>
      </w:r>
      <w:r>
        <w:rPr>
          <w:color w:val="000000"/>
          <w:shd w:val="clear" w:color="auto" w:fill="FFFFFF"/>
          <w:lang w:eastAsia="cs-CZ"/>
        </w:rPr>
        <w:t>osti a vazby potravin, zdraví a </w:t>
      </w:r>
      <w:r w:rsidRPr="00736D38">
        <w:rPr>
          <w:color w:val="000000"/>
          <w:shd w:val="clear" w:color="auto" w:fill="FFFFFF"/>
          <w:lang w:eastAsia="cs-CZ"/>
        </w:rPr>
        <w:t>životního stylu; Bio-zdroje, potraviny a ostatní bioprodukty, včetně produkčních systémů a procesů; v potravinářském průmyslu; Produkce biopotravin.</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Strategický výzkum technologií růstu</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 xml:space="preserve">Strategický výzkum </w:t>
      </w:r>
      <w:hyperlink r:id="rId7" w:history="1"/>
      <w:r w:rsidRPr="00736D38">
        <w:rPr>
          <w:color w:val="000000"/>
          <w:shd w:val="clear" w:color="auto" w:fill="FFFFFF"/>
          <w:lang w:eastAsia="cs-CZ"/>
        </w:rPr>
        <w:t>vzácných onemocnění ve společnosti</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Strategický výzkum – mír a konflikty</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Strategický výzkum pro dopravu a infrastruktury</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SPIR</w:t>
      </w:r>
    </w:p>
    <w:p w:rsidR="005A63D9" w:rsidRPr="00736D38"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V rámci programu SPIR jsou finančně podporovány iniciativy pro posílení vazeb strategického výzkumu a inovací. Cílem je urychlit převod získa</w:t>
      </w:r>
      <w:r>
        <w:rPr>
          <w:color w:val="000000"/>
          <w:shd w:val="clear" w:color="auto" w:fill="FFFFFF"/>
          <w:lang w:eastAsia="cs-CZ"/>
        </w:rPr>
        <w:t>ných poznatků VaV do </w:t>
      </w:r>
      <w:r w:rsidRPr="00736D38">
        <w:rPr>
          <w:color w:val="000000"/>
          <w:shd w:val="clear" w:color="auto" w:fill="FFFFFF"/>
          <w:lang w:eastAsia="cs-CZ"/>
        </w:rPr>
        <w:t>produktů a služeb ve veřejném i soukromém sektoru.</w:t>
      </w:r>
    </w:p>
    <w:p w:rsidR="005A63D9" w:rsidRDefault="005A63D9" w:rsidP="00736D38">
      <w:pPr>
        <w:widowControl w:val="0"/>
        <w:adjustRightInd w:val="0"/>
        <w:spacing w:afterLines="0"/>
        <w:ind w:firstLine="539"/>
        <w:contextualSpacing w:val="0"/>
        <w:jc w:val="both"/>
        <w:textAlignment w:val="baseline"/>
        <w:rPr>
          <w:color w:val="000000"/>
          <w:shd w:val="clear" w:color="auto" w:fill="FFFFFF"/>
          <w:lang w:eastAsia="cs-CZ"/>
        </w:rPr>
      </w:pPr>
      <w:r w:rsidRPr="00736D38">
        <w:rPr>
          <w:color w:val="000000"/>
          <w:shd w:val="clear" w:color="auto" w:fill="FFFFFF"/>
          <w:lang w:eastAsia="cs-CZ"/>
        </w:rPr>
        <w:t>Dále Dánský inovační fond převzal od Dánské rady pro technologie a inovace</w:t>
      </w:r>
      <w:r>
        <w:rPr>
          <w:color w:val="000000"/>
          <w:shd w:val="clear" w:color="auto" w:fill="FFFFFF"/>
          <w:lang w:eastAsia="cs-CZ"/>
        </w:rPr>
        <w:t xml:space="preserve"> řadů nástrojů podpory.</w:t>
      </w:r>
    </w:p>
    <w:p w:rsidR="005A63D9" w:rsidRPr="00736D38" w:rsidRDefault="005A63D9" w:rsidP="003557E0">
      <w:pPr>
        <w:widowControl w:val="0"/>
        <w:adjustRightInd w:val="0"/>
        <w:spacing w:afterLines="0"/>
        <w:contextualSpacing w:val="0"/>
        <w:jc w:val="both"/>
        <w:textAlignment w:val="baseline"/>
        <w:rPr>
          <w:color w:val="000000"/>
          <w:shd w:val="clear" w:color="auto" w:fill="FFFFFF"/>
          <w:lang w:eastAsia="cs-CZ"/>
        </w:rPr>
      </w:pPr>
      <w:r w:rsidRPr="00736D38">
        <w:rPr>
          <w:color w:val="000000"/>
          <w:shd w:val="clear" w:color="auto" w:fill="FFFFFF"/>
          <w:lang w:eastAsia="cs-CZ"/>
        </w:rPr>
        <w:t>Pro oblast kooperací a interakcí:</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Inovační konsorcia;</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Schválené technologické instituce (GTS);</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Ph.D. pro průmysl;</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Inovační asistenti;</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Inovační vouchery</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Inovační sítě.</w:t>
      </w:r>
    </w:p>
    <w:p w:rsidR="005A63D9" w:rsidRPr="00574217" w:rsidRDefault="005A63D9" w:rsidP="0008405A">
      <w:pPr>
        <w:spacing w:after="144"/>
        <w:jc w:val="both"/>
      </w:pPr>
      <w:r w:rsidRPr="00574217">
        <w:t>Pro oblast podnikání a komercionalizace:</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Inovační inkubátory</w:t>
      </w:r>
    </w:p>
    <w:p w:rsidR="005A63D9" w:rsidRPr="00736D38" w:rsidRDefault="005A63D9" w:rsidP="00736D3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36D38">
        <w:rPr>
          <w:color w:val="000000"/>
          <w:shd w:val="clear" w:color="auto" w:fill="FFFFFF"/>
          <w:lang w:eastAsia="cs-CZ"/>
        </w:rPr>
        <w:t>Konzultační služby pro vynálezce</w:t>
      </w:r>
    </w:p>
    <w:p w:rsidR="005A63D9" w:rsidRPr="003557E0" w:rsidRDefault="005A63D9" w:rsidP="003557E0">
      <w:pPr>
        <w:widowControl w:val="0"/>
        <w:adjustRightInd w:val="0"/>
        <w:spacing w:afterLines="0"/>
        <w:ind w:firstLine="539"/>
        <w:contextualSpacing w:val="0"/>
        <w:jc w:val="both"/>
        <w:textAlignment w:val="baseline"/>
        <w:rPr>
          <w:color w:val="000000"/>
          <w:shd w:val="clear" w:color="auto" w:fill="FFFFFF"/>
          <w:lang w:eastAsia="cs-CZ"/>
        </w:rPr>
      </w:pPr>
      <w:r w:rsidRPr="003557E0">
        <w:rPr>
          <w:color w:val="000000"/>
          <w:shd w:val="clear" w:color="auto" w:fill="FFFFFF"/>
          <w:lang w:eastAsia="cs-CZ"/>
        </w:rPr>
        <w:t>Specifickým nástrojem podpory jsou takzvané “Schválené technologické instituce (GTS)”. GTS je zkratka dánského názvu "Godkendt TEKNOLOGISK Servis", což volně přeloženo znamená „schválený poskytovatel technologických služeb“. Schválení je udělováno na základě technologické výkonnosti, finanční a organizační stability a solidnosti uchazečů. Skupina GTS vytváří infrastrukturu mezi výzkumem a průmyslem.</w:t>
      </w:r>
    </w:p>
    <w:p w:rsidR="005A63D9" w:rsidRPr="003557E0" w:rsidRDefault="005A63D9" w:rsidP="003557E0">
      <w:pPr>
        <w:widowControl w:val="0"/>
        <w:adjustRightInd w:val="0"/>
        <w:spacing w:afterLines="0"/>
        <w:ind w:firstLine="539"/>
        <w:contextualSpacing w:val="0"/>
        <w:jc w:val="both"/>
        <w:textAlignment w:val="baseline"/>
        <w:rPr>
          <w:color w:val="000000"/>
          <w:shd w:val="clear" w:color="auto" w:fill="FFFFFF"/>
          <w:lang w:eastAsia="cs-CZ"/>
        </w:rPr>
      </w:pPr>
    </w:p>
    <w:p w:rsidR="005A63D9" w:rsidRPr="003557E0" w:rsidRDefault="005A63D9" w:rsidP="003557E0">
      <w:pPr>
        <w:widowControl w:val="0"/>
        <w:adjustRightInd w:val="0"/>
        <w:spacing w:afterLines="0"/>
        <w:ind w:firstLine="539"/>
        <w:contextualSpacing w:val="0"/>
        <w:jc w:val="both"/>
        <w:textAlignment w:val="baseline"/>
        <w:rPr>
          <w:color w:val="000000"/>
          <w:shd w:val="clear" w:color="auto" w:fill="FFFFFF"/>
          <w:lang w:eastAsia="cs-CZ"/>
        </w:rPr>
      </w:pPr>
      <w:r w:rsidRPr="003557E0">
        <w:rPr>
          <w:color w:val="000000"/>
          <w:shd w:val="clear" w:color="auto" w:fill="FFFFFF"/>
          <w:lang w:eastAsia="cs-CZ"/>
        </w:rPr>
        <w:t>Schválené technologické instituty (GTS) zajišťují přenos poznatků do podnikatelské sféry. Instituty poskytují znalosti, technologie a poradenství, spolupracují s podniky na jejich VaV, inovacích, testování a optimalizacích výrobních procesů. V Dánsku v současné době (prosinec 2015) existuje 9 těchto institutů. Jejich úkolem</w:t>
      </w:r>
      <w:r>
        <w:rPr>
          <w:color w:val="000000"/>
          <w:shd w:val="clear" w:color="auto" w:fill="FFFFFF"/>
          <w:lang w:eastAsia="cs-CZ"/>
        </w:rPr>
        <w:t xml:space="preserve"> je šířit nejnovější poznatky a </w:t>
      </w:r>
      <w:r w:rsidRPr="003557E0">
        <w:rPr>
          <w:color w:val="000000"/>
          <w:shd w:val="clear" w:color="auto" w:fill="FFFFFF"/>
          <w:lang w:eastAsia="cs-CZ"/>
        </w:rPr>
        <w:t>nejmodernější (state-of-the art) technologie do podnika</w:t>
      </w:r>
      <w:r>
        <w:rPr>
          <w:color w:val="000000"/>
          <w:shd w:val="clear" w:color="auto" w:fill="FFFFFF"/>
          <w:lang w:eastAsia="cs-CZ"/>
        </w:rPr>
        <w:t>telské sféry a přispívat tím ke </w:t>
      </w:r>
      <w:r w:rsidRPr="003557E0">
        <w:rPr>
          <w:color w:val="000000"/>
          <w:shd w:val="clear" w:color="auto" w:fill="FFFFFF"/>
          <w:lang w:eastAsia="cs-CZ"/>
        </w:rPr>
        <w:t>konkurenceschopnosti podniků. Podniky mohou od inst</w:t>
      </w:r>
      <w:r>
        <w:rPr>
          <w:color w:val="000000"/>
          <w:shd w:val="clear" w:color="auto" w:fill="FFFFFF"/>
          <w:lang w:eastAsia="cs-CZ"/>
        </w:rPr>
        <w:t>itutů GTS nakupovat služby nebo </w:t>
      </w:r>
      <w:r w:rsidRPr="003557E0">
        <w:rPr>
          <w:color w:val="000000"/>
          <w:shd w:val="clear" w:color="auto" w:fill="FFFFFF"/>
          <w:lang w:eastAsia="cs-CZ"/>
        </w:rPr>
        <w:t>se s nimi podílet na výzkumných projektech podílově financovaných z veřejných prostředků.</w:t>
      </w:r>
    </w:p>
    <w:p w:rsidR="005A63D9" w:rsidRPr="003557E0" w:rsidRDefault="005A63D9" w:rsidP="003557E0">
      <w:pPr>
        <w:widowControl w:val="0"/>
        <w:adjustRightInd w:val="0"/>
        <w:spacing w:afterLines="0"/>
        <w:ind w:firstLine="539"/>
        <w:contextualSpacing w:val="0"/>
        <w:jc w:val="both"/>
        <w:textAlignment w:val="baseline"/>
        <w:rPr>
          <w:color w:val="000000"/>
          <w:shd w:val="clear" w:color="auto" w:fill="FFFFFF"/>
          <w:lang w:eastAsia="cs-CZ"/>
        </w:rPr>
      </w:pPr>
      <w:r w:rsidRPr="003557E0">
        <w:rPr>
          <w:color w:val="000000"/>
          <w:shd w:val="clear" w:color="auto" w:fill="FFFFFF"/>
          <w:lang w:eastAsia="cs-CZ"/>
        </w:rPr>
        <w:t>GTS – Advanced Technology Group je síť devíti nezávislých dánských výzkumných a technologických organizací: AgroTech, Alexandra Institute, DBI – Danish Institute of Fire and Security Technology, DELTA – Danish Electronics, Light &amp; Acoustics, DFM – Danish Institute of Fundamental Metrology, DHI – Danish Institute for Water and Environment, DTI – Danish Technological Institute and FORCE Technology. Problematikou životního prostředí se zabývají ve větším rozsahu DHI – Water and Environment Institute a DTI – Danish Technological Institute.</w:t>
      </w:r>
    </w:p>
    <w:p w:rsidR="005A63D9" w:rsidRDefault="005A63D9" w:rsidP="0008405A">
      <w:pPr>
        <w:pStyle w:val="NormalWeb"/>
        <w:spacing w:after="144" w:line="288" w:lineRule="auto"/>
        <w:jc w:val="both"/>
        <w:rPr>
          <w:rFonts w:ascii="Arial" w:hAnsi="Arial" w:cs="Arial"/>
          <w:sz w:val="22"/>
          <w:szCs w:val="22"/>
        </w:rPr>
      </w:pPr>
    </w:p>
    <w:p w:rsidR="005A63D9" w:rsidRDefault="005A63D9" w:rsidP="00F51ADE">
      <w:pPr>
        <w:pStyle w:val="Heading3"/>
        <w:keepNext/>
        <w:spacing w:before="240" w:afterLines="0" w:line="240" w:lineRule="auto"/>
        <w:contextualSpacing w:val="0"/>
        <w:rPr>
          <w:bCs/>
          <w:shd w:val="clear" w:color="auto" w:fill="FFFFFF"/>
          <w:lang/>
        </w:rPr>
      </w:pPr>
      <w:bookmarkStart w:id="27" w:name="_Toc440897396"/>
      <w:bookmarkStart w:id="28" w:name="_Toc441760798"/>
      <w:bookmarkStart w:id="29" w:name="_Toc441849461"/>
      <w:r>
        <w:rPr>
          <w:bCs/>
          <w:shd w:val="clear" w:color="auto" w:fill="FFFFFF"/>
          <w:lang/>
        </w:rPr>
        <w:t>Dánský technologický institut</w:t>
      </w:r>
      <w:bookmarkEnd w:id="27"/>
      <w:bookmarkEnd w:id="28"/>
      <w:bookmarkEnd w:id="29"/>
    </w:p>
    <w:p w:rsidR="005A63D9" w:rsidRPr="00F51ADE" w:rsidRDefault="005A63D9" w:rsidP="00F51ADE">
      <w:pPr>
        <w:spacing w:after="144"/>
      </w:pPr>
      <w:r w:rsidRPr="00F51ADE">
        <w:t xml:space="preserve">(Danish Technological Institute, DTI – www.dti.dk) </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Kromě jiného se zabývá i problematikou Biobased S</w:t>
      </w:r>
      <w:r>
        <w:rPr>
          <w:color w:val="000000"/>
          <w:shd w:val="clear" w:color="auto" w:fill="FFFFFF"/>
          <w:lang w:eastAsia="cs-CZ"/>
        </w:rPr>
        <w:t>ociety (biomasa, technologie na </w:t>
      </w:r>
      <w:r w:rsidRPr="00C812EC">
        <w:rPr>
          <w:color w:val="000000"/>
          <w:shd w:val="clear" w:color="auto" w:fill="FFFFFF"/>
          <w:lang w:eastAsia="cs-CZ"/>
        </w:rPr>
        <w:t>zpracování a využití biomasy, produkty z biomasy) a energeticky soběstačných domů. V roce 2014 činily příjmy z VaV 24 % celkových příjmů DTI, celk</w:t>
      </w:r>
      <w:r>
        <w:rPr>
          <w:color w:val="000000"/>
          <w:shd w:val="clear" w:color="auto" w:fill="FFFFFF"/>
          <w:lang w:eastAsia="cs-CZ"/>
        </w:rPr>
        <w:t>ový obrat dosáhnul výše 145 </w:t>
      </w:r>
      <w:r w:rsidRPr="00C812EC">
        <w:rPr>
          <w:color w:val="000000"/>
          <w:shd w:val="clear" w:color="auto" w:fill="FFFFFF"/>
          <w:lang w:eastAsia="cs-CZ"/>
        </w:rPr>
        <w:t>mil. Euro. V roce 2014 měl DTI 1 055 pracovníků (z toho doktoři a Ph.D. 32 %, inženýři/magistři 28 %, ostatní pracovníci s VŠ vzdělání</w:t>
      </w:r>
      <w:r>
        <w:rPr>
          <w:color w:val="000000"/>
          <w:shd w:val="clear" w:color="auto" w:fill="FFFFFF"/>
          <w:lang w:eastAsia="cs-CZ"/>
        </w:rPr>
        <w:t>m 25 %). Životním prostředím se </w:t>
      </w:r>
      <w:r w:rsidRPr="00C812EC">
        <w:rPr>
          <w:color w:val="000000"/>
          <w:shd w:val="clear" w:color="auto" w:fill="FFFFFF"/>
          <w:lang w:eastAsia="cs-CZ"/>
        </w:rPr>
        <w:t>především zabývají divize Energie a klima a divize Live Scienc</w:t>
      </w:r>
      <w:r>
        <w:rPr>
          <w:color w:val="000000"/>
          <w:shd w:val="clear" w:color="auto" w:fill="FFFFFF"/>
          <w:lang w:eastAsia="cs-CZ"/>
        </w:rPr>
        <w:t>e. Divize Live Science se </w:t>
      </w:r>
      <w:r w:rsidRPr="00C812EC">
        <w:rPr>
          <w:color w:val="000000"/>
          <w:shd w:val="clear" w:color="auto" w:fill="FFFFFF"/>
          <w:lang w:eastAsia="cs-CZ"/>
        </w:rPr>
        <w:t>zabývá efektivním využíváním přírodních zdrojů s ohledem na životní prostředí a vztahy lidského zdraví a životního prostředí.</w:t>
      </w:r>
    </w:p>
    <w:p w:rsidR="005A63D9" w:rsidRDefault="005A63D9" w:rsidP="00F51ADE">
      <w:pPr>
        <w:pStyle w:val="Heading3"/>
        <w:keepNext/>
        <w:spacing w:before="240" w:afterLines="0" w:line="240" w:lineRule="auto"/>
        <w:contextualSpacing w:val="0"/>
        <w:rPr>
          <w:bCs/>
          <w:shd w:val="clear" w:color="auto" w:fill="FFFFFF"/>
          <w:lang/>
        </w:rPr>
      </w:pPr>
      <w:bookmarkStart w:id="30" w:name="_Toc440897397"/>
      <w:bookmarkStart w:id="31" w:name="_Toc441760799"/>
      <w:bookmarkStart w:id="32" w:name="_Toc441849462"/>
      <w:r w:rsidRPr="00F51ADE">
        <w:rPr>
          <w:bCs/>
          <w:shd w:val="clear" w:color="auto" w:fill="FFFFFF"/>
          <w:lang/>
        </w:rPr>
        <w:t>Dánský instit</w:t>
      </w:r>
      <w:r>
        <w:rPr>
          <w:bCs/>
          <w:shd w:val="clear" w:color="auto" w:fill="FFFFFF"/>
          <w:lang/>
        </w:rPr>
        <w:t>ut pro vodu a životní prostředí</w:t>
      </w:r>
      <w:bookmarkEnd w:id="30"/>
      <w:bookmarkEnd w:id="31"/>
      <w:bookmarkEnd w:id="32"/>
    </w:p>
    <w:p w:rsidR="005A63D9" w:rsidRPr="00F51ADE" w:rsidRDefault="005A63D9" w:rsidP="00F51ADE">
      <w:pPr>
        <w:spacing w:after="144"/>
        <w:rPr>
          <w:bCs/>
          <w:color w:val="000000"/>
          <w:shd w:val="clear" w:color="auto" w:fill="FFFFFF"/>
          <w:lang w:eastAsia="cs-CZ"/>
        </w:rPr>
      </w:pPr>
      <w:r w:rsidRPr="00F51ADE">
        <w:t xml:space="preserve">(Danish Institute for Water and Environment, DHI – www.dhigroup.com) </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Vznikl v roce 2000 jako nástupce Danish Hydraulic Institute (DHI) a Institute for Water Environment (VKI). Institut má pobočky ve Švédsku a Polsku. Institut má 5 divizí. Institut se</w:t>
      </w:r>
      <w:r>
        <w:rPr>
          <w:color w:val="000000"/>
          <w:shd w:val="clear" w:color="auto" w:fill="FFFFFF"/>
          <w:lang w:eastAsia="cs-CZ"/>
        </w:rPr>
        <w:t> </w:t>
      </w:r>
      <w:r w:rsidRPr="00C812EC">
        <w:rPr>
          <w:color w:val="000000"/>
          <w:shd w:val="clear" w:color="auto" w:fill="FFFFFF"/>
          <w:lang w:eastAsia="cs-CZ"/>
        </w:rPr>
        <w:t>kromě poskytování služeb, včetně poradenství, zabývá vlastním VaV a transferem technologií, především v oblastech vody a životního prostředí. Obrat v posledních třech letech pohyboval kolem 110 mil. Euro/rok. Při institutu existuje vzdělávací středisko pro</w:t>
      </w:r>
      <w:r>
        <w:rPr>
          <w:color w:val="000000"/>
          <w:shd w:val="clear" w:color="auto" w:fill="FFFFFF"/>
          <w:lang w:eastAsia="cs-CZ"/>
        </w:rPr>
        <w:t> </w:t>
      </w:r>
      <w:r w:rsidRPr="00C812EC">
        <w:rPr>
          <w:color w:val="000000"/>
          <w:shd w:val="clear" w:color="auto" w:fill="FFFFFF"/>
          <w:lang w:eastAsia="cs-CZ"/>
        </w:rPr>
        <w:t>transfer technologií a inovace. V roce 2014 absolvovalo nejrůznější kurzy a školení cca</w:t>
      </w:r>
      <w:r>
        <w:rPr>
          <w:color w:val="000000"/>
          <w:shd w:val="clear" w:color="auto" w:fill="FFFFFF"/>
          <w:lang w:eastAsia="cs-CZ"/>
        </w:rPr>
        <w:t> </w:t>
      </w:r>
      <w:r w:rsidRPr="00C812EC">
        <w:rPr>
          <w:color w:val="000000"/>
          <w:shd w:val="clear" w:color="auto" w:fill="FFFFFF"/>
          <w:lang w:eastAsia="cs-CZ"/>
        </w:rPr>
        <w:t>5 500 účastníků.</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Institut zabezpečuje pomoc dánským i zahraničním podniků při řešení jejich veškerých problémů spojených s vodním hospodářstvím. Poradenství a další služby ústavu pokrývají následující oblasti: Akvakultura agrikultura; Energie Změny klimatu; Pobřeží a moře; Povrchové a podzemní vody; Bezpečnost výrobků a Environmentální rizika. Již dvacet roků institut na objednávku provádí hodnocení dopadů investic na životní prostředí (Environmental Impact Assessments – studie EIA) dánským i zahraničním subjektům.</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Institut má pobočky v Singapuru, Číně (Šanghaj) a v Německu (Berlín). Kontaktní kanceláře má DHI v řadě zemí, včetně Česka.</w:t>
      </w:r>
    </w:p>
    <w:p w:rsidR="005A63D9" w:rsidRPr="00F51ADE" w:rsidRDefault="005A63D9" w:rsidP="00F51ADE">
      <w:pPr>
        <w:pStyle w:val="Heading3"/>
        <w:keepNext/>
        <w:spacing w:before="240" w:afterLines="0" w:line="240" w:lineRule="auto"/>
        <w:contextualSpacing w:val="0"/>
        <w:rPr>
          <w:bCs/>
          <w:shd w:val="clear" w:color="auto" w:fill="FFFFFF"/>
          <w:lang/>
        </w:rPr>
      </w:pPr>
      <w:bookmarkStart w:id="33" w:name="_Toc440897398"/>
      <w:bookmarkStart w:id="34" w:name="_Toc441760800"/>
      <w:bookmarkStart w:id="35" w:name="_Toc441849463"/>
      <w:r w:rsidRPr="00F51ADE">
        <w:rPr>
          <w:bCs/>
          <w:shd w:val="clear" w:color="auto" w:fill="FFFFFF"/>
          <w:lang/>
        </w:rPr>
        <w:t>Inovační sítě</w:t>
      </w:r>
      <w:bookmarkEnd w:id="33"/>
      <w:bookmarkEnd w:id="34"/>
      <w:bookmarkEnd w:id="35"/>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Dánský inovační fond klade vysoký důraz na vznik a provoz inovačních sítí. V současné době jich existuje 22 (březen 2015). Fond poskytuje základní podporu na</w:t>
      </w:r>
      <w:r>
        <w:rPr>
          <w:color w:val="000000"/>
          <w:shd w:val="clear" w:color="auto" w:fill="FFFFFF"/>
          <w:lang w:eastAsia="cs-CZ"/>
        </w:rPr>
        <w:t> </w:t>
      </w:r>
      <w:r w:rsidRPr="00C812EC">
        <w:rPr>
          <w:color w:val="000000"/>
          <w:shd w:val="clear" w:color="auto" w:fill="FFFFFF"/>
          <w:lang w:eastAsia="cs-CZ"/>
        </w:rPr>
        <w:t>organizaci a administrativu sítě. Členové sítí se mohou ucházet a o další podporu společných projektů. Z oblasti životního prostředí nebo oblastí příbuzných to jsou:</w:t>
      </w:r>
    </w:p>
    <w:p w:rsidR="005A63D9" w:rsidRPr="00C812EC" w:rsidRDefault="005A63D9" w:rsidP="00C812E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812EC">
        <w:rPr>
          <w:b/>
          <w:color w:val="000000"/>
          <w:shd w:val="clear" w:color="auto" w:fill="FFFFFF"/>
          <w:lang w:eastAsia="cs-CZ"/>
        </w:rPr>
        <w:t>Inovační síť potravinářského sektoru – FoodNetwork</w:t>
      </w:r>
      <w:r w:rsidRPr="00C812EC">
        <w:rPr>
          <w:color w:val="000000"/>
          <w:shd w:val="clear" w:color="auto" w:fill="FFFFFF"/>
          <w:lang w:eastAsia="cs-CZ"/>
        </w:rPr>
        <w:t>, www.foodnetwork.dk</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Účastníci: 5 univerzit, 5 GTS institutů, 10 vzdělávacích zařízení, 5 pracovních sdružení. Úkolem je zejména podpora růstu a konkurenceschopnosti malých a středních podniků potravinářského průmyslu. V současné době řeší skupiny složené z účastníků sítě 7</w:t>
      </w:r>
      <w:r>
        <w:rPr>
          <w:color w:val="000000"/>
          <w:shd w:val="clear" w:color="auto" w:fill="FFFFFF"/>
          <w:lang w:eastAsia="cs-CZ"/>
        </w:rPr>
        <w:t> </w:t>
      </w:r>
      <w:r w:rsidRPr="00C812EC">
        <w:rPr>
          <w:color w:val="000000"/>
          <w:shd w:val="clear" w:color="auto" w:fill="FFFFFF"/>
          <w:lang w:eastAsia="cs-CZ"/>
        </w:rPr>
        <w:t>výzkumných projektů podpořených Dánským fondem pro inovace.</w:t>
      </w:r>
    </w:p>
    <w:p w:rsidR="005A63D9" w:rsidRPr="00C812EC" w:rsidRDefault="005A63D9" w:rsidP="00C812EC">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C812EC">
        <w:rPr>
          <w:b/>
          <w:color w:val="000000"/>
          <w:shd w:val="clear" w:color="auto" w:fill="FFFFFF"/>
          <w:lang w:eastAsia="cs-CZ"/>
        </w:rPr>
        <w:t>Inovační síť pro biotechnologie – Biopeople</w:t>
      </w:r>
      <w:r w:rsidRPr="00C812EC">
        <w:rPr>
          <w:color w:val="000000"/>
          <w:shd w:val="clear" w:color="auto" w:fill="FFFFFF"/>
          <w:lang w:eastAsia="cs-CZ"/>
        </w:rPr>
        <w:t>, www.biopeople.dk</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21 účastníků (univerzity, podniky převážně z farmaceutického průmyslu a výrobců lékařské techniky, výzkumné ústavy, transferov</w:t>
      </w:r>
      <w:r>
        <w:rPr>
          <w:color w:val="000000"/>
          <w:shd w:val="clear" w:color="auto" w:fill="FFFFFF"/>
          <w:lang w:eastAsia="cs-CZ"/>
        </w:rPr>
        <w:t>é organizace biotechnologické a </w:t>
      </w:r>
      <w:r w:rsidRPr="00C812EC">
        <w:rPr>
          <w:color w:val="000000"/>
          <w:shd w:val="clear" w:color="auto" w:fill="FFFFFF"/>
          <w:lang w:eastAsia="cs-CZ"/>
        </w:rPr>
        <w:t>potravinářské společnosti). Síť řídí výbor složený z předsedy a 5 místopředsedů. V současné době řeší skupiny složené z účastníků sítě 7 výzkumných projektů podpořených Dánským fondem pro inovace.</w:t>
      </w:r>
    </w:p>
    <w:p w:rsidR="005A63D9" w:rsidRPr="00C812EC" w:rsidRDefault="005A63D9" w:rsidP="00C812E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812EC">
        <w:rPr>
          <w:b/>
          <w:color w:val="000000"/>
          <w:shd w:val="clear" w:color="auto" w:fill="FFFFFF"/>
          <w:lang w:eastAsia="cs-CZ"/>
        </w:rPr>
        <w:t>Inovační síť pro technologie životního prostředí</w:t>
      </w:r>
      <w:r w:rsidRPr="00C812EC">
        <w:rPr>
          <w:color w:val="000000"/>
          <w:shd w:val="clear" w:color="auto" w:fill="FFFFFF"/>
          <w:lang w:eastAsia="cs-CZ"/>
        </w:rPr>
        <w:t xml:space="preserve"> – Inno–mt, www.inno-mt.dk</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Tato inovační síť vznikla v prosinci 2010 a je zaměřena na problematiku technologií, produktů a služeb pro ochranu půdy, vody a ovzduší. Do sítě je zapojeno 164 členů (ústavy GTS, univerzity, orgány veřejné správy a podniky). V roce 2014 získala síť na období do roku 2018 finanční podporu od Ministerstva pro vysokoškolské vzdělávání a vědu ve výši 27,4 mil. DKK.</w:t>
      </w:r>
    </w:p>
    <w:p w:rsidR="005A63D9" w:rsidRPr="00C812EC" w:rsidRDefault="005A63D9" w:rsidP="0054494D">
      <w:pPr>
        <w:pStyle w:val="ListParagraph"/>
        <w:numPr>
          <w:ilvl w:val="0"/>
          <w:numId w:val="20"/>
        </w:numPr>
        <w:autoSpaceDE w:val="0"/>
        <w:autoSpaceDN w:val="0"/>
        <w:adjustRightInd w:val="0"/>
        <w:spacing w:after="144"/>
        <w:jc w:val="both"/>
        <w:rPr>
          <w:b/>
          <w:color w:val="000000"/>
          <w:shd w:val="clear" w:color="auto" w:fill="FFFFFF"/>
          <w:lang w:eastAsia="cs-CZ"/>
        </w:rPr>
      </w:pPr>
      <w:r w:rsidRPr="00C812EC">
        <w:rPr>
          <w:b/>
          <w:color w:val="000000"/>
          <w:shd w:val="clear" w:color="auto" w:fill="FFFFFF"/>
          <w:lang w:eastAsia="cs-CZ"/>
        </w:rPr>
        <w:t>Inovační síť pro biomasu</w:t>
      </w:r>
      <w:r w:rsidRPr="00C812EC">
        <w:rPr>
          <w:color w:val="000000"/>
          <w:shd w:val="clear" w:color="auto" w:fill="FFFFFF"/>
          <w:lang w:eastAsia="cs-CZ"/>
        </w:rPr>
        <w:t>, www.inbiom.dk</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Síť je zaměřena na přípravu a využití inovací ve výrobě, manipulacích a zpracování biomasy především pro energetické využití. Síť má 12 zakládajících členů</w:t>
      </w:r>
      <w:r>
        <w:rPr>
          <w:color w:val="000000"/>
          <w:shd w:val="clear" w:color="auto" w:fill="FFFFFF"/>
          <w:lang w:eastAsia="cs-CZ"/>
        </w:rPr>
        <w:t>.</w:t>
      </w:r>
      <w:r w:rsidRPr="00C812EC">
        <w:rPr>
          <w:color w:val="000000"/>
          <w:shd w:val="clear" w:color="auto" w:fill="FFFFFF"/>
          <w:lang w:eastAsia="cs-CZ"/>
        </w:rPr>
        <w:t xml:space="preserve"> V současné době má několik desítek členů, a to dánských i zahraničních. Jejími členy jsou i tři ústavy GTS.</w:t>
      </w:r>
    </w:p>
    <w:p w:rsidR="005A63D9" w:rsidRPr="00C812EC" w:rsidRDefault="005A63D9" w:rsidP="0054494D">
      <w:pPr>
        <w:pStyle w:val="ListParagraph"/>
        <w:numPr>
          <w:ilvl w:val="0"/>
          <w:numId w:val="20"/>
        </w:numPr>
        <w:autoSpaceDE w:val="0"/>
        <w:autoSpaceDN w:val="0"/>
        <w:adjustRightInd w:val="0"/>
        <w:spacing w:after="144"/>
        <w:jc w:val="both"/>
        <w:rPr>
          <w:color w:val="000000"/>
          <w:shd w:val="clear" w:color="auto" w:fill="FFFFFF"/>
          <w:lang w:eastAsia="cs-CZ"/>
        </w:rPr>
      </w:pPr>
      <w:r w:rsidRPr="00C812EC">
        <w:rPr>
          <w:b/>
          <w:color w:val="000000"/>
          <w:shd w:val="clear" w:color="auto" w:fill="FFFFFF"/>
          <w:lang w:eastAsia="cs-CZ"/>
        </w:rPr>
        <w:t>Inovační síť pro obnovitelné energie – VE-Net</w:t>
      </w:r>
      <w:r w:rsidRPr="00C812EC">
        <w:rPr>
          <w:color w:val="000000"/>
          <w:shd w:val="clear" w:color="auto" w:fill="FFFFFF"/>
          <w:lang w:eastAsia="cs-CZ"/>
        </w:rPr>
        <w:t>, www.ve-net.dk; www.ve-net.com</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Síť je velice rozsáhlá, několik desítek členů je rozděleno do 8 skupin: Větrná energie; Solární energie; Biomasa; Vodní energie klasická a energie mořského příboje; Geotermální energie; Ekologické stavby; Životní prostředí – čistá řešení.</w:t>
      </w:r>
    </w:p>
    <w:p w:rsidR="005A63D9" w:rsidRPr="00C812EC" w:rsidRDefault="005A63D9" w:rsidP="0054494D">
      <w:pPr>
        <w:pStyle w:val="ListParagraph"/>
        <w:numPr>
          <w:ilvl w:val="0"/>
          <w:numId w:val="20"/>
        </w:numPr>
        <w:autoSpaceDE w:val="0"/>
        <w:autoSpaceDN w:val="0"/>
        <w:adjustRightInd w:val="0"/>
        <w:spacing w:after="144"/>
        <w:jc w:val="both"/>
        <w:rPr>
          <w:color w:val="000000"/>
          <w:shd w:val="clear" w:color="auto" w:fill="FFFFFF"/>
          <w:lang w:eastAsia="cs-CZ"/>
        </w:rPr>
      </w:pPr>
      <w:r w:rsidRPr="00C812EC">
        <w:rPr>
          <w:b/>
          <w:color w:val="000000"/>
          <w:shd w:val="clear" w:color="auto" w:fill="FFFFFF"/>
          <w:lang w:eastAsia="cs-CZ"/>
        </w:rPr>
        <w:t>Inovační síť národních partnerů pro vodu v městských prostředích</w:t>
      </w:r>
      <w:r w:rsidRPr="00C812EC">
        <w:rPr>
          <w:color w:val="000000"/>
          <w:shd w:val="clear" w:color="auto" w:fill="FFFFFF"/>
          <w:lang w:eastAsia="cs-CZ"/>
        </w:rPr>
        <w:t>, www.vandiber.dk</w:t>
      </w:r>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Sít navazuje na strategické partnerství obdobného názvu, které působilo v období 2010–2014. Členy sítě jsou dva instituty GTS, vládní agentury, univerzity podniky. Síť je zaměřena na problematiku zásobování a hospodaření s vodou v městských aglomeracích v podmínkách změn klimatu – dlouhá suchá období, přívalové deště. Síť přináší konkrétní návrhy rekonstrukcí a zcela nových řešení.</w:t>
      </w:r>
    </w:p>
    <w:p w:rsidR="005A63D9" w:rsidRPr="00C812EC" w:rsidRDefault="005A63D9" w:rsidP="00C812EC">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36" w:name="_Toc440897399"/>
      <w:bookmarkStart w:id="37" w:name="_Toc441760801"/>
      <w:bookmarkStart w:id="38" w:name="_Toc441849464"/>
      <w:r>
        <w:rPr>
          <w:rFonts w:cs="Arial"/>
          <w:bCs/>
          <w:iCs/>
          <w:color w:val="000000"/>
          <w:shd w:val="clear" w:color="auto" w:fill="FFFFFF"/>
          <w:lang/>
        </w:rPr>
        <w:t xml:space="preserve">1.5. </w:t>
      </w:r>
      <w:r w:rsidRPr="00C812EC">
        <w:rPr>
          <w:rFonts w:cs="Arial"/>
          <w:bCs/>
          <w:iCs/>
          <w:color w:val="000000"/>
          <w:shd w:val="clear" w:color="auto" w:fill="FFFFFF"/>
          <w:lang/>
        </w:rPr>
        <w:t>Financování VaVaI z veřejných prostředků</w:t>
      </w:r>
      <w:bookmarkEnd w:id="36"/>
      <w:bookmarkEnd w:id="37"/>
      <w:bookmarkEnd w:id="38"/>
    </w:p>
    <w:p w:rsidR="005A63D9" w:rsidRPr="00C812EC" w:rsidRDefault="005A63D9" w:rsidP="00C812EC">
      <w:pPr>
        <w:widowControl w:val="0"/>
        <w:adjustRightInd w:val="0"/>
        <w:spacing w:afterLines="0"/>
        <w:ind w:firstLine="539"/>
        <w:contextualSpacing w:val="0"/>
        <w:jc w:val="both"/>
        <w:textAlignment w:val="baseline"/>
        <w:rPr>
          <w:color w:val="000000"/>
          <w:shd w:val="clear" w:color="auto" w:fill="FFFFFF"/>
          <w:lang w:eastAsia="cs-CZ"/>
        </w:rPr>
      </w:pPr>
      <w:r w:rsidRPr="00C812EC">
        <w:rPr>
          <w:color w:val="000000"/>
          <w:shd w:val="clear" w:color="auto" w:fill="FFFFFF"/>
          <w:lang w:eastAsia="cs-CZ"/>
        </w:rPr>
        <w:t>Přesnější data o rozdělování veřejných financí na podporu VaVaI nelze získat. Důvodem jsou významné změny v dánském systému podpory VaVaI. Informace vycházejí ze státního rozpočtu na rok 2016 a o dodatečných převodech pro VaVaI z rozpočtové rezervy, které byly schváleny Dánským parlamentem v listopadu 2015. Viz tabulka Tab. č. 2.</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ED31DB" w:rsidRDefault="005A63D9" w:rsidP="00ED31DB">
      <w:pPr>
        <w:widowControl w:val="0"/>
        <w:adjustRightInd w:val="0"/>
        <w:spacing w:afterLines="0"/>
        <w:contextualSpacing w:val="0"/>
        <w:jc w:val="both"/>
        <w:textAlignment w:val="baseline"/>
        <w:rPr>
          <w:color w:val="000000"/>
          <w:shd w:val="clear" w:color="auto" w:fill="FFFFFF"/>
          <w:lang w:eastAsia="cs-CZ"/>
        </w:rPr>
      </w:pPr>
      <w:r w:rsidRPr="00C812EC">
        <w:rPr>
          <w:b/>
          <w:color w:val="000000"/>
          <w:shd w:val="clear" w:color="auto" w:fill="FFFFFF"/>
          <w:lang w:eastAsia="cs-CZ"/>
        </w:rPr>
        <w:t>Tab. č. 2</w:t>
      </w:r>
      <w:r w:rsidRPr="00ED31DB">
        <w:rPr>
          <w:b/>
          <w:color w:val="000000"/>
          <w:shd w:val="clear" w:color="auto" w:fill="FFFFFF"/>
          <w:lang w:eastAsia="cs-CZ"/>
        </w:rPr>
        <w:t xml:space="preserve">. </w:t>
      </w:r>
      <w:r w:rsidRPr="00ED31DB">
        <w:rPr>
          <w:color w:val="000000"/>
          <w:shd w:val="clear" w:color="auto" w:fill="FFFFFF"/>
          <w:lang w:eastAsia="cs-CZ"/>
        </w:rPr>
        <w:t>Rozdělení státních finančních prostředků na jednotlivé oblasti VaVaI v roce 2016 (mil. DKK)</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060"/>
        <w:gridCol w:w="1426"/>
        <w:gridCol w:w="903"/>
        <w:gridCol w:w="1631"/>
        <w:gridCol w:w="1267"/>
      </w:tblGrid>
      <w:tr w:rsidR="005A63D9" w:rsidRPr="00E27ED8" w:rsidTr="00510C04">
        <w:tc>
          <w:tcPr>
            <w:tcW w:w="2186" w:type="pct"/>
            <w:vMerge w:val="restart"/>
            <w:tcBorders>
              <w:top w:val="single" w:sz="12" w:space="0" w:color="auto"/>
              <w:right w:val="single" w:sz="12" w:space="0" w:color="auto"/>
            </w:tcBorders>
            <w:shd w:val="clear" w:color="auto" w:fill="BFBFBF"/>
          </w:tcPr>
          <w:p w:rsidR="005A63D9" w:rsidRPr="00E27ED8" w:rsidRDefault="005A63D9" w:rsidP="0008405A">
            <w:pPr>
              <w:keepNext/>
              <w:spacing w:after="144"/>
              <w:jc w:val="both"/>
              <w:rPr>
                <w:sz w:val="20"/>
                <w:szCs w:val="20"/>
              </w:rPr>
            </w:pPr>
          </w:p>
        </w:tc>
        <w:tc>
          <w:tcPr>
            <w:tcW w:w="1254"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734860">
            <w:pPr>
              <w:keepNext/>
              <w:spacing w:after="144"/>
              <w:jc w:val="center"/>
              <w:rPr>
                <w:b/>
                <w:sz w:val="18"/>
                <w:szCs w:val="20"/>
              </w:rPr>
            </w:pPr>
            <w:r w:rsidRPr="00E27ED8">
              <w:rPr>
                <w:b/>
                <w:sz w:val="18"/>
                <w:szCs w:val="20"/>
              </w:rPr>
              <w:t>Státní rozpočet 2016</w:t>
            </w:r>
          </w:p>
        </w:tc>
        <w:tc>
          <w:tcPr>
            <w:tcW w:w="1560" w:type="pct"/>
            <w:gridSpan w:val="2"/>
            <w:tcBorders>
              <w:top w:val="single" w:sz="12" w:space="0" w:color="auto"/>
              <w:left w:val="single" w:sz="12" w:space="0" w:color="auto"/>
            </w:tcBorders>
            <w:shd w:val="clear" w:color="auto" w:fill="BFBFBF"/>
            <w:vAlign w:val="center"/>
          </w:tcPr>
          <w:p w:rsidR="005A63D9" w:rsidRPr="00E27ED8" w:rsidRDefault="005A63D9" w:rsidP="00734860">
            <w:pPr>
              <w:keepNext/>
              <w:spacing w:after="144"/>
              <w:jc w:val="center"/>
              <w:rPr>
                <w:b/>
                <w:sz w:val="18"/>
                <w:szCs w:val="20"/>
              </w:rPr>
            </w:pPr>
            <w:r w:rsidRPr="00E27ED8">
              <w:rPr>
                <w:b/>
                <w:sz w:val="18"/>
                <w:szCs w:val="20"/>
              </w:rPr>
              <w:t>Rozdělení rozpočtové rezervy</w:t>
            </w:r>
          </w:p>
        </w:tc>
      </w:tr>
      <w:tr w:rsidR="005A63D9" w:rsidRPr="00E27ED8" w:rsidTr="00510C04">
        <w:tc>
          <w:tcPr>
            <w:tcW w:w="2186" w:type="pct"/>
            <w:vMerge/>
            <w:tcBorders>
              <w:right w:val="single" w:sz="12" w:space="0" w:color="auto"/>
            </w:tcBorders>
            <w:shd w:val="clear" w:color="auto" w:fill="BFBFBF"/>
            <w:vAlign w:val="center"/>
          </w:tcPr>
          <w:p w:rsidR="005A63D9" w:rsidRPr="00E27ED8" w:rsidRDefault="005A63D9" w:rsidP="0008405A">
            <w:pPr>
              <w:keepNext/>
              <w:spacing w:after="144"/>
              <w:jc w:val="both"/>
              <w:rPr>
                <w:b/>
                <w:sz w:val="18"/>
                <w:szCs w:val="18"/>
              </w:rPr>
            </w:pPr>
          </w:p>
        </w:tc>
        <w:tc>
          <w:tcPr>
            <w:tcW w:w="768" w:type="pct"/>
            <w:tcBorders>
              <w:left w:val="single" w:sz="12" w:space="0" w:color="auto"/>
            </w:tcBorders>
            <w:shd w:val="clear" w:color="auto" w:fill="BFBFBF"/>
            <w:vAlign w:val="center"/>
          </w:tcPr>
          <w:p w:rsidR="005A63D9" w:rsidRPr="00E27ED8" w:rsidRDefault="005A63D9" w:rsidP="00734860">
            <w:pPr>
              <w:keepNext/>
              <w:spacing w:after="144"/>
              <w:jc w:val="center"/>
              <w:rPr>
                <w:sz w:val="18"/>
                <w:szCs w:val="18"/>
              </w:rPr>
            </w:pPr>
            <w:r w:rsidRPr="00E27ED8">
              <w:rPr>
                <w:sz w:val="18"/>
                <w:szCs w:val="18"/>
              </w:rPr>
              <w:t>(mil. DKK)</w:t>
            </w:r>
          </w:p>
        </w:tc>
        <w:tc>
          <w:tcPr>
            <w:tcW w:w="486" w:type="pct"/>
            <w:tcBorders>
              <w:right w:val="single" w:sz="12" w:space="0" w:color="auto"/>
            </w:tcBorders>
            <w:shd w:val="clear" w:color="auto" w:fill="BFBFBF"/>
            <w:vAlign w:val="center"/>
          </w:tcPr>
          <w:p w:rsidR="005A63D9" w:rsidRPr="00E27ED8" w:rsidRDefault="005A63D9" w:rsidP="00734860">
            <w:pPr>
              <w:keepNext/>
              <w:spacing w:after="144"/>
              <w:jc w:val="center"/>
              <w:rPr>
                <w:sz w:val="18"/>
                <w:szCs w:val="18"/>
              </w:rPr>
            </w:pPr>
            <w:r w:rsidRPr="00E27ED8">
              <w:rPr>
                <w:sz w:val="18"/>
                <w:szCs w:val="18"/>
              </w:rPr>
              <w:t>(%)</w:t>
            </w:r>
          </w:p>
        </w:tc>
        <w:tc>
          <w:tcPr>
            <w:tcW w:w="878" w:type="pct"/>
            <w:tcBorders>
              <w:left w:val="single" w:sz="12" w:space="0" w:color="auto"/>
            </w:tcBorders>
            <w:shd w:val="clear" w:color="auto" w:fill="BFBFBF"/>
            <w:vAlign w:val="center"/>
          </w:tcPr>
          <w:p w:rsidR="005A63D9" w:rsidRPr="00E27ED8" w:rsidRDefault="005A63D9" w:rsidP="00734860">
            <w:pPr>
              <w:keepNext/>
              <w:spacing w:after="144"/>
              <w:jc w:val="center"/>
              <w:rPr>
                <w:sz w:val="18"/>
                <w:szCs w:val="18"/>
              </w:rPr>
            </w:pPr>
            <w:r w:rsidRPr="00E27ED8">
              <w:rPr>
                <w:sz w:val="18"/>
                <w:szCs w:val="18"/>
              </w:rPr>
              <w:t>(mil. DKK)</w:t>
            </w:r>
          </w:p>
        </w:tc>
        <w:tc>
          <w:tcPr>
            <w:tcW w:w="682" w:type="pct"/>
            <w:shd w:val="clear" w:color="auto" w:fill="BFBFBF"/>
            <w:vAlign w:val="center"/>
          </w:tcPr>
          <w:p w:rsidR="005A63D9" w:rsidRPr="00E27ED8" w:rsidRDefault="005A63D9" w:rsidP="00734860">
            <w:pPr>
              <w:keepNext/>
              <w:spacing w:after="144"/>
              <w:jc w:val="center"/>
              <w:rPr>
                <w:sz w:val="18"/>
                <w:szCs w:val="18"/>
              </w:rPr>
            </w:pPr>
            <w:r w:rsidRPr="00E27ED8">
              <w:rPr>
                <w:sz w:val="18"/>
                <w:szCs w:val="18"/>
              </w:rPr>
              <w:t>(%)</w:t>
            </w:r>
          </w:p>
        </w:tc>
      </w:tr>
      <w:tr w:rsidR="005A63D9" w:rsidRPr="00E27ED8" w:rsidTr="00510C04">
        <w:tc>
          <w:tcPr>
            <w:tcW w:w="2186" w:type="pct"/>
            <w:tcBorders>
              <w:right w:val="single" w:sz="12" w:space="0" w:color="auto"/>
            </w:tcBorders>
            <w:vAlign w:val="center"/>
          </w:tcPr>
          <w:p w:rsidR="005A63D9" w:rsidRPr="00E27ED8" w:rsidRDefault="005A63D9" w:rsidP="0008405A">
            <w:pPr>
              <w:spacing w:after="144"/>
              <w:jc w:val="both"/>
              <w:rPr>
                <w:b/>
                <w:sz w:val="18"/>
                <w:szCs w:val="18"/>
              </w:rPr>
            </w:pPr>
            <w:r w:rsidRPr="00E27ED8">
              <w:rPr>
                <w:b/>
                <w:sz w:val="18"/>
                <w:szCs w:val="18"/>
              </w:rPr>
              <w:t>Dánský inovační fond</w:t>
            </w:r>
            <w:r w:rsidRPr="00E27ED8">
              <w:rPr>
                <w:rStyle w:val="FootnoteReference"/>
                <w:rFonts w:cs="Arial"/>
                <w:b/>
                <w:sz w:val="18"/>
                <w:szCs w:val="18"/>
              </w:rPr>
              <w:footnoteReference w:id="8"/>
            </w:r>
          </w:p>
        </w:tc>
        <w:tc>
          <w:tcPr>
            <w:tcW w:w="768" w:type="pct"/>
            <w:tcBorders>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924</w:t>
            </w:r>
          </w:p>
        </w:tc>
        <w:tc>
          <w:tcPr>
            <w:tcW w:w="486" w:type="pct"/>
            <w:tcBorders>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45,1</w:t>
            </w:r>
          </w:p>
        </w:tc>
        <w:tc>
          <w:tcPr>
            <w:tcW w:w="878" w:type="pct"/>
            <w:tcBorders>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298</w:t>
            </w:r>
          </w:p>
        </w:tc>
        <w:tc>
          <w:tcPr>
            <w:tcW w:w="682" w:type="pct"/>
            <w:vAlign w:val="center"/>
          </w:tcPr>
          <w:p w:rsidR="005A63D9" w:rsidRPr="00E27ED8" w:rsidRDefault="005A63D9" w:rsidP="00734860">
            <w:pPr>
              <w:spacing w:after="144"/>
              <w:jc w:val="center"/>
              <w:rPr>
                <w:b/>
                <w:sz w:val="20"/>
                <w:szCs w:val="20"/>
              </w:rPr>
            </w:pPr>
            <w:r w:rsidRPr="00E27ED8">
              <w:rPr>
                <w:b/>
                <w:sz w:val="20"/>
                <w:szCs w:val="20"/>
              </w:rPr>
              <w:t>44,4</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Potravinářský výzkum</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69</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3,4</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161</w:t>
            </w:r>
          </w:p>
        </w:tc>
        <w:tc>
          <w:tcPr>
            <w:tcW w:w="682" w:type="pct"/>
            <w:vAlign w:val="center"/>
          </w:tcPr>
          <w:p w:rsidR="005A63D9" w:rsidRPr="00E27ED8" w:rsidRDefault="005A63D9" w:rsidP="00734860">
            <w:pPr>
              <w:spacing w:after="144"/>
              <w:jc w:val="center"/>
              <w:rPr>
                <w:sz w:val="20"/>
                <w:szCs w:val="20"/>
              </w:rPr>
            </w:pPr>
            <w:r w:rsidRPr="00E27ED8">
              <w:rPr>
                <w:sz w:val="20"/>
                <w:szCs w:val="20"/>
              </w:rPr>
              <w:t>24,0</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Zdraví a klinický výzkum</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94</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4,6</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c>
          <w:tcPr>
            <w:tcW w:w="682" w:type="pct"/>
            <w:vAlign w:val="center"/>
          </w:tcPr>
          <w:p w:rsidR="005A63D9" w:rsidRPr="00E27ED8" w:rsidRDefault="005A63D9" w:rsidP="00734860">
            <w:pPr>
              <w:spacing w:after="144"/>
              <w:jc w:val="center"/>
              <w:rPr>
                <w:sz w:val="20"/>
                <w:szCs w:val="20"/>
              </w:rPr>
            </w:pPr>
            <w:r w:rsidRPr="00E27ED8">
              <w:rPr>
                <w:sz w:val="20"/>
                <w:szCs w:val="20"/>
              </w:rPr>
              <w:t>2,2</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Výzkum konkurenceschopných technologií pro životní prostředí</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25</w:t>
            </w:r>
          </w:p>
        </w:tc>
        <w:tc>
          <w:tcPr>
            <w:tcW w:w="682" w:type="pct"/>
            <w:vAlign w:val="center"/>
          </w:tcPr>
          <w:p w:rsidR="005A63D9" w:rsidRPr="00E27ED8" w:rsidRDefault="005A63D9" w:rsidP="00734860">
            <w:pPr>
              <w:spacing w:after="144"/>
              <w:jc w:val="center"/>
              <w:rPr>
                <w:sz w:val="20"/>
                <w:szCs w:val="20"/>
              </w:rPr>
            </w:pPr>
            <w:r w:rsidRPr="00E27ED8">
              <w:rPr>
                <w:sz w:val="20"/>
                <w:szCs w:val="20"/>
              </w:rPr>
              <w:t>3,7</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Výzkum technologií pro strategický růst</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39</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1,9</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52</w:t>
            </w:r>
          </w:p>
        </w:tc>
        <w:tc>
          <w:tcPr>
            <w:tcW w:w="682" w:type="pct"/>
            <w:vAlign w:val="center"/>
          </w:tcPr>
          <w:p w:rsidR="005A63D9" w:rsidRPr="00E27ED8" w:rsidRDefault="005A63D9" w:rsidP="00734860">
            <w:pPr>
              <w:spacing w:after="144"/>
              <w:jc w:val="center"/>
              <w:rPr>
                <w:sz w:val="20"/>
                <w:szCs w:val="20"/>
              </w:rPr>
            </w:pPr>
            <w:r w:rsidRPr="00E27ED8">
              <w:rPr>
                <w:sz w:val="20"/>
                <w:szCs w:val="20"/>
              </w:rPr>
              <w:t>7,5</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Dopravní výzkum</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20</w:t>
            </w:r>
          </w:p>
        </w:tc>
        <w:tc>
          <w:tcPr>
            <w:tcW w:w="682" w:type="pct"/>
            <w:vAlign w:val="center"/>
          </w:tcPr>
          <w:p w:rsidR="005A63D9" w:rsidRPr="00E27ED8" w:rsidRDefault="005A63D9" w:rsidP="00734860">
            <w:pPr>
              <w:spacing w:after="144"/>
              <w:jc w:val="center"/>
              <w:rPr>
                <w:sz w:val="20"/>
                <w:szCs w:val="20"/>
              </w:rPr>
            </w:pPr>
            <w:r w:rsidRPr="00E27ED8">
              <w:rPr>
                <w:sz w:val="20"/>
                <w:szCs w:val="20"/>
              </w:rPr>
              <w:t>3,0</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Výzkum vesmíru</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c>
          <w:tcPr>
            <w:tcW w:w="682" w:type="pct"/>
            <w:vAlign w:val="center"/>
          </w:tcPr>
          <w:p w:rsidR="005A63D9" w:rsidRPr="00E27ED8" w:rsidRDefault="005A63D9" w:rsidP="00734860">
            <w:pPr>
              <w:spacing w:after="144"/>
              <w:jc w:val="center"/>
              <w:rPr>
                <w:sz w:val="20"/>
                <w:szCs w:val="20"/>
              </w:rPr>
            </w:pPr>
            <w:r w:rsidRPr="00E27ED8">
              <w:rPr>
                <w:sz w:val="20"/>
                <w:szCs w:val="20"/>
              </w:rPr>
              <w:t>2,2</w:t>
            </w:r>
          </w:p>
        </w:tc>
      </w:tr>
      <w:tr w:rsidR="005A63D9" w:rsidRPr="00E27ED8" w:rsidTr="00510C04">
        <w:tc>
          <w:tcPr>
            <w:tcW w:w="2186" w:type="pct"/>
            <w:tcBorders>
              <w:bottom w:val="single" w:sz="12" w:space="0" w:color="auto"/>
              <w:right w:val="single" w:sz="12" w:space="0" w:color="auto"/>
            </w:tcBorders>
            <w:vAlign w:val="center"/>
          </w:tcPr>
          <w:p w:rsidR="005A63D9" w:rsidRPr="00E27ED8" w:rsidRDefault="005A63D9">
            <w:pPr>
              <w:pStyle w:val="ListParagraph"/>
              <w:numPr>
                <w:ilvl w:val="0"/>
                <w:numId w:val="7"/>
              </w:numPr>
              <w:spacing w:afterLines="0"/>
              <w:ind w:left="284" w:hanging="284"/>
              <w:rPr>
                <w:sz w:val="18"/>
                <w:szCs w:val="18"/>
              </w:rPr>
            </w:pPr>
            <w:r w:rsidRPr="00E27ED8">
              <w:rPr>
                <w:sz w:val="18"/>
                <w:szCs w:val="18"/>
              </w:rPr>
              <w:t>Výzkum turismu</w:t>
            </w:r>
          </w:p>
        </w:tc>
        <w:tc>
          <w:tcPr>
            <w:tcW w:w="76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486" w:type="pct"/>
            <w:tcBorders>
              <w:bottom w:val="single" w:sz="12" w:space="0" w:color="auto"/>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87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10</w:t>
            </w:r>
          </w:p>
        </w:tc>
        <w:tc>
          <w:tcPr>
            <w:tcW w:w="682" w:type="pct"/>
            <w:tcBorders>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r>
      <w:tr w:rsidR="005A63D9" w:rsidRPr="00E27ED8" w:rsidTr="00510C04">
        <w:tc>
          <w:tcPr>
            <w:tcW w:w="2186" w:type="pct"/>
            <w:tcBorders>
              <w:top w:val="single" w:sz="12" w:space="0" w:color="auto"/>
              <w:right w:val="single" w:sz="12" w:space="0" w:color="auto"/>
            </w:tcBorders>
            <w:vAlign w:val="center"/>
          </w:tcPr>
          <w:p w:rsidR="005A63D9" w:rsidRPr="00E27ED8" w:rsidRDefault="005A63D9">
            <w:pPr>
              <w:spacing w:after="144"/>
              <w:rPr>
                <w:b/>
                <w:sz w:val="18"/>
                <w:szCs w:val="18"/>
              </w:rPr>
            </w:pPr>
            <w:r w:rsidRPr="00E27ED8">
              <w:rPr>
                <w:b/>
                <w:sz w:val="18"/>
                <w:szCs w:val="18"/>
              </w:rPr>
              <w:t>Programy vývoje a demonstrací</w:t>
            </w:r>
          </w:p>
        </w:tc>
        <w:tc>
          <w:tcPr>
            <w:tcW w:w="76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263</w:t>
            </w:r>
          </w:p>
        </w:tc>
        <w:tc>
          <w:tcPr>
            <w:tcW w:w="486" w:type="pct"/>
            <w:tcBorders>
              <w:top w:val="single" w:sz="12" w:space="0" w:color="auto"/>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11,5</w:t>
            </w:r>
          </w:p>
        </w:tc>
        <w:tc>
          <w:tcPr>
            <w:tcW w:w="87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197</w:t>
            </w:r>
          </w:p>
        </w:tc>
        <w:tc>
          <w:tcPr>
            <w:tcW w:w="682" w:type="pct"/>
            <w:tcBorders>
              <w:top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29,4</w:t>
            </w:r>
          </w:p>
        </w:tc>
      </w:tr>
      <w:tr w:rsidR="005A63D9" w:rsidRPr="00E27ED8" w:rsidTr="00734860">
        <w:trPr>
          <w:trHeight w:val="389"/>
        </w:trPr>
        <w:tc>
          <w:tcPr>
            <w:tcW w:w="2186" w:type="pct"/>
            <w:tcBorders>
              <w:right w:val="single" w:sz="12" w:space="0" w:color="auto"/>
            </w:tcBorders>
            <w:vAlign w:val="center"/>
          </w:tcPr>
          <w:p w:rsidR="005A63D9" w:rsidRPr="00E27ED8" w:rsidRDefault="005A63D9">
            <w:pPr>
              <w:pStyle w:val="ListParagraph"/>
              <w:numPr>
                <w:ilvl w:val="0"/>
                <w:numId w:val="8"/>
              </w:numPr>
              <w:spacing w:afterLines="0"/>
              <w:ind w:left="284" w:hanging="284"/>
              <w:rPr>
                <w:sz w:val="18"/>
                <w:szCs w:val="18"/>
              </w:rPr>
            </w:pPr>
            <w:r w:rsidRPr="00E27ED8">
              <w:rPr>
                <w:sz w:val="18"/>
                <w:szCs w:val="18"/>
              </w:rPr>
              <w:t>Programy vývoje a demonstrací energetických technologií</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50</w:t>
            </w:r>
          </w:p>
        </w:tc>
        <w:tc>
          <w:tcPr>
            <w:tcW w:w="682" w:type="pct"/>
            <w:vAlign w:val="center"/>
          </w:tcPr>
          <w:p w:rsidR="005A63D9" w:rsidRPr="00E27ED8" w:rsidRDefault="005A63D9" w:rsidP="00734860">
            <w:pPr>
              <w:spacing w:after="144"/>
              <w:jc w:val="center"/>
              <w:rPr>
                <w:sz w:val="20"/>
                <w:szCs w:val="20"/>
              </w:rPr>
            </w:pPr>
            <w:r w:rsidRPr="00E27ED8">
              <w:rPr>
                <w:sz w:val="20"/>
                <w:szCs w:val="20"/>
              </w:rPr>
              <w:t>7,5</w:t>
            </w:r>
          </w:p>
        </w:tc>
      </w:tr>
      <w:tr w:rsidR="005A63D9" w:rsidRPr="00E27ED8" w:rsidTr="00734860">
        <w:trPr>
          <w:trHeight w:val="299"/>
        </w:trPr>
        <w:tc>
          <w:tcPr>
            <w:tcW w:w="2186" w:type="pct"/>
            <w:tcBorders>
              <w:right w:val="single" w:sz="12" w:space="0" w:color="auto"/>
            </w:tcBorders>
            <w:vAlign w:val="center"/>
          </w:tcPr>
          <w:p w:rsidR="005A63D9" w:rsidRPr="00E27ED8" w:rsidRDefault="005A63D9">
            <w:pPr>
              <w:pStyle w:val="ListParagraph"/>
              <w:numPr>
                <w:ilvl w:val="0"/>
                <w:numId w:val="8"/>
              </w:numPr>
              <w:spacing w:afterLines="0"/>
              <w:ind w:left="284" w:hanging="284"/>
              <w:rPr>
                <w:sz w:val="18"/>
                <w:szCs w:val="18"/>
              </w:rPr>
            </w:pPr>
            <w:r w:rsidRPr="00E27ED8">
              <w:rPr>
                <w:sz w:val="18"/>
                <w:szCs w:val="18"/>
              </w:rPr>
              <w:t>Programy vývoje a demonstrací technologií pro životní prostředí</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50</w:t>
            </w:r>
          </w:p>
        </w:tc>
        <w:tc>
          <w:tcPr>
            <w:tcW w:w="682" w:type="pct"/>
            <w:vAlign w:val="center"/>
          </w:tcPr>
          <w:p w:rsidR="005A63D9" w:rsidRPr="00E27ED8" w:rsidRDefault="005A63D9" w:rsidP="00734860">
            <w:pPr>
              <w:spacing w:after="144"/>
              <w:jc w:val="center"/>
              <w:rPr>
                <w:sz w:val="20"/>
                <w:szCs w:val="20"/>
              </w:rPr>
            </w:pPr>
            <w:r w:rsidRPr="00E27ED8">
              <w:rPr>
                <w:sz w:val="20"/>
                <w:szCs w:val="20"/>
              </w:rPr>
              <w:t>7,5</w:t>
            </w:r>
          </w:p>
        </w:tc>
      </w:tr>
      <w:tr w:rsidR="005A63D9" w:rsidRPr="00E27ED8" w:rsidTr="00510C04">
        <w:tc>
          <w:tcPr>
            <w:tcW w:w="2186" w:type="pct"/>
            <w:tcBorders>
              <w:bottom w:val="single" w:sz="12" w:space="0" w:color="auto"/>
              <w:right w:val="single" w:sz="12" w:space="0" w:color="auto"/>
            </w:tcBorders>
            <w:vAlign w:val="center"/>
          </w:tcPr>
          <w:p w:rsidR="005A63D9" w:rsidRPr="00E27ED8" w:rsidRDefault="005A63D9">
            <w:pPr>
              <w:pStyle w:val="ListParagraph"/>
              <w:numPr>
                <w:ilvl w:val="0"/>
                <w:numId w:val="8"/>
              </w:numPr>
              <w:spacing w:afterLines="0"/>
              <w:ind w:left="284" w:hanging="284"/>
              <w:rPr>
                <w:sz w:val="18"/>
                <w:szCs w:val="18"/>
              </w:rPr>
            </w:pPr>
            <w:r w:rsidRPr="00E27ED8">
              <w:rPr>
                <w:sz w:val="18"/>
                <w:szCs w:val="18"/>
              </w:rPr>
              <w:t>Programy vývoje a demonstrací green technologií</w:t>
            </w:r>
          </w:p>
        </w:tc>
        <w:tc>
          <w:tcPr>
            <w:tcW w:w="76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180</w:t>
            </w:r>
          </w:p>
        </w:tc>
        <w:tc>
          <w:tcPr>
            <w:tcW w:w="486" w:type="pct"/>
            <w:tcBorders>
              <w:bottom w:val="single" w:sz="12" w:space="0" w:color="auto"/>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8,9</w:t>
            </w:r>
          </w:p>
        </w:tc>
        <w:tc>
          <w:tcPr>
            <w:tcW w:w="87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20</w:t>
            </w:r>
          </w:p>
        </w:tc>
        <w:tc>
          <w:tcPr>
            <w:tcW w:w="682" w:type="pct"/>
            <w:tcBorders>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3,0</w:t>
            </w:r>
          </w:p>
        </w:tc>
      </w:tr>
      <w:tr w:rsidR="005A63D9" w:rsidRPr="00E27ED8" w:rsidTr="00510C04">
        <w:tc>
          <w:tcPr>
            <w:tcW w:w="2186" w:type="pct"/>
            <w:tcBorders>
              <w:top w:val="single" w:sz="12" w:space="0" w:color="auto"/>
              <w:right w:val="single" w:sz="12" w:space="0" w:color="auto"/>
            </w:tcBorders>
            <w:vAlign w:val="center"/>
          </w:tcPr>
          <w:p w:rsidR="005A63D9" w:rsidRPr="00E27ED8" w:rsidRDefault="005A63D9">
            <w:pPr>
              <w:spacing w:after="144"/>
              <w:rPr>
                <w:b/>
                <w:sz w:val="18"/>
                <w:szCs w:val="18"/>
              </w:rPr>
            </w:pPr>
            <w:r w:rsidRPr="00E27ED8">
              <w:rPr>
                <w:b/>
                <w:sz w:val="18"/>
                <w:szCs w:val="18"/>
              </w:rPr>
              <w:t>Podnikání a rozvoj trhů</w:t>
            </w:r>
          </w:p>
        </w:tc>
        <w:tc>
          <w:tcPr>
            <w:tcW w:w="76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30</w:t>
            </w:r>
          </w:p>
        </w:tc>
        <w:tc>
          <w:tcPr>
            <w:tcW w:w="486" w:type="pct"/>
            <w:tcBorders>
              <w:top w:val="single" w:sz="12" w:space="0" w:color="auto"/>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1,5</w:t>
            </w:r>
          </w:p>
        </w:tc>
        <w:tc>
          <w:tcPr>
            <w:tcW w:w="87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49</w:t>
            </w:r>
          </w:p>
        </w:tc>
        <w:tc>
          <w:tcPr>
            <w:tcW w:w="682" w:type="pct"/>
            <w:tcBorders>
              <w:top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7,3</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9"/>
              </w:numPr>
              <w:spacing w:afterLines="0"/>
              <w:ind w:left="284" w:hanging="284"/>
              <w:rPr>
                <w:sz w:val="18"/>
                <w:szCs w:val="18"/>
              </w:rPr>
            </w:pPr>
            <w:r w:rsidRPr="00E27ED8">
              <w:rPr>
                <w:sz w:val="18"/>
                <w:szCs w:val="18"/>
              </w:rPr>
              <w:t>Dánský fond pro podnikání</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21</w:t>
            </w:r>
          </w:p>
        </w:tc>
        <w:tc>
          <w:tcPr>
            <w:tcW w:w="682" w:type="pct"/>
            <w:vAlign w:val="center"/>
          </w:tcPr>
          <w:p w:rsidR="005A63D9" w:rsidRPr="00E27ED8" w:rsidRDefault="005A63D9" w:rsidP="00734860">
            <w:pPr>
              <w:spacing w:after="144"/>
              <w:jc w:val="center"/>
              <w:rPr>
                <w:sz w:val="20"/>
                <w:szCs w:val="20"/>
              </w:rPr>
            </w:pPr>
            <w:r w:rsidRPr="00E27ED8">
              <w:rPr>
                <w:sz w:val="20"/>
                <w:szCs w:val="20"/>
              </w:rPr>
              <w:t>3,1</w:t>
            </w:r>
          </w:p>
        </w:tc>
      </w:tr>
      <w:tr w:rsidR="005A63D9" w:rsidRPr="00E27ED8" w:rsidTr="00510C04">
        <w:tc>
          <w:tcPr>
            <w:tcW w:w="2186" w:type="pct"/>
            <w:tcBorders>
              <w:bottom w:val="single" w:sz="12" w:space="0" w:color="auto"/>
              <w:right w:val="single" w:sz="12" w:space="0" w:color="auto"/>
            </w:tcBorders>
            <w:vAlign w:val="center"/>
          </w:tcPr>
          <w:p w:rsidR="005A63D9" w:rsidRPr="00E27ED8" w:rsidRDefault="005A63D9">
            <w:pPr>
              <w:pStyle w:val="ListParagraph"/>
              <w:numPr>
                <w:ilvl w:val="0"/>
                <w:numId w:val="9"/>
              </w:numPr>
              <w:spacing w:afterLines="0"/>
              <w:ind w:left="284" w:hanging="284"/>
              <w:rPr>
                <w:sz w:val="18"/>
                <w:szCs w:val="18"/>
              </w:rPr>
            </w:pPr>
            <w:r w:rsidRPr="00E27ED8">
              <w:rPr>
                <w:sz w:val="18"/>
                <w:szCs w:val="18"/>
              </w:rPr>
              <w:t>Fond pro rozvoj trhu</w:t>
            </w:r>
          </w:p>
        </w:tc>
        <w:tc>
          <w:tcPr>
            <w:tcW w:w="76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30</w:t>
            </w:r>
          </w:p>
        </w:tc>
        <w:tc>
          <w:tcPr>
            <w:tcW w:w="486" w:type="pct"/>
            <w:tcBorders>
              <w:bottom w:val="single" w:sz="12" w:space="0" w:color="auto"/>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1,5</w:t>
            </w:r>
          </w:p>
        </w:tc>
        <w:tc>
          <w:tcPr>
            <w:tcW w:w="87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28</w:t>
            </w:r>
          </w:p>
        </w:tc>
        <w:tc>
          <w:tcPr>
            <w:tcW w:w="682" w:type="pct"/>
            <w:tcBorders>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4,2</w:t>
            </w:r>
          </w:p>
        </w:tc>
      </w:tr>
      <w:tr w:rsidR="005A63D9" w:rsidRPr="00E27ED8" w:rsidTr="00510C04">
        <w:tc>
          <w:tcPr>
            <w:tcW w:w="2186" w:type="pct"/>
            <w:tcBorders>
              <w:top w:val="single" w:sz="12" w:space="0" w:color="auto"/>
              <w:right w:val="single" w:sz="12" w:space="0" w:color="auto"/>
            </w:tcBorders>
            <w:vAlign w:val="center"/>
          </w:tcPr>
          <w:p w:rsidR="005A63D9" w:rsidRPr="00E27ED8" w:rsidRDefault="005A63D9">
            <w:pPr>
              <w:spacing w:after="144"/>
              <w:rPr>
                <w:b/>
                <w:sz w:val="18"/>
                <w:szCs w:val="18"/>
              </w:rPr>
            </w:pPr>
            <w:r w:rsidRPr="00E27ED8">
              <w:rPr>
                <w:b/>
                <w:sz w:val="18"/>
                <w:szCs w:val="18"/>
              </w:rPr>
              <w:t>Nezávislý výzkum s důrazem na rozvoj talentů aj.</w:t>
            </w:r>
          </w:p>
        </w:tc>
        <w:tc>
          <w:tcPr>
            <w:tcW w:w="76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806</w:t>
            </w:r>
          </w:p>
        </w:tc>
        <w:tc>
          <w:tcPr>
            <w:tcW w:w="486" w:type="pct"/>
            <w:tcBorders>
              <w:top w:val="single" w:sz="12" w:space="0" w:color="auto"/>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39,4</w:t>
            </w:r>
          </w:p>
        </w:tc>
        <w:tc>
          <w:tcPr>
            <w:tcW w:w="878" w:type="pct"/>
            <w:tcBorders>
              <w:top w:val="single" w:sz="12" w:space="0" w:color="auto"/>
              <w:lef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124</w:t>
            </w:r>
          </w:p>
        </w:tc>
        <w:tc>
          <w:tcPr>
            <w:tcW w:w="682" w:type="pct"/>
            <w:tcBorders>
              <w:top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18,5</w:t>
            </w:r>
          </w:p>
        </w:tc>
      </w:tr>
      <w:tr w:rsidR="005A63D9" w:rsidRPr="00E27ED8" w:rsidTr="00510C04">
        <w:tc>
          <w:tcPr>
            <w:tcW w:w="2186" w:type="pct"/>
            <w:tcBorders>
              <w:right w:val="single" w:sz="12" w:space="0" w:color="auto"/>
            </w:tcBorders>
            <w:vAlign w:val="center"/>
          </w:tcPr>
          <w:p w:rsidR="005A63D9" w:rsidRPr="00E27ED8" w:rsidRDefault="005A63D9">
            <w:pPr>
              <w:pStyle w:val="ListParagraph"/>
              <w:numPr>
                <w:ilvl w:val="0"/>
                <w:numId w:val="9"/>
              </w:numPr>
              <w:spacing w:afterLines="0"/>
              <w:ind w:left="284" w:hanging="284"/>
              <w:rPr>
                <w:sz w:val="18"/>
                <w:szCs w:val="18"/>
              </w:rPr>
            </w:pPr>
            <w:r w:rsidRPr="00E27ED8">
              <w:rPr>
                <w:sz w:val="18"/>
                <w:szCs w:val="18"/>
              </w:rPr>
              <w:t>Dánská rada pro nezávislý výzkum</w:t>
            </w:r>
          </w:p>
        </w:tc>
        <w:tc>
          <w:tcPr>
            <w:tcW w:w="76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804</w:t>
            </w:r>
          </w:p>
        </w:tc>
        <w:tc>
          <w:tcPr>
            <w:tcW w:w="486" w:type="pct"/>
            <w:tcBorders>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39,3</w:t>
            </w:r>
          </w:p>
        </w:tc>
        <w:tc>
          <w:tcPr>
            <w:tcW w:w="878" w:type="pct"/>
            <w:tcBorders>
              <w:lef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120</w:t>
            </w:r>
          </w:p>
        </w:tc>
        <w:tc>
          <w:tcPr>
            <w:tcW w:w="682" w:type="pct"/>
            <w:vAlign w:val="center"/>
          </w:tcPr>
          <w:p w:rsidR="005A63D9" w:rsidRPr="00E27ED8" w:rsidRDefault="005A63D9" w:rsidP="00734860">
            <w:pPr>
              <w:spacing w:after="144"/>
              <w:jc w:val="center"/>
              <w:rPr>
                <w:sz w:val="20"/>
                <w:szCs w:val="20"/>
              </w:rPr>
            </w:pPr>
            <w:r w:rsidRPr="00E27ED8">
              <w:rPr>
                <w:sz w:val="20"/>
                <w:szCs w:val="20"/>
              </w:rPr>
              <w:t>17,9</w:t>
            </w:r>
          </w:p>
        </w:tc>
      </w:tr>
      <w:tr w:rsidR="005A63D9" w:rsidRPr="00E27ED8" w:rsidTr="00510C04">
        <w:tc>
          <w:tcPr>
            <w:tcW w:w="2186" w:type="pct"/>
            <w:tcBorders>
              <w:bottom w:val="single" w:sz="12" w:space="0" w:color="auto"/>
              <w:right w:val="single" w:sz="12" w:space="0" w:color="auto"/>
            </w:tcBorders>
            <w:vAlign w:val="center"/>
          </w:tcPr>
          <w:p w:rsidR="005A63D9" w:rsidRPr="00E27ED8" w:rsidRDefault="005A63D9">
            <w:pPr>
              <w:pStyle w:val="ListParagraph"/>
              <w:numPr>
                <w:ilvl w:val="0"/>
                <w:numId w:val="9"/>
              </w:numPr>
              <w:spacing w:afterLines="0"/>
              <w:ind w:left="284" w:hanging="284"/>
              <w:rPr>
                <w:sz w:val="18"/>
                <w:szCs w:val="18"/>
              </w:rPr>
            </w:pPr>
            <w:r w:rsidRPr="00E27ED8">
              <w:rPr>
                <w:sz w:val="18"/>
                <w:szCs w:val="18"/>
              </w:rPr>
              <w:t>Výzkumný portál</w:t>
            </w:r>
          </w:p>
        </w:tc>
        <w:tc>
          <w:tcPr>
            <w:tcW w:w="76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2</w:t>
            </w:r>
          </w:p>
        </w:tc>
        <w:tc>
          <w:tcPr>
            <w:tcW w:w="486" w:type="pct"/>
            <w:tcBorders>
              <w:bottom w:val="single" w:sz="12" w:space="0" w:color="auto"/>
              <w:right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0,1</w:t>
            </w:r>
          </w:p>
        </w:tc>
        <w:tc>
          <w:tcPr>
            <w:tcW w:w="878" w:type="pct"/>
            <w:tcBorders>
              <w:left w:val="single" w:sz="12" w:space="0" w:color="auto"/>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4</w:t>
            </w:r>
          </w:p>
        </w:tc>
        <w:tc>
          <w:tcPr>
            <w:tcW w:w="682" w:type="pct"/>
            <w:tcBorders>
              <w:bottom w:val="single" w:sz="12" w:space="0" w:color="auto"/>
            </w:tcBorders>
            <w:vAlign w:val="center"/>
          </w:tcPr>
          <w:p w:rsidR="005A63D9" w:rsidRPr="00E27ED8" w:rsidRDefault="005A63D9" w:rsidP="00734860">
            <w:pPr>
              <w:spacing w:after="144"/>
              <w:jc w:val="center"/>
              <w:rPr>
                <w:sz w:val="20"/>
                <w:szCs w:val="20"/>
              </w:rPr>
            </w:pPr>
            <w:r w:rsidRPr="00E27ED8">
              <w:rPr>
                <w:sz w:val="20"/>
                <w:szCs w:val="20"/>
              </w:rPr>
              <w:t>0,6</w:t>
            </w:r>
          </w:p>
        </w:tc>
      </w:tr>
      <w:tr w:rsidR="005A63D9" w:rsidRPr="00E27ED8" w:rsidTr="00510C04">
        <w:tc>
          <w:tcPr>
            <w:tcW w:w="2186" w:type="pct"/>
            <w:tcBorders>
              <w:top w:val="single" w:sz="12" w:space="0" w:color="auto"/>
              <w:bottom w:val="single" w:sz="12" w:space="0" w:color="auto"/>
              <w:right w:val="single" w:sz="12" w:space="0" w:color="auto"/>
            </w:tcBorders>
            <w:vAlign w:val="center"/>
          </w:tcPr>
          <w:p w:rsidR="005A63D9" w:rsidRPr="00E27ED8" w:rsidRDefault="005A63D9">
            <w:pPr>
              <w:spacing w:after="144"/>
              <w:rPr>
                <w:b/>
                <w:sz w:val="18"/>
                <w:szCs w:val="18"/>
              </w:rPr>
            </w:pPr>
            <w:r w:rsidRPr="00E27ED8">
              <w:rPr>
                <w:b/>
                <w:color w:val="000000"/>
                <w:sz w:val="18"/>
                <w:szCs w:val="18"/>
              </w:rPr>
              <w:t>Dánský ústav pro mezinárodní studie (výzkum teroru)</w:t>
            </w:r>
          </w:p>
        </w:tc>
        <w:tc>
          <w:tcPr>
            <w:tcW w:w="768"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25</w:t>
            </w:r>
          </w:p>
        </w:tc>
        <w:tc>
          <w:tcPr>
            <w:tcW w:w="486"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1,2</w:t>
            </w:r>
          </w:p>
        </w:tc>
        <w:tc>
          <w:tcPr>
            <w:tcW w:w="878"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3</w:t>
            </w:r>
          </w:p>
        </w:tc>
        <w:tc>
          <w:tcPr>
            <w:tcW w:w="682" w:type="pct"/>
            <w:tcBorders>
              <w:top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0,5</w:t>
            </w:r>
          </w:p>
        </w:tc>
      </w:tr>
      <w:tr w:rsidR="005A63D9" w:rsidRPr="00E27ED8" w:rsidTr="00510C04">
        <w:tc>
          <w:tcPr>
            <w:tcW w:w="2186"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b/>
                <w:sz w:val="18"/>
                <w:szCs w:val="18"/>
              </w:rPr>
            </w:pPr>
            <w:r w:rsidRPr="00E27ED8">
              <w:rPr>
                <w:b/>
                <w:sz w:val="18"/>
                <w:szCs w:val="18"/>
              </w:rPr>
              <w:t>CELKEM</w:t>
            </w:r>
          </w:p>
        </w:tc>
        <w:tc>
          <w:tcPr>
            <w:tcW w:w="768"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2 048</w:t>
            </w:r>
          </w:p>
        </w:tc>
        <w:tc>
          <w:tcPr>
            <w:tcW w:w="486"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100</w:t>
            </w:r>
          </w:p>
        </w:tc>
        <w:tc>
          <w:tcPr>
            <w:tcW w:w="878"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671</w:t>
            </w:r>
          </w:p>
        </w:tc>
        <w:tc>
          <w:tcPr>
            <w:tcW w:w="682" w:type="pct"/>
            <w:tcBorders>
              <w:top w:val="single" w:sz="12" w:space="0" w:color="auto"/>
              <w:bottom w:val="single" w:sz="12" w:space="0" w:color="auto"/>
            </w:tcBorders>
            <w:vAlign w:val="center"/>
          </w:tcPr>
          <w:p w:rsidR="005A63D9" w:rsidRPr="00E27ED8" w:rsidRDefault="005A63D9" w:rsidP="00734860">
            <w:pPr>
              <w:spacing w:after="144"/>
              <w:jc w:val="center"/>
              <w:rPr>
                <w:b/>
                <w:sz w:val="20"/>
                <w:szCs w:val="20"/>
              </w:rPr>
            </w:pPr>
            <w:r w:rsidRPr="00E27ED8">
              <w:rPr>
                <w:b/>
                <w:sz w:val="20"/>
                <w:szCs w:val="20"/>
              </w:rPr>
              <w:t>100</w:t>
            </w:r>
          </w:p>
        </w:tc>
      </w:tr>
    </w:tbl>
    <w:p w:rsidR="005A63D9" w:rsidRPr="00454158" w:rsidRDefault="005A63D9" w:rsidP="0008405A">
      <w:pPr>
        <w:pStyle w:val="ZDROJovan"/>
        <w:spacing w:after="144" w:line="288" w:lineRule="auto"/>
        <w:jc w:val="both"/>
      </w:pPr>
      <w:r w:rsidRPr="00734860">
        <w:t>Zdroj: Tisková zpráva Ministerstva pro vysoké</w:t>
      </w:r>
      <w:r>
        <w:t xml:space="preserve"> školy a vědu ze 14. 12. 2015.</w:t>
      </w:r>
    </w:p>
    <w:p w:rsidR="005A63D9" w:rsidRPr="00C812EC" w:rsidRDefault="005A63D9" w:rsidP="00C812EC">
      <w:pPr>
        <w:widowControl w:val="0"/>
        <w:adjustRightInd w:val="0"/>
        <w:spacing w:afterLines="0"/>
        <w:contextualSpacing w:val="0"/>
        <w:jc w:val="both"/>
        <w:textAlignment w:val="baseline"/>
        <w:rPr>
          <w:color w:val="000000"/>
          <w:shd w:val="clear" w:color="auto" w:fill="FFFFFF"/>
          <w:lang w:eastAsia="cs-CZ"/>
        </w:rPr>
      </w:pPr>
    </w:p>
    <w:p w:rsidR="005A63D9" w:rsidRPr="00C812EC" w:rsidRDefault="005A63D9" w:rsidP="00C812EC">
      <w:pPr>
        <w:widowControl w:val="0"/>
        <w:adjustRightInd w:val="0"/>
        <w:spacing w:afterLines="0"/>
        <w:contextualSpacing w:val="0"/>
        <w:jc w:val="both"/>
        <w:textAlignment w:val="baseline"/>
        <w:rPr>
          <w:color w:val="000000"/>
          <w:shd w:val="clear" w:color="auto" w:fill="FFFFFF"/>
          <w:lang w:eastAsia="cs-CZ"/>
        </w:rPr>
      </w:pPr>
      <w:r w:rsidRPr="00C812EC">
        <w:rPr>
          <w:color w:val="000000"/>
          <w:shd w:val="clear" w:color="auto" w:fill="FFFFFF"/>
          <w:lang w:eastAsia="cs-CZ"/>
        </w:rPr>
        <w:t>Z dat v tabulce lze odvodit:</w:t>
      </w:r>
    </w:p>
    <w:p w:rsidR="005A63D9" w:rsidRPr="00ED31DB" w:rsidRDefault="005A63D9" w:rsidP="00ED31D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ED31DB">
        <w:rPr>
          <w:color w:val="000000"/>
          <w:shd w:val="clear" w:color="auto" w:fill="FFFFFF"/>
          <w:lang w:eastAsia="cs-CZ"/>
        </w:rPr>
        <w:t>Aplikovaný VaV (Dánský inovační fond a Programy vývoje a demonstrací) je v Dánsku podporován výrazně více než v</w:t>
      </w:r>
      <w:r>
        <w:rPr>
          <w:color w:val="000000"/>
          <w:shd w:val="clear" w:color="auto" w:fill="FFFFFF"/>
          <w:lang w:eastAsia="cs-CZ"/>
        </w:rPr>
        <w:t>ýzkum základní (Dánská rada pro </w:t>
      </w:r>
      <w:r w:rsidRPr="00ED31DB">
        <w:rPr>
          <w:color w:val="000000"/>
          <w:shd w:val="clear" w:color="auto" w:fill="FFFFFF"/>
          <w:lang w:eastAsia="cs-CZ"/>
        </w:rPr>
        <w:t>nezávislý výzkum).</w:t>
      </w:r>
    </w:p>
    <w:p w:rsidR="005A63D9" w:rsidRPr="00ED31DB" w:rsidRDefault="005A63D9" w:rsidP="00ED31D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ED31DB">
        <w:rPr>
          <w:color w:val="000000"/>
          <w:shd w:val="clear" w:color="auto" w:fill="FFFFFF"/>
          <w:lang w:eastAsia="cs-CZ"/>
        </w:rPr>
        <w:t>Největší podíl původního rozpočtu na rok 2016 zí</w:t>
      </w:r>
      <w:r>
        <w:rPr>
          <w:color w:val="000000"/>
          <w:shd w:val="clear" w:color="auto" w:fill="FFFFFF"/>
          <w:lang w:eastAsia="cs-CZ"/>
        </w:rPr>
        <w:t>skal Dánský inovační fond (45,1 </w:t>
      </w:r>
      <w:r w:rsidRPr="00ED31DB">
        <w:rPr>
          <w:color w:val="000000"/>
          <w:shd w:val="clear" w:color="auto" w:fill="FFFFFF"/>
          <w:lang w:eastAsia="cs-CZ"/>
        </w:rPr>
        <w:t>%), druhým největším příjemcem je Dánská rada pro nezávislý výzkum (39,3</w:t>
      </w:r>
      <w:r>
        <w:rPr>
          <w:color w:val="000000"/>
          <w:shd w:val="clear" w:color="auto" w:fill="FFFFFF"/>
          <w:lang w:eastAsia="cs-CZ"/>
        </w:rPr>
        <w:t> </w:t>
      </w:r>
      <w:r w:rsidRPr="00ED31DB">
        <w:rPr>
          <w:color w:val="000000"/>
          <w:shd w:val="clear" w:color="auto" w:fill="FFFFFF"/>
          <w:lang w:eastAsia="cs-CZ"/>
        </w:rPr>
        <w:t>%)</w:t>
      </w:r>
    </w:p>
    <w:p w:rsidR="005A63D9" w:rsidRPr="00ED31DB" w:rsidRDefault="005A63D9" w:rsidP="00ED31D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ED31DB">
        <w:rPr>
          <w:color w:val="000000"/>
          <w:shd w:val="clear" w:color="auto" w:fill="FFFFFF"/>
          <w:lang w:eastAsia="cs-CZ"/>
        </w:rPr>
        <w:t>Nejvyšší podíl z rozdělené rozpočtové rezervy získal opět Dánský inovační fond (44,4 %). Druhým největším příjemcem je i zde Dánská rada pro nezávislý výzkum (17,9 %)</w:t>
      </w:r>
    </w:p>
    <w:p w:rsidR="005A63D9" w:rsidRPr="00ED31DB" w:rsidRDefault="005A63D9" w:rsidP="00ED31D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ED31DB">
        <w:rPr>
          <w:color w:val="000000"/>
          <w:shd w:val="clear" w:color="auto" w:fill="FFFFFF"/>
          <w:lang w:eastAsia="cs-CZ"/>
        </w:rPr>
        <w:t>VaV a demonstrace z oblasti životního prostředí se na původním rozpočtu podílejí 10,6 % a na rozdělení rozpočtové rezervy 18,0 %. Oba podíly jsou nesporně vyšší, protože se životním prostředím zcela určitě souvisejí, některé energetické technologie a patrně i „nějaká“ část výzkumu zdravotnického a klinického.</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r w:rsidRPr="00ED31DB">
        <w:rPr>
          <w:color w:val="000000"/>
          <w:shd w:val="clear" w:color="auto" w:fill="FFFFFF"/>
          <w:lang w:eastAsia="cs-CZ"/>
        </w:rPr>
        <w:t>Z údajů Dánského statistického úřadu (Statistics Denmark – www.dst.dk) byla sestavena Tab. č. 3 Jde o užití celkových finančních prostředků na VaV ve veřejném sektoru VaV, tj. na vysokých školách, ve státních výzkumných ústavech a v několika málo neziskových výzkumných organizacích. Ve finančních prostředcích jsou tedy zahrnuty prostředky ze státního rozpočtu, z podnikatelského sektoru a prostředky ze zahraničí.</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p>
    <w:p w:rsidR="005A63D9" w:rsidRPr="00ED31DB" w:rsidRDefault="005A63D9" w:rsidP="00ED31DB">
      <w:pPr>
        <w:widowControl w:val="0"/>
        <w:adjustRightInd w:val="0"/>
        <w:spacing w:afterLines="0"/>
        <w:contextualSpacing w:val="0"/>
        <w:jc w:val="both"/>
        <w:textAlignment w:val="baseline"/>
        <w:rPr>
          <w:color w:val="000000"/>
          <w:shd w:val="clear" w:color="auto" w:fill="FFFFFF"/>
          <w:lang w:eastAsia="cs-CZ"/>
        </w:rPr>
      </w:pPr>
      <w:r w:rsidRPr="00ED31DB">
        <w:rPr>
          <w:b/>
          <w:color w:val="000000"/>
          <w:shd w:val="clear" w:color="auto" w:fill="FFFFFF"/>
          <w:lang w:eastAsia="cs-CZ"/>
        </w:rPr>
        <w:t xml:space="preserve">Tab. č. 3 </w:t>
      </w:r>
      <w:r w:rsidRPr="00ED31DB">
        <w:rPr>
          <w:color w:val="000000"/>
          <w:shd w:val="clear" w:color="auto" w:fill="FFFFFF"/>
          <w:lang w:eastAsia="cs-CZ"/>
        </w:rPr>
        <w:t>Struktura výdajů veřejného sektoru na VaV v Dánsku (vybrané položky)</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098"/>
        <w:gridCol w:w="718"/>
        <w:gridCol w:w="719"/>
        <w:gridCol w:w="719"/>
        <w:gridCol w:w="719"/>
        <w:gridCol w:w="719"/>
        <w:gridCol w:w="719"/>
        <w:gridCol w:w="719"/>
        <w:gridCol w:w="719"/>
        <w:gridCol w:w="719"/>
        <w:gridCol w:w="719"/>
      </w:tblGrid>
      <w:tr w:rsidR="005A63D9" w:rsidRPr="00E27ED8" w:rsidTr="00510C04">
        <w:tc>
          <w:tcPr>
            <w:tcW w:w="1130"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rPr>
            </w:pPr>
          </w:p>
        </w:tc>
        <w:tc>
          <w:tcPr>
            <w:tcW w:w="774"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734860">
            <w:pPr>
              <w:spacing w:after="144"/>
              <w:jc w:val="center"/>
              <w:rPr>
                <w:b/>
              </w:rPr>
            </w:pPr>
            <w:r w:rsidRPr="00E27ED8">
              <w:rPr>
                <w:b/>
              </w:rPr>
              <w:t>2009</w:t>
            </w:r>
          </w:p>
        </w:tc>
        <w:tc>
          <w:tcPr>
            <w:tcW w:w="774"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734860">
            <w:pPr>
              <w:spacing w:after="144"/>
              <w:jc w:val="center"/>
              <w:rPr>
                <w:b/>
              </w:rPr>
            </w:pPr>
            <w:r w:rsidRPr="00E27ED8">
              <w:rPr>
                <w:b/>
              </w:rPr>
              <w:t>2010</w:t>
            </w:r>
          </w:p>
        </w:tc>
        <w:tc>
          <w:tcPr>
            <w:tcW w:w="774"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734860">
            <w:pPr>
              <w:spacing w:after="144"/>
              <w:jc w:val="center"/>
              <w:rPr>
                <w:b/>
              </w:rPr>
            </w:pPr>
            <w:r w:rsidRPr="00E27ED8">
              <w:rPr>
                <w:b/>
              </w:rPr>
              <w:t>2011</w:t>
            </w:r>
          </w:p>
        </w:tc>
        <w:tc>
          <w:tcPr>
            <w:tcW w:w="774"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734860">
            <w:pPr>
              <w:spacing w:after="144"/>
              <w:jc w:val="center"/>
              <w:rPr>
                <w:b/>
              </w:rPr>
            </w:pPr>
            <w:r w:rsidRPr="00E27ED8">
              <w:rPr>
                <w:b/>
              </w:rPr>
              <w:t>2012</w:t>
            </w:r>
          </w:p>
        </w:tc>
        <w:tc>
          <w:tcPr>
            <w:tcW w:w="774" w:type="pct"/>
            <w:gridSpan w:val="2"/>
            <w:tcBorders>
              <w:top w:val="single" w:sz="12" w:space="0" w:color="auto"/>
              <w:left w:val="single" w:sz="12" w:space="0" w:color="auto"/>
            </w:tcBorders>
            <w:shd w:val="clear" w:color="auto" w:fill="BFBFBF"/>
            <w:vAlign w:val="center"/>
          </w:tcPr>
          <w:p w:rsidR="005A63D9" w:rsidRPr="00E27ED8" w:rsidRDefault="005A63D9" w:rsidP="00734860">
            <w:pPr>
              <w:spacing w:after="144"/>
              <w:jc w:val="center"/>
              <w:rPr>
                <w:b/>
              </w:rPr>
            </w:pPr>
            <w:r w:rsidRPr="00E27ED8">
              <w:rPr>
                <w:b/>
              </w:rPr>
              <w:t>2013</w:t>
            </w:r>
          </w:p>
        </w:tc>
      </w:tr>
      <w:tr w:rsidR="005A63D9" w:rsidRPr="00E27ED8" w:rsidTr="00510C04">
        <w:tc>
          <w:tcPr>
            <w:tcW w:w="1130"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b/>
              </w:rPr>
            </w:pPr>
          </w:p>
        </w:tc>
        <w:tc>
          <w:tcPr>
            <w:tcW w:w="387" w:type="pct"/>
            <w:tcBorders>
              <w:left w:val="single" w:sz="12" w:space="0" w:color="auto"/>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r w:rsidRPr="00E27ED8">
              <w:rPr>
                <w:b/>
                <w:sz w:val="10"/>
                <w:szCs w:val="10"/>
              </w:rPr>
              <w:t>mil. DKK)</w:t>
            </w:r>
          </w:p>
        </w:tc>
        <w:tc>
          <w:tcPr>
            <w:tcW w:w="387" w:type="pct"/>
            <w:tcBorders>
              <w:bottom w:val="double" w:sz="4" w:space="0" w:color="auto"/>
              <w:right w:val="single" w:sz="12"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p>
        </w:tc>
        <w:tc>
          <w:tcPr>
            <w:tcW w:w="387" w:type="pct"/>
            <w:tcBorders>
              <w:left w:val="single" w:sz="12" w:space="0" w:color="auto"/>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r w:rsidRPr="00E27ED8">
              <w:rPr>
                <w:b/>
                <w:sz w:val="10"/>
                <w:szCs w:val="10"/>
              </w:rPr>
              <w:t>mil. DKK)</w:t>
            </w:r>
          </w:p>
        </w:tc>
        <w:tc>
          <w:tcPr>
            <w:tcW w:w="387" w:type="pct"/>
            <w:tcBorders>
              <w:bottom w:val="double" w:sz="4" w:space="0" w:color="auto"/>
              <w:right w:val="single" w:sz="12"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p>
        </w:tc>
        <w:tc>
          <w:tcPr>
            <w:tcW w:w="387" w:type="pct"/>
            <w:tcBorders>
              <w:left w:val="single" w:sz="12" w:space="0" w:color="auto"/>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r w:rsidRPr="00E27ED8">
              <w:rPr>
                <w:b/>
                <w:sz w:val="10"/>
                <w:szCs w:val="10"/>
              </w:rPr>
              <w:t>mil. DKK)</w:t>
            </w:r>
          </w:p>
        </w:tc>
        <w:tc>
          <w:tcPr>
            <w:tcW w:w="387" w:type="pct"/>
            <w:tcBorders>
              <w:bottom w:val="double" w:sz="4" w:space="0" w:color="auto"/>
              <w:right w:val="single" w:sz="12"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p>
        </w:tc>
        <w:tc>
          <w:tcPr>
            <w:tcW w:w="387" w:type="pct"/>
            <w:tcBorders>
              <w:left w:val="single" w:sz="12" w:space="0" w:color="auto"/>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r w:rsidRPr="00E27ED8">
              <w:rPr>
                <w:b/>
                <w:sz w:val="10"/>
                <w:szCs w:val="10"/>
              </w:rPr>
              <w:t>mil. DKK)</w:t>
            </w:r>
          </w:p>
        </w:tc>
        <w:tc>
          <w:tcPr>
            <w:tcW w:w="387" w:type="pct"/>
            <w:tcBorders>
              <w:bottom w:val="double" w:sz="4" w:space="0" w:color="auto"/>
              <w:right w:val="single" w:sz="12"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p>
        </w:tc>
        <w:tc>
          <w:tcPr>
            <w:tcW w:w="387" w:type="pct"/>
            <w:tcBorders>
              <w:left w:val="single" w:sz="12" w:space="0" w:color="auto"/>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r w:rsidRPr="00E27ED8">
              <w:rPr>
                <w:b/>
                <w:sz w:val="10"/>
                <w:szCs w:val="10"/>
              </w:rPr>
              <w:t>mil. DKK)</w:t>
            </w:r>
          </w:p>
        </w:tc>
        <w:tc>
          <w:tcPr>
            <w:tcW w:w="387" w:type="pct"/>
            <w:tcBorders>
              <w:bottom w:val="double" w:sz="4" w:space="0" w:color="auto"/>
            </w:tcBorders>
            <w:shd w:val="clear" w:color="auto" w:fill="BFBFBF"/>
            <w:vAlign w:val="center"/>
          </w:tcPr>
          <w:p w:rsidR="005A63D9" w:rsidRPr="00E27ED8" w:rsidRDefault="005A63D9" w:rsidP="00734860">
            <w:pPr>
              <w:spacing w:after="144"/>
              <w:jc w:val="center"/>
              <w:rPr>
                <w:b/>
                <w:sz w:val="12"/>
                <w:szCs w:val="12"/>
              </w:rPr>
            </w:pPr>
            <w:r w:rsidRPr="00E27ED8">
              <w:rPr>
                <w:b/>
                <w:sz w:val="12"/>
                <w:szCs w:val="12"/>
              </w:rPr>
              <w:t>(%)</w:t>
            </w:r>
          </w:p>
        </w:tc>
      </w:tr>
      <w:tr w:rsidR="005A63D9" w:rsidRPr="00E27ED8" w:rsidTr="00510C04">
        <w:trPr>
          <w:trHeight w:val="170"/>
        </w:trPr>
        <w:tc>
          <w:tcPr>
            <w:tcW w:w="1130" w:type="pct"/>
            <w:tcBorders>
              <w:top w:val="double" w:sz="4" w:space="0" w:color="auto"/>
              <w:right w:val="single" w:sz="12" w:space="0" w:color="auto"/>
            </w:tcBorders>
          </w:tcPr>
          <w:p w:rsidR="005A63D9" w:rsidRPr="00E27ED8" w:rsidRDefault="005A63D9">
            <w:pPr>
              <w:spacing w:after="144"/>
              <w:rPr>
                <w:b/>
                <w:sz w:val="14"/>
                <w:szCs w:val="14"/>
              </w:rPr>
            </w:pPr>
            <w:r w:rsidRPr="00E27ED8">
              <w:rPr>
                <w:b/>
                <w:sz w:val="14"/>
                <w:szCs w:val="14"/>
              </w:rPr>
              <w:t>Výzkum klimatu</w:t>
            </w:r>
          </w:p>
        </w:tc>
        <w:tc>
          <w:tcPr>
            <w:tcW w:w="387" w:type="pct"/>
            <w:tcBorders>
              <w:top w:val="double" w:sz="4" w:space="0" w:color="auto"/>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698</w:t>
            </w:r>
          </w:p>
        </w:tc>
        <w:tc>
          <w:tcPr>
            <w:tcW w:w="387" w:type="pct"/>
            <w:tcBorders>
              <w:top w:val="double" w:sz="4"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4,4</w:t>
            </w:r>
          </w:p>
        </w:tc>
        <w:tc>
          <w:tcPr>
            <w:tcW w:w="387" w:type="pct"/>
            <w:tcBorders>
              <w:top w:val="double" w:sz="4" w:space="0" w:color="auto"/>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651</w:t>
            </w:r>
          </w:p>
        </w:tc>
        <w:tc>
          <w:tcPr>
            <w:tcW w:w="387" w:type="pct"/>
            <w:tcBorders>
              <w:top w:val="double" w:sz="4"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3,7</w:t>
            </w:r>
          </w:p>
        </w:tc>
        <w:tc>
          <w:tcPr>
            <w:tcW w:w="387" w:type="pct"/>
            <w:tcBorders>
              <w:top w:val="double" w:sz="4" w:space="0" w:color="auto"/>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695</w:t>
            </w:r>
          </w:p>
        </w:tc>
        <w:tc>
          <w:tcPr>
            <w:tcW w:w="387" w:type="pct"/>
            <w:tcBorders>
              <w:top w:val="double" w:sz="4"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3,8</w:t>
            </w:r>
          </w:p>
        </w:tc>
        <w:tc>
          <w:tcPr>
            <w:tcW w:w="387" w:type="pct"/>
            <w:tcBorders>
              <w:top w:val="double" w:sz="4" w:space="0" w:color="auto"/>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690</w:t>
            </w:r>
          </w:p>
        </w:tc>
        <w:tc>
          <w:tcPr>
            <w:tcW w:w="387" w:type="pct"/>
            <w:tcBorders>
              <w:top w:val="double" w:sz="4"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3,6</w:t>
            </w:r>
          </w:p>
        </w:tc>
        <w:tc>
          <w:tcPr>
            <w:tcW w:w="387" w:type="pct"/>
            <w:tcBorders>
              <w:top w:val="double" w:sz="4" w:space="0" w:color="auto"/>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714</w:t>
            </w:r>
          </w:p>
        </w:tc>
        <w:tc>
          <w:tcPr>
            <w:tcW w:w="387" w:type="pct"/>
            <w:tcBorders>
              <w:top w:val="double" w:sz="4" w:space="0" w:color="auto"/>
            </w:tcBorders>
            <w:vAlign w:val="center"/>
          </w:tcPr>
          <w:p w:rsidR="005A63D9" w:rsidRPr="00E27ED8" w:rsidRDefault="005A63D9" w:rsidP="00734860">
            <w:pPr>
              <w:spacing w:after="144"/>
              <w:jc w:val="center"/>
              <w:rPr>
                <w:sz w:val="14"/>
                <w:szCs w:val="14"/>
              </w:rPr>
            </w:pPr>
            <w:r w:rsidRPr="00E27ED8">
              <w:rPr>
                <w:sz w:val="14"/>
                <w:szCs w:val="14"/>
              </w:rPr>
              <w:t>3,4</w:t>
            </w:r>
          </w:p>
        </w:tc>
      </w:tr>
      <w:tr w:rsidR="005A63D9" w:rsidRPr="00E27ED8" w:rsidTr="00510C04">
        <w:trPr>
          <w:trHeight w:val="170"/>
        </w:trPr>
        <w:tc>
          <w:tcPr>
            <w:tcW w:w="1130" w:type="pct"/>
            <w:tcBorders>
              <w:right w:val="single" w:sz="12" w:space="0" w:color="auto"/>
            </w:tcBorders>
          </w:tcPr>
          <w:p w:rsidR="005A63D9" w:rsidRPr="00E27ED8" w:rsidRDefault="005A63D9">
            <w:pPr>
              <w:spacing w:after="144"/>
              <w:rPr>
                <w:b/>
                <w:sz w:val="14"/>
                <w:szCs w:val="14"/>
              </w:rPr>
            </w:pPr>
            <w:r w:rsidRPr="00E27ED8">
              <w:rPr>
                <w:b/>
                <w:sz w:val="14"/>
                <w:szCs w:val="14"/>
              </w:rPr>
              <w:t>Výzkum životního prostředí</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1 018</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6,4</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1 019</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5,9</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1 271</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7,0</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992</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5,1</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822</w:t>
            </w:r>
          </w:p>
        </w:tc>
        <w:tc>
          <w:tcPr>
            <w:tcW w:w="387" w:type="pct"/>
            <w:vAlign w:val="center"/>
          </w:tcPr>
          <w:p w:rsidR="005A63D9" w:rsidRPr="00E27ED8" w:rsidRDefault="005A63D9" w:rsidP="00734860">
            <w:pPr>
              <w:spacing w:after="144"/>
              <w:jc w:val="center"/>
              <w:rPr>
                <w:sz w:val="14"/>
                <w:szCs w:val="14"/>
              </w:rPr>
            </w:pPr>
            <w:r w:rsidRPr="00E27ED8">
              <w:rPr>
                <w:sz w:val="14"/>
                <w:szCs w:val="14"/>
              </w:rPr>
              <w:t>3,9</w:t>
            </w:r>
          </w:p>
        </w:tc>
      </w:tr>
      <w:tr w:rsidR="005A63D9" w:rsidRPr="00E27ED8" w:rsidTr="00510C04">
        <w:trPr>
          <w:trHeight w:val="170"/>
        </w:trPr>
        <w:tc>
          <w:tcPr>
            <w:tcW w:w="1130" w:type="pct"/>
            <w:tcBorders>
              <w:right w:val="single" w:sz="12" w:space="0" w:color="auto"/>
            </w:tcBorders>
          </w:tcPr>
          <w:p w:rsidR="005A63D9" w:rsidRPr="00E27ED8" w:rsidRDefault="005A63D9">
            <w:pPr>
              <w:spacing w:after="144"/>
              <w:rPr>
                <w:b/>
                <w:sz w:val="14"/>
                <w:szCs w:val="14"/>
              </w:rPr>
            </w:pPr>
            <w:r w:rsidRPr="00E27ED8">
              <w:rPr>
                <w:b/>
                <w:sz w:val="14"/>
                <w:szCs w:val="14"/>
              </w:rPr>
              <w:t>Energetický výzkum</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945</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5,9</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1 086</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6,2</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1 270</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7,0</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1 225</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6,3</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1 308</w:t>
            </w:r>
          </w:p>
        </w:tc>
        <w:tc>
          <w:tcPr>
            <w:tcW w:w="387" w:type="pct"/>
            <w:vAlign w:val="center"/>
          </w:tcPr>
          <w:p w:rsidR="005A63D9" w:rsidRPr="00E27ED8" w:rsidRDefault="005A63D9" w:rsidP="00734860">
            <w:pPr>
              <w:spacing w:after="144"/>
              <w:jc w:val="center"/>
              <w:rPr>
                <w:sz w:val="14"/>
                <w:szCs w:val="14"/>
              </w:rPr>
            </w:pPr>
            <w:r w:rsidRPr="00E27ED8">
              <w:rPr>
                <w:sz w:val="14"/>
                <w:szCs w:val="14"/>
              </w:rPr>
              <w:t>6,2</w:t>
            </w:r>
          </w:p>
        </w:tc>
      </w:tr>
      <w:tr w:rsidR="005A63D9" w:rsidRPr="00E27ED8" w:rsidTr="00510C04">
        <w:trPr>
          <w:trHeight w:val="170"/>
        </w:trPr>
        <w:tc>
          <w:tcPr>
            <w:tcW w:w="1130" w:type="pct"/>
            <w:tcBorders>
              <w:right w:val="single" w:sz="12" w:space="0" w:color="auto"/>
            </w:tcBorders>
          </w:tcPr>
          <w:p w:rsidR="005A63D9" w:rsidRPr="00E27ED8" w:rsidRDefault="005A63D9">
            <w:pPr>
              <w:spacing w:after="144"/>
              <w:rPr>
                <w:b/>
                <w:sz w:val="14"/>
                <w:szCs w:val="14"/>
              </w:rPr>
            </w:pPr>
            <w:r w:rsidRPr="00E27ED8">
              <w:rPr>
                <w:b/>
                <w:sz w:val="14"/>
                <w:szCs w:val="14"/>
              </w:rPr>
              <w:t>Biotechnologický výzkum</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1 566</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9,9</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1 776</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10,2</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1 828</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10,1</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1 251</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6,4</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1 375</w:t>
            </w:r>
          </w:p>
        </w:tc>
        <w:tc>
          <w:tcPr>
            <w:tcW w:w="387" w:type="pct"/>
            <w:vAlign w:val="center"/>
          </w:tcPr>
          <w:p w:rsidR="005A63D9" w:rsidRPr="00E27ED8" w:rsidRDefault="005A63D9" w:rsidP="00734860">
            <w:pPr>
              <w:spacing w:after="144"/>
              <w:jc w:val="center"/>
              <w:rPr>
                <w:sz w:val="14"/>
                <w:szCs w:val="14"/>
              </w:rPr>
            </w:pPr>
            <w:r w:rsidRPr="00E27ED8">
              <w:rPr>
                <w:sz w:val="14"/>
                <w:szCs w:val="14"/>
              </w:rPr>
              <w:t>6,6</w:t>
            </w:r>
          </w:p>
        </w:tc>
      </w:tr>
      <w:tr w:rsidR="005A63D9" w:rsidRPr="00E27ED8" w:rsidTr="00510C04">
        <w:trPr>
          <w:trHeight w:val="170"/>
        </w:trPr>
        <w:tc>
          <w:tcPr>
            <w:tcW w:w="1130" w:type="pct"/>
            <w:tcBorders>
              <w:right w:val="single" w:sz="12" w:space="0" w:color="auto"/>
            </w:tcBorders>
          </w:tcPr>
          <w:p w:rsidR="005A63D9" w:rsidRPr="00E27ED8" w:rsidRDefault="005A63D9">
            <w:pPr>
              <w:spacing w:after="144"/>
              <w:rPr>
                <w:b/>
                <w:sz w:val="14"/>
                <w:szCs w:val="14"/>
              </w:rPr>
            </w:pPr>
            <w:r w:rsidRPr="00E27ED8">
              <w:rPr>
                <w:b/>
                <w:sz w:val="14"/>
                <w:szCs w:val="14"/>
              </w:rPr>
              <w:t>Potravinářský výzkum</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829</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5,2</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905</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5,2</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1 210</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6,7</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697</w:t>
            </w:r>
          </w:p>
        </w:tc>
        <w:tc>
          <w:tcPr>
            <w:tcW w:w="387" w:type="pct"/>
            <w:tcBorders>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3,6</w:t>
            </w:r>
          </w:p>
        </w:tc>
        <w:tc>
          <w:tcPr>
            <w:tcW w:w="387" w:type="pct"/>
            <w:tcBorders>
              <w:lef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673</w:t>
            </w:r>
          </w:p>
        </w:tc>
        <w:tc>
          <w:tcPr>
            <w:tcW w:w="387" w:type="pct"/>
            <w:vAlign w:val="center"/>
          </w:tcPr>
          <w:p w:rsidR="005A63D9" w:rsidRPr="00E27ED8" w:rsidRDefault="005A63D9" w:rsidP="00734860">
            <w:pPr>
              <w:spacing w:after="144"/>
              <w:jc w:val="center"/>
              <w:rPr>
                <w:sz w:val="14"/>
                <w:szCs w:val="14"/>
              </w:rPr>
            </w:pPr>
            <w:r w:rsidRPr="00E27ED8">
              <w:rPr>
                <w:sz w:val="14"/>
                <w:szCs w:val="14"/>
              </w:rPr>
              <w:t>3,2</w:t>
            </w:r>
          </w:p>
        </w:tc>
      </w:tr>
      <w:tr w:rsidR="005A63D9" w:rsidRPr="00E27ED8" w:rsidTr="00510C04">
        <w:trPr>
          <w:trHeight w:val="170"/>
        </w:trPr>
        <w:tc>
          <w:tcPr>
            <w:tcW w:w="1130" w:type="pct"/>
            <w:tcBorders>
              <w:bottom w:val="single" w:sz="12" w:space="0" w:color="auto"/>
              <w:right w:val="single" w:sz="12" w:space="0" w:color="auto"/>
            </w:tcBorders>
          </w:tcPr>
          <w:p w:rsidR="005A63D9" w:rsidRPr="00E27ED8" w:rsidRDefault="005A63D9">
            <w:pPr>
              <w:spacing w:after="144"/>
              <w:rPr>
                <w:b/>
                <w:sz w:val="14"/>
                <w:szCs w:val="14"/>
              </w:rPr>
            </w:pPr>
            <w:r w:rsidRPr="00E27ED8">
              <w:rPr>
                <w:b/>
                <w:sz w:val="14"/>
                <w:szCs w:val="14"/>
              </w:rPr>
              <w:t>Výzkum bezpečnosti potravin</w:t>
            </w:r>
          </w:p>
        </w:tc>
        <w:tc>
          <w:tcPr>
            <w:tcW w:w="387" w:type="pct"/>
            <w:tcBorders>
              <w:left w:val="single" w:sz="12" w:space="0" w:color="auto"/>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290</w:t>
            </w:r>
          </w:p>
        </w:tc>
        <w:tc>
          <w:tcPr>
            <w:tcW w:w="387" w:type="pct"/>
            <w:tcBorders>
              <w:bottom w:val="single" w:sz="12"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1,8</w:t>
            </w:r>
          </w:p>
        </w:tc>
        <w:tc>
          <w:tcPr>
            <w:tcW w:w="387" w:type="pct"/>
            <w:tcBorders>
              <w:left w:val="single" w:sz="12" w:space="0" w:color="auto"/>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377</w:t>
            </w:r>
          </w:p>
        </w:tc>
        <w:tc>
          <w:tcPr>
            <w:tcW w:w="387" w:type="pct"/>
            <w:tcBorders>
              <w:bottom w:val="single" w:sz="12"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2,2</w:t>
            </w:r>
          </w:p>
        </w:tc>
        <w:tc>
          <w:tcPr>
            <w:tcW w:w="387" w:type="pct"/>
            <w:tcBorders>
              <w:left w:val="single" w:sz="12" w:space="0" w:color="auto"/>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332</w:t>
            </w:r>
          </w:p>
        </w:tc>
        <w:tc>
          <w:tcPr>
            <w:tcW w:w="387" w:type="pct"/>
            <w:tcBorders>
              <w:bottom w:val="single" w:sz="12"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1,8</w:t>
            </w:r>
          </w:p>
        </w:tc>
        <w:tc>
          <w:tcPr>
            <w:tcW w:w="387" w:type="pct"/>
            <w:tcBorders>
              <w:left w:val="single" w:sz="12" w:space="0" w:color="auto"/>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233</w:t>
            </w:r>
          </w:p>
        </w:tc>
        <w:tc>
          <w:tcPr>
            <w:tcW w:w="387" w:type="pct"/>
            <w:tcBorders>
              <w:bottom w:val="single" w:sz="12" w:space="0" w:color="auto"/>
              <w:right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1,2</w:t>
            </w:r>
          </w:p>
        </w:tc>
        <w:tc>
          <w:tcPr>
            <w:tcW w:w="387" w:type="pct"/>
            <w:tcBorders>
              <w:left w:val="single" w:sz="12" w:space="0" w:color="auto"/>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232</w:t>
            </w:r>
          </w:p>
        </w:tc>
        <w:tc>
          <w:tcPr>
            <w:tcW w:w="387" w:type="pct"/>
            <w:tcBorders>
              <w:bottom w:val="single" w:sz="12" w:space="0" w:color="auto"/>
            </w:tcBorders>
            <w:vAlign w:val="center"/>
          </w:tcPr>
          <w:p w:rsidR="005A63D9" w:rsidRPr="00E27ED8" w:rsidRDefault="005A63D9" w:rsidP="00734860">
            <w:pPr>
              <w:spacing w:after="144"/>
              <w:jc w:val="center"/>
              <w:rPr>
                <w:sz w:val="14"/>
                <w:szCs w:val="14"/>
              </w:rPr>
            </w:pPr>
            <w:r w:rsidRPr="00E27ED8">
              <w:rPr>
                <w:sz w:val="14"/>
                <w:szCs w:val="14"/>
              </w:rPr>
              <w:t>1,1</w:t>
            </w:r>
          </w:p>
        </w:tc>
      </w:tr>
      <w:tr w:rsidR="005A63D9" w:rsidRPr="00E27ED8" w:rsidTr="00510C04">
        <w:trPr>
          <w:trHeight w:val="170"/>
        </w:trPr>
        <w:tc>
          <w:tcPr>
            <w:tcW w:w="1130" w:type="pct"/>
            <w:tcBorders>
              <w:top w:val="single" w:sz="12" w:space="0" w:color="auto"/>
              <w:bottom w:val="single" w:sz="12" w:space="0" w:color="auto"/>
              <w:right w:val="single" w:sz="12" w:space="0" w:color="auto"/>
            </w:tcBorders>
          </w:tcPr>
          <w:p w:rsidR="005A63D9" w:rsidRPr="00E27ED8" w:rsidRDefault="005A63D9">
            <w:pPr>
              <w:spacing w:after="144"/>
              <w:rPr>
                <w:b/>
                <w:sz w:val="14"/>
                <w:szCs w:val="14"/>
              </w:rPr>
            </w:pPr>
            <w:r w:rsidRPr="00E27ED8">
              <w:rPr>
                <w:b/>
                <w:sz w:val="14"/>
                <w:szCs w:val="14"/>
              </w:rPr>
              <w:t>CELKEM – státní výdaje na VaV</w:t>
            </w:r>
          </w:p>
        </w:tc>
        <w:tc>
          <w:tcPr>
            <w:tcW w:w="387"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15 897</w:t>
            </w:r>
          </w:p>
        </w:tc>
        <w:tc>
          <w:tcPr>
            <w:tcW w:w="387"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100</w:t>
            </w:r>
          </w:p>
        </w:tc>
        <w:tc>
          <w:tcPr>
            <w:tcW w:w="387"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17 413</w:t>
            </w:r>
          </w:p>
        </w:tc>
        <w:tc>
          <w:tcPr>
            <w:tcW w:w="387"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100</w:t>
            </w:r>
          </w:p>
        </w:tc>
        <w:tc>
          <w:tcPr>
            <w:tcW w:w="387"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18 097</w:t>
            </w:r>
          </w:p>
        </w:tc>
        <w:tc>
          <w:tcPr>
            <w:tcW w:w="387"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100</w:t>
            </w:r>
          </w:p>
        </w:tc>
        <w:tc>
          <w:tcPr>
            <w:tcW w:w="387"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19 450</w:t>
            </w:r>
          </w:p>
        </w:tc>
        <w:tc>
          <w:tcPr>
            <w:tcW w:w="387" w:type="pct"/>
            <w:tcBorders>
              <w:top w:val="single" w:sz="12" w:space="0" w:color="auto"/>
              <w:bottom w:val="single" w:sz="12" w:space="0" w:color="auto"/>
              <w:right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100</w:t>
            </w:r>
          </w:p>
        </w:tc>
        <w:tc>
          <w:tcPr>
            <w:tcW w:w="387" w:type="pct"/>
            <w:tcBorders>
              <w:top w:val="single" w:sz="12" w:space="0" w:color="auto"/>
              <w:left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20 935</w:t>
            </w:r>
          </w:p>
        </w:tc>
        <w:tc>
          <w:tcPr>
            <w:tcW w:w="387" w:type="pct"/>
            <w:tcBorders>
              <w:top w:val="single" w:sz="12" w:space="0" w:color="auto"/>
              <w:bottom w:val="single" w:sz="12" w:space="0" w:color="auto"/>
            </w:tcBorders>
            <w:vAlign w:val="center"/>
          </w:tcPr>
          <w:p w:rsidR="005A63D9" w:rsidRPr="00E27ED8" w:rsidRDefault="005A63D9" w:rsidP="00734860">
            <w:pPr>
              <w:spacing w:after="144"/>
              <w:jc w:val="center"/>
              <w:rPr>
                <w:b/>
                <w:sz w:val="14"/>
                <w:szCs w:val="14"/>
              </w:rPr>
            </w:pPr>
            <w:r w:rsidRPr="00E27ED8">
              <w:rPr>
                <w:b/>
                <w:sz w:val="14"/>
                <w:szCs w:val="14"/>
              </w:rPr>
              <w:t>100</w:t>
            </w:r>
          </w:p>
        </w:tc>
      </w:tr>
    </w:tbl>
    <w:p w:rsidR="005A63D9" w:rsidRPr="00454158" w:rsidRDefault="005A63D9" w:rsidP="0008405A">
      <w:pPr>
        <w:pStyle w:val="ZDROJovan"/>
        <w:spacing w:after="144" w:line="288" w:lineRule="auto"/>
        <w:jc w:val="both"/>
      </w:pPr>
      <w:r w:rsidRPr="00734860">
        <w:t xml:space="preserve">Zdroj: StatBank Denmark – Education and Knowledge, Statistics Denmark; stav prosinec 2015. </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r w:rsidRPr="00ED31DB">
        <w:rPr>
          <w:color w:val="000000"/>
          <w:shd w:val="clear" w:color="auto" w:fill="FFFFFF"/>
          <w:lang w:eastAsia="cs-CZ"/>
        </w:rPr>
        <w:t>Dánský statistický úřad sleduje 17 oborů (směrů) výdajů veřejného sektoru na VaV. V Tab. č. 3 jsou uvedeny obory (směry), které jsou buď nesporným VaV životního prostředí (výzkum klimatu, výzkum životního prostředí), nebo s ním do značné míry souvisejí. Celkové výdaje relativně významně rostou. Nejvyšší podíl je ve všech sledovaných letech vydáván na biotechnologický výzkum. Celkové výdaje na VaV v oborech výzkum klimatu a výzkum životního prostředí se postupně snižují. Viz Tab. č. 4</w:t>
      </w:r>
      <w:r>
        <w:rPr>
          <w:color w:val="000000"/>
          <w:shd w:val="clear" w:color="auto" w:fill="FFFFFF"/>
          <w:lang w:eastAsia="cs-CZ"/>
        </w:rPr>
        <w:t>.</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p>
    <w:p w:rsidR="005A63D9" w:rsidRPr="00ED31DB" w:rsidRDefault="005A63D9" w:rsidP="00ED31DB">
      <w:pPr>
        <w:widowControl w:val="0"/>
        <w:adjustRightInd w:val="0"/>
        <w:spacing w:afterLines="0"/>
        <w:contextualSpacing w:val="0"/>
        <w:jc w:val="both"/>
        <w:textAlignment w:val="baseline"/>
        <w:rPr>
          <w:color w:val="000000"/>
          <w:shd w:val="clear" w:color="auto" w:fill="FFFFFF"/>
          <w:lang w:eastAsia="cs-CZ"/>
        </w:rPr>
      </w:pPr>
      <w:r w:rsidRPr="00ED31DB">
        <w:rPr>
          <w:b/>
          <w:color w:val="000000"/>
          <w:shd w:val="clear" w:color="auto" w:fill="FFFFFF"/>
          <w:lang w:eastAsia="cs-CZ"/>
        </w:rPr>
        <w:t>Tab. č. 4</w:t>
      </w:r>
      <w:r w:rsidRPr="00ED31DB">
        <w:rPr>
          <w:color w:val="000000"/>
          <w:shd w:val="clear" w:color="auto" w:fill="FFFFFF"/>
          <w:lang w:eastAsia="cs-CZ"/>
        </w:rPr>
        <w:t xml:space="preserve"> Podíly výdajů veřejného sektoru na VaV klima</w:t>
      </w:r>
      <w:r>
        <w:rPr>
          <w:color w:val="000000"/>
          <w:shd w:val="clear" w:color="auto" w:fill="FFFFFF"/>
          <w:lang w:eastAsia="cs-CZ"/>
        </w:rPr>
        <w:t>tu a VaV životního prostředí (% </w:t>
      </w:r>
      <w:r w:rsidRPr="00ED31DB">
        <w:rPr>
          <w:color w:val="000000"/>
          <w:shd w:val="clear" w:color="auto" w:fill="FFFFFF"/>
          <w:lang w:eastAsia="cs-CZ"/>
        </w:rPr>
        <w:t>celkových výdajů)</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860"/>
        <w:gridCol w:w="1286"/>
        <w:gridCol w:w="1286"/>
        <w:gridCol w:w="1285"/>
        <w:gridCol w:w="1285"/>
        <w:gridCol w:w="1285"/>
      </w:tblGrid>
      <w:tr w:rsidR="005A63D9" w:rsidRPr="00E27ED8" w:rsidTr="00510C04">
        <w:tc>
          <w:tcPr>
            <w:tcW w:w="1538"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p>
        </w:tc>
        <w:tc>
          <w:tcPr>
            <w:tcW w:w="692"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2009</w:t>
            </w:r>
          </w:p>
        </w:tc>
        <w:tc>
          <w:tcPr>
            <w:tcW w:w="692" w:type="pct"/>
            <w:tcBorders>
              <w:top w:val="single" w:sz="12" w:space="0" w:color="auto"/>
              <w:bottom w:val="double" w:sz="4"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2010</w:t>
            </w:r>
          </w:p>
        </w:tc>
        <w:tc>
          <w:tcPr>
            <w:tcW w:w="692" w:type="pct"/>
            <w:tcBorders>
              <w:top w:val="single" w:sz="12" w:space="0" w:color="auto"/>
              <w:bottom w:val="double" w:sz="4"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2011</w:t>
            </w:r>
          </w:p>
        </w:tc>
        <w:tc>
          <w:tcPr>
            <w:tcW w:w="692" w:type="pct"/>
            <w:tcBorders>
              <w:top w:val="single" w:sz="12" w:space="0" w:color="auto"/>
              <w:bottom w:val="double" w:sz="4"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2012</w:t>
            </w:r>
          </w:p>
        </w:tc>
        <w:tc>
          <w:tcPr>
            <w:tcW w:w="692" w:type="pct"/>
            <w:tcBorders>
              <w:top w:val="single" w:sz="12" w:space="0" w:color="auto"/>
              <w:bottom w:val="double" w:sz="4" w:space="0" w:color="auto"/>
            </w:tcBorders>
            <w:shd w:val="clear" w:color="auto" w:fill="BFBFBF"/>
            <w:vAlign w:val="center"/>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2013</w:t>
            </w:r>
          </w:p>
        </w:tc>
      </w:tr>
      <w:tr w:rsidR="005A63D9" w:rsidRPr="00E27ED8" w:rsidTr="00510C04">
        <w:tc>
          <w:tcPr>
            <w:tcW w:w="1538" w:type="pct"/>
            <w:tcBorders>
              <w:top w:val="double" w:sz="4" w:space="0" w:color="auto"/>
              <w:bottom w:val="single" w:sz="12" w:space="0" w:color="auto"/>
              <w:right w:val="single" w:sz="12" w:space="0" w:color="auto"/>
            </w:tcBorders>
          </w:tcPr>
          <w:p w:rsidR="005A63D9" w:rsidRPr="00E27ED8" w:rsidRDefault="005A63D9" w:rsidP="0008405A">
            <w:pPr>
              <w:autoSpaceDE w:val="0"/>
              <w:autoSpaceDN w:val="0"/>
              <w:adjustRightInd w:val="0"/>
              <w:spacing w:after="144"/>
              <w:jc w:val="both"/>
              <w:rPr>
                <w:rStyle w:val="hps"/>
                <w:b/>
                <w:sz w:val="18"/>
                <w:szCs w:val="18"/>
              </w:rPr>
            </w:pPr>
            <w:r w:rsidRPr="00E27ED8">
              <w:rPr>
                <w:rStyle w:val="hps"/>
                <w:b/>
                <w:sz w:val="18"/>
                <w:szCs w:val="18"/>
              </w:rPr>
              <w:t>Výzkum klimatu a výzkum životního prostředí</w:t>
            </w:r>
          </w:p>
        </w:tc>
        <w:tc>
          <w:tcPr>
            <w:tcW w:w="692" w:type="pct"/>
            <w:tcBorders>
              <w:top w:val="double" w:sz="4" w:space="0" w:color="auto"/>
              <w:left w:val="single" w:sz="12" w:space="0" w:color="auto"/>
              <w:bottom w:val="single" w:sz="12" w:space="0" w:color="auto"/>
            </w:tcBorders>
            <w:vAlign w:val="center"/>
          </w:tcPr>
          <w:p w:rsidR="005A63D9" w:rsidRPr="00E27ED8" w:rsidRDefault="005A63D9" w:rsidP="0008405A">
            <w:pPr>
              <w:autoSpaceDE w:val="0"/>
              <w:autoSpaceDN w:val="0"/>
              <w:adjustRightInd w:val="0"/>
              <w:spacing w:after="144"/>
              <w:jc w:val="both"/>
              <w:rPr>
                <w:rStyle w:val="hps"/>
                <w:sz w:val="18"/>
                <w:szCs w:val="18"/>
              </w:rPr>
            </w:pPr>
            <w:r w:rsidRPr="00E27ED8">
              <w:rPr>
                <w:rStyle w:val="hps"/>
                <w:sz w:val="18"/>
                <w:szCs w:val="18"/>
              </w:rPr>
              <w:t>10,8</w:t>
            </w:r>
          </w:p>
        </w:tc>
        <w:tc>
          <w:tcPr>
            <w:tcW w:w="692" w:type="pct"/>
            <w:tcBorders>
              <w:top w:val="double" w:sz="4" w:space="0" w:color="auto"/>
              <w:bottom w:val="single" w:sz="12" w:space="0" w:color="auto"/>
            </w:tcBorders>
            <w:vAlign w:val="center"/>
          </w:tcPr>
          <w:p w:rsidR="005A63D9" w:rsidRPr="00E27ED8" w:rsidRDefault="005A63D9" w:rsidP="0008405A">
            <w:pPr>
              <w:autoSpaceDE w:val="0"/>
              <w:autoSpaceDN w:val="0"/>
              <w:adjustRightInd w:val="0"/>
              <w:spacing w:after="144"/>
              <w:jc w:val="both"/>
              <w:rPr>
                <w:rStyle w:val="hps"/>
                <w:sz w:val="18"/>
                <w:szCs w:val="18"/>
              </w:rPr>
            </w:pPr>
            <w:r w:rsidRPr="00E27ED8">
              <w:rPr>
                <w:rStyle w:val="hps"/>
                <w:sz w:val="18"/>
                <w:szCs w:val="18"/>
              </w:rPr>
              <w:t>9,6</w:t>
            </w:r>
          </w:p>
        </w:tc>
        <w:tc>
          <w:tcPr>
            <w:tcW w:w="692" w:type="pct"/>
            <w:tcBorders>
              <w:top w:val="double" w:sz="4" w:space="0" w:color="auto"/>
              <w:bottom w:val="single" w:sz="12" w:space="0" w:color="auto"/>
            </w:tcBorders>
            <w:vAlign w:val="center"/>
          </w:tcPr>
          <w:p w:rsidR="005A63D9" w:rsidRPr="00E27ED8" w:rsidRDefault="005A63D9" w:rsidP="0008405A">
            <w:pPr>
              <w:autoSpaceDE w:val="0"/>
              <w:autoSpaceDN w:val="0"/>
              <w:adjustRightInd w:val="0"/>
              <w:spacing w:after="144"/>
              <w:jc w:val="both"/>
              <w:rPr>
                <w:rStyle w:val="hps"/>
                <w:sz w:val="18"/>
                <w:szCs w:val="18"/>
              </w:rPr>
            </w:pPr>
            <w:r w:rsidRPr="00E27ED8">
              <w:rPr>
                <w:rStyle w:val="hps"/>
                <w:sz w:val="18"/>
                <w:szCs w:val="18"/>
              </w:rPr>
              <w:t>10,8</w:t>
            </w:r>
          </w:p>
        </w:tc>
        <w:tc>
          <w:tcPr>
            <w:tcW w:w="692" w:type="pct"/>
            <w:tcBorders>
              <w:top w:val="double" w:sz="4" w:space="0" w:color="auto"/>
              <w:bottom w:val="single" w:sz="12" w:space="0" w:color="auto"/>
            </w:tcBorders>
            <w:vAlign w:val="center"/>
          </w:tcPr>
          <w:p w:rsidR="005A63D9" w:rsidRPr="00E27ED8" w:rsidRDefault="005A63D9" w:rsidP="0008405A">
            <w:pPr>
              <w:autoSpaceDE w:val="0"/>
              <w:autoSpaceDN w:val="0"/>
              <w:adjustRightInd w:val="0"/>
              <w:spacing w:after="144"/>
              <w:jc w:val="both"/>
              <w:rPr>
                <w:rStyle w:val="hps"/>
                <w:sz w:val="18"/>
                <w:szCs w:val="18"/>
              </w:rPr>
            </w:pPr>
            <w:r w:rsidRPr="00E27ED8">
              <w:rPr>
                <w:rStyle w:val="hps"/>
                <w:sz w:val="18"/>
                <w:szCs w:val="18"/>
              </w:rPr>
              <w:t>8,7</w:t>
            </w:r>
          </w:p>
        </w:tc>
        <w:tc>
          <w:tcPr>
            <w:tcW w:w="692" w:type="pct"/>
            <w:tcBorders>
              <w:top w:val="double" w:sz="4" w:space="0" w:color="auto"/>
              <w:bottom w:val="single" w:sz="12" w:space="0" w:color="auto"/>
            </w:tcBorders>
            <w:vAlign w:val="center"/>
          </w:tcPr>
          <w:p w:rsidR="005A63D9" w:rsidRPr="00E27ED8" w:rsidRDefault="005A63D9" w:rsidP="0008405A">
            <w:pPr>
              <w:autoSpaceDE w:val="0"/>
              <w:autoSpaceDN w:val="0"/>
              <w:adjustRightInd w:val="0"/>
              <w:spacing w:after="144"/>
              <w:jc w:val="both"/>
              <w:rPr>
                <w:rStyle w:val="hps"/>
                <w:sz w:val="18"/>
                <w:szCs w:val="18"/>
              </w:rPr>
            </w:pPr>
            <w:r w:rsidRPr="00E27ED8">
              <w:rPr>
                <w:rStyle w:val="hps"/>
                <w:sz w:val="18"/>
                <w:szCs w:val="18"/>
              </w:rPr>
              <w:t>7,3</w:t>
            </w:r>
          </w:p>
        </w:tc>
      </w:tr>
    </w:tbl>
    <w:p w:rsidR="005A63D9" w:rsidRPr="00454158" w:rsidRDefault="005A63D9" w:rsidP="0008405A">
      <w:pPr>
        <w:pStyle w:val="ZDROJovan"/>
        <w:spacing w:after="144" w:line="288" w:lineRule="auto"/>
        <w:jc w:val="both"/>
        <w:rPr>
          <w:rStyle w:val="hps"/>
          <w:rFonts w:cs="Arial"/>
        </w:rPr>
      </w:pPr>
      <w:r w:rsidRPr="00F2207D">
        <w:rPr>
          <w:rStyle w:val="hps"/>
          <w:rFonts w:cs="Arial"/>
        </w:rPr>
        <w:t xml:space="preserve">Zdroj: </w:t>
      </w:r>
      <w:r w:rsidRPr="00734860">
        <w:t xml:space="preserve">StatBank Denmark – Education and Knowledge, Statistics Denmark; stav prosinec 2015. </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r w:rsidRPr="00ED31DB">
        <w:rPr>
          <w:color w:val="000000"/>
          <w:shd w:val="clear" w:color="auto" w:fill="FFFFFF"/>
          <w:lang w:eastAsia="cs-CZ"/>
        </w:rPr>
        <w:t>Dánsko jako jedna z mála malých evropských zemí provozuje zahraniční inovační centra. Jejich vznik a provoz společně zabezpečují Ministerst</w:t>
      </w:r>
      <w:r>
        <w:rPr>
          <w:color w:val="000000"/>
          <w:shd w:val="clear" w:color="auto" w:fill="FFFFFF"/>
          <w:lang w:eastAsia="cs-CZ"/>
        </w:rPr>
        <w:t>vo zahraničí a Ministerstvo pro </w:t>
      </w:r>
      <w:r w:rsidRPr="00ED31DB">
        <w:rPr>
          <w:color w:val="000000"/>
          <w:shd w:val="clear" w:color="auto" w:fill="FFFFFF"/>
          <w:lang w:eastAsia="cs-CZ"/>
        </w:rPr>
        <w:t>vysokoškolské vzdělávání a vědu. V současné době má Dánsko 7 inovačních center (ICDK – www.icdk.um.dk): Silicon Valley, Šanghaj, Mnichov, Nové Dillí, São Paulo a Soul. Úkolem center je reprezentace a podpora d</w:t>
      </w:r>
      <w:r>
        <w:rPr>
          <w:color w:val="000000"/>
          <w:shd w:val="clear" w:color="auto" w:fill="FFFFFF"/>
          <w:lang w:eastAsia="cs-CZ"/>
        </w:rPr>
        <w:t>ánských zájmů v oblasti VaVaI a </w:t>
      </w:r>
      <w:r w:rsidRPr="00ED31DB">
        <w:rPr>
          <w:color w:val="000000"/>
          <w:shd w:val="clear" w:color="auto" w:fill="FFFFFF"/>
          <w:lang w:eastAsia="cs-CZ"/>
        </w:rPr>
        <w:t>vysokoškolského vzdělávání v USA, Číně, Německu, Indii, Brazílii a Jižní Koreji. Jejich aktivity se zaměřují na šest oblastí: podnikání (podnikatelské kempy s výměnou znalostí a zkušeností, porovnávání různých modelů podnikání); spolupráce v oblasti vysokoškolského vzdělávání (studentské inovační tábory a četné jiné); věda a technologie (výměny a skauting odborníků, semináře a workshopy, výměna zkušeností z hodnocení VaVaI); společné inovační projekty.</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r w:rsidRPr="00ED31DB">
        <w:rPr>
          <w:color w:val="000000"/>
          <w:shd w:val="clear" w:color="auto" w:fill="FFFFFF"/>
          <w:lang w:eastAsia="cs-CZ"/>
        </w:rPr>
        <w:t>Na zakázku obou ministerstev vypracoval evaluaci dánských inovačních center tým Oxford Research</w:t>
      </w:r>
      <w:r w:rsidRPr="00ED31DB">
        <w:rPr>
          <w:color w:val="000000"/>
          <w:shd w:val="clear" w:color="auto" w:fill="FFFFFF"/>
          <w:vertAlign w:val="superscript"/>
          <w:lang w:eastAsia="cs-CZ"/>
        </w:rPr>
        <w:footnoteReference w:id="9"/>
      </w:r>
      <w:r w:rsidRPr="00ED31DB">
        <w:rPr>
          <w:color w:val="000000"/>
          <w:shd w:val="clear" w:color="auto" w:fill="FFFFFF"/>
          <w:lang w:eastAsia="cs-CZ"/>
        </w:rPr>
        <w:t>. Evaluace byla předložena 25. 9. 2015. Ve zprávě jsou uvedena konkrétní doporučení pro některá zlepšení, ale souhrnně zpráva doporučuje v činnosti center pokračovat.</w:t>
      </w:r>
    </w:p>
    <w:p w:rsidR="005A63D9" w:rsidRPr="00ED31DB" w:rsidRDefault="005A63D9" w:rsidP="00ED31DB">
      <w:pPr>
        <w:widowControl w:val="0"/>
        <w:adjustRightInd w:val="0"/>
        <w:spacing w:afterLines="0"/>
        <w:ind w:firstLine="539"/>
        <w:contextualSpacing w:val="0"/>
        <w:jc w:val="both"/>
        <w:textAlignment w:val="baseline"/>
        <w:rPr>
          <w:color w:val="000000"/>
          <w:shd w:val="clear" w:color="auto" w:fill="FFFFFF"/>
          <w:lang w:eastAsia="cs-CZ"/>
        </w:rPr>
      </w:pPr>
      <w:r w:rsidRPr="00ED31DB">
        <w:rPr>
          <w:color w:val="000000"/>
          <w:shd w:val="clear" w:color="auto" w:fill="FFFFFF"/>
          <w:lang w:eastAsia="cs-CZ"/>
        </w:rPr>
        <w:br w:type="page"/>
      </w:r>
    </w:p>
    <w:p w:rsidR="005A63D9" w:rsidRPr="001528DD" w:rsidRDefault="005A63D9" w:rsidP="001528DD">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39" w:name="_Toc440897400"/>
      <w:bookmarkStart w:id="40" w:name="_Toc441760802"/>
      <w:bookmarkStart w:id="41" w:name="_Toc441849465"/>
      <w:r w:rsidRPr="001528DD">
        <w:rPr>
          <w:rFonts w:cs="Arial"/>
          <w:bCs/>
          <w:color w:val="000000"/>
          <w:kern w:val="32"/>
          <w:szCs w:val="32"/>
          <w:shd w:val="clear" w:color="auto" w:fill="FFFFFF"/>
          <w:lang/>
        </w:rPr>
        <w:t>2. Rakousko</w:t>
      </w:r>
      <w:bookmarkEnd w:id="39"/>
      <w:bookmarkEnd w:id="40"/>
      <w:bookmarkEnd w:id="41"/>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Rakousko patří k zemím, kterým se daří plnit již několikrát opakovaný cíl EU</w:t>
      </w:r>
      <w:r w:rsidRPr="001528DD">
        <w:rPr>
          <w:color w:val="000000"/>
          <w:shd w:val="clear" w:color="auto" w:fill="FFFFFF"/>
          <w:vertAlign w:val="superscript"/>
          <w:lang w:eastAsia="cs-CZ"/>
        </w:rPr>
        <w:footnoteReference w:id="10"/>
      </w:r>
      <w:r w:rsidRPr="001528DD">
        <w:rPr>
          <w:color w:val="000000"/>
          <w:shd w:val="clear" w:color="auto" w:fill="FFFFFF"/>
          <w:lang w:eastAsia="cs-CZ"/>
        </w:rPr>
        <w:t xml:space="preserve"> dosáhnout výdajů na VaV ve výši 3 % HDP. Rakousko dále patří k zemím s relativně vysokým podílem státních výdajů na celkových výdajích na VaV. Základní charakteristiky výdajů na VaV jsou uvedeny v</w:t>
      </w:r>
      <w:r>
        <w:rPr>
          <w:color w:val="000000"/>
          <w:shd w:val="clear" w:color="auto" w:fill="FFFFFF"/>
          <w:lang w:eastAsia="cs-CZ"/>
        </w:rPr>
        <w:t xml:space="preserve"> </w:t>
      </w:r>
      <w:r w:rsidRPr="001528DD">
        <w:rPr>
          <w:color w:val="000000"/>
          <w:shd w:val="clear" w:color="auto" w:fill="FFFFFF"/>
          <w:lang w:eastAsia="cs-CZ"/>
        </w:rPr>
        <w:t>Tab. č. 5.</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p>
    <w:p w:rsidR="005A63D9" w:rsidRPr="001528DD" w:rsidRDefault="005A63D9" w:rsidP="001528DD">
      <w:pPr>
        <w:widowControl w:val="0"/>
        <w:adjustRightInd w:val="0"/>
        <w:spacing w:afterLines="0"/>
        <w:contextualSpacing w:val="0"/>
        <w:jc w:val="both"/>
        <w:textAlignment w:val="baseline"/>
        <w:rPr>
          <w:color w:val="000000"/>
          <w:shd w:val="clear" w:color="auto" w:fill="FFFFFF"/>
          <w:lang w:eastAsia="cs-CZ"/>
        </w:rPr>
      </w:pPr>
      <w:r w:rsidRPr="001528DD">
        <w:rPr>
          <w:b/>
          <w:color w:val="000000"/>
          <w:shd w:val="clear" w:color="auto" w:fill="FFFFFF"/>
          <w:lang w:eastAsia="cs-CZ"/>
        </w:rPr>
        <w:t xml:space="preserve">Tab. č. 5 </w:t>
      </w:r>
      <w:r w:rsidRPr="001528DD">
        <w:rPr>
          <w:color w:val="000000"/>
          <w:shd w:val="clear" w:color="auto" w:fill="FFFFFF"/>
          <w:lang w:eastAsia="cs-CZ"/>
        </w:rPr>
        <w:t>Základní charakteristiky podpory VaV v Rakousku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422"/>
        <w:gridCol w:w="978"/>
        <w:gridCol w:w="978"/>
        <w:gridCol w:w="978"/>
        <w:gridCol w:w="977"/>
        <w:gridCol w:w="977"/>
        <w:gridCol w:w="977"/>
      </w:tblGrid>
      <w:tr w:rsidR="005A63D9" w:rsidRPr="00E27ED8" w:rsidTr="00510C04">
        <w:tc>
          <w:tcPr>
            <w:tcW w:w="1841"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spacing w:after="144"/>
              <w:jc w:val="both"/>
              <w:rPr>
                <w:b/>
                <w:sz w:val="20"/>
                <w:szCs w:val="20"/>
              </w:rPr>
            </w:pPr>
          </w:p>
        </w:tc>
        <w:tc>
          <w:tcPr>
            <w:tcW w:w="526"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2008</w:t>
            </w:r>
          </w:p>
        </w:tc>
        <w:tc>
          <w:tcPr>
            <w:tcW w:w="526" w:type="pct"/>
            <w:tcBorders>
              <w:top w:val="single" w:sz="12" w:space="0" w:color="auto"/>
              <w:bottom w:val="double" w:sz="4"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2010</w:t>
            </w:r>
          </w:p>
        </w:tc>
        <w:tc>
          <w:tcPr>
            <w:tcW w:w="526" w:type="pct"/>
            <w:tcBorders>
              <w:top w:val="single" w:sz="12" w:space="0" w:color="auto"/>
              <w:bottom w:val="double" w:sz="4"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2011</w:t>
            </w:r>
          </w:p>
        </w:tc>
        <w:tc>
          <w:tcPr>
            <w:tcW w:w="526" w:type="pct"/>
            <w:tcBorders>
              <w:top w:val="single" w:sz="12" w:space="0" w:color="auto"/>
              <w:bottom w:val="double" w:sz="4" w:space="0" w:color="auto"/>
            </w:tcBorders>
            <w:shd w:val="clear" w:color="auto" w:fill="BFBFBF"/>
          </w:tcPr>
          <w:p w:rsidR="005A63D9" w:rsidRPr="00E27ED8" w:rsidRDefault="005A63D9" w:rsidP="0008405A">
            <w:pPr>
              <w:spacing w:after="144"/>
              <w:jc w:val="both"/>
              <w:rPr>
                <w:b/>
                <w:sz w:val="18"/>
                <w:szCs w:val="18"/>
              </w:rPr>
            </w:pPr>
            <w:r w:rsidRPr="00E27ED8">
              <w:rPr>
                <w:b/>
                <w:sz w:val="18"/>
                <w:szCs w:val="18"/>
              </w:rPr>
              <w:t>2012</w:t>
            </w:r>
          </w:p>
        </w:tc>
        <w:tc>
          <w:tcPr>
            <w:tcW w:w="526" w:type="pct"/>
            <w:tcBorders>
              <w:top w:val="single" w:sz="12" w:space="0" w:color="auto"/>
              <w:bottom w:val="double" w:sz="4" w:space="0" w:color="auto"/>
            </w:tcBorders>
            <w:shd w:val="clear" w:color="auto" w:fill="BFBFBF"/>
          </w:tcPr>
          <w:p w:rsidR="005A63D9" w:rsidRPr="00E27ED8" w:rsidRDefault="005A63D9" w:rsidP="0008405A">
            <w:pPr>
              <w:spacing w:after="144"/>
              <w:jc w:val="both"/>
              <w:rPr>
                <w:b/>
                <w:sz w:val="18"/>
                <w:szCs w:val="18"/>
              </w:rPr>
            </w:pPr>
            <w:r w:rsidRPr="00E27ED8">
              <w:rPr>
                <w:b/>
                <w:sz w:val="18"/>
                <w:szCs w:val="18"/>
              </w:rPr>
              <w:t>2013</w:t>
            </w:r>
          </w:p>
        </w:tc>
        <w:tc>
          <w:tcPr>
            <w:tcW w:w="526" w:type="pct"/>
            <w:tcBorders>
              <w:top w:val="single" w:sz="12" w:space="0" w:color="auto"/>
              <w:bottom w:val="double" w:sz="4"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2014</w:t>
            </w:r>
          </w:p>
        </w:tc>
      </w:tr>
      <w:tr w:rsidR="005A63D9" w:rsidRPr="00E27ED8" w:rsidTr="00510C04">
        <w:tc>
          <w:tcPr>
            <w:tcW w:w="1841" w:type="pct"/>
            <w:tcBorders>
              <w:top w:val="double" w:sz="4" w:space="0" w:color="auto"/>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0" w:firstLine="0"/>
              <w:jc w:val="both"/>
              <w:rPr>
                <w:sz w:val="18"/>
                <w:szCs w:val="18"/>
              </w:rPr>
            </w:pPr>
            <w:r w:rsidRPr="00E27ED8">
              <w:rPr>
                <w:sz w:val="18"/>
                <w:szCs w:val="18"/>
              </w:rPr>
              <w:t>Výdaje na VaV (% HDP)</w:t>
            </w:r>
          </w:p>
        </w:tc>
        <w:tc>
          <w:tcPr>
            <w:tcW w:w="526" w:type="pct"/>
            <w:tcBorders>
              <w:top w:val="double" w:sz="4" w:space="0" w:color="auto"/>
              <w:left w:val="single" w:sz="12" w:space="0" w:color="auto"/>
            </w:tcBorders>
            <w:vAlign w:val="center"/>
          </w:tcPr>
          <w:p w:rsidR="005A63D9" w:rsidRPr="00E27ED8" w:rsidRDefault="005A63D9" w:rsidP="0008405A">
            <w:pPr>
              <w:spacing w:after="144"/>
              <w:jc w:val="both"/>
              <w:rPr>
                <w:sz w:val="18"/>
                <w:szCs w:val="18"/>
              </w:rPr>
            </w:pPr>
            <w:r w:rsidRPr="00E27ED8">
              <w:rPr>
                <w:sz w:val="18"/>
                <w:szCs w:val="18"/>
              </w:rPr>
              <w:t>2,67</w:t>
            </w:r>
          </w:p>
        </w:tc>
        <w:tc>
          <w:tcPr>
            <w:tcW w:w="526" w:type="pct"/>
            <w:tcBorders>
              <w:top w:val="double" w:sz="4" w:space="0" w:color="auto"/>
            </w:tcBorders>
            <w:vAlign w:val="center"/>
          </w:tcPr>
          <w:p w:rsidR="005A63D9" w:rsidRPr="00E27ED8" w:rsidRDefault="005A63D9" w:rsidP="0008405A">
            <w:pPr>
              <w:spacing w:after="144"/>
              <w:jc w:val="both"/>
              <w:rPr>
                <w:sz w:val="18"/>
                <w:szCs w:val="18"/>
              </w:rPr>
            </w:pPr>
            <w:r w:rsidRPr="00E27ED8">
              <w:rPr>
                <w:sz w:val="18"/>
                <w:szCs w:val="18"/>
              </w:rPr>
              <w:t>2,83</w:t>
            </w:r>
          </w:p>
        </w:tc>
        <w:tc>
          <w:tcPr>
            <w:tcW w:w="526" w:type="pct"/>
            <w:tcBorders>
              <w:top w:val="double" w:sz="4" w:space="0" w:color="auto"/>
            </w:tcBorders>
            <w:vAlign w:val="center"/>
          </w:tcPr>
          <w:p w:rsidR="005A63D9" w:rsidRPr="00E27ED8" w:rsidRDefault="005A63D9" w:rsidP="0008405A">
            <w:pPr>
              <w:spacing w:after="144"/>
              <w:jc w:val="both"/>
              <w:rPr>
                <w:sz w:val="18"/>
                <w:szCs w:val="18"/>
              </w:rPr>
            </w:pPr>
            <w:r w:rsidRPr="00E27ED8">
              <w:rPr>
                <w:sz w:val="18"/>
                <w:szCs w:val="18"/>
              </w:rPr>
              <w:t>2,77</w:t>
            </w:r>
          </w:p>
        </w:tc>
        <w:tc>
          <w:tcPr>
            <w:tcW w:w="526" w:type="pct"/>
            <w:tcBorders>
              <w:top w:val="double" w:sz="4" w:space="0" w:color="auto"/>
            </w:tcBorders>
          </w:tcPr>
          <w:p w:rsidR="005A63D9" w:rsidRPr="00E27ED8" w:rsidRDefault="005A63D9" w:rsidP="0008405A">
            <w:pPr>
              <w:spacing w:after="144"/>
              <w:jc w:val="both"/>
              <w:rPr>
                <w:sz w:val="18"/>
                <w:szCs w:val="18"/>
              </w:rPr>
            </w:pPr>
            <w:r w:rsidRPr="00E27ED8">
              <w:rPr>
                <w:sz w:val="18"/>
                <w:szCs w:val="18"/>
              </w:rPr>
              <w:t>2,90</w:t>
            </w:r>
          </w:p>
        </w:tc>
        <w:tc>
          <w:tcPr>
            <w:tcW w:w="526" w:type="pct"/>
            <w:tcBorders>
              <w:top w:val="double" w:sz="4" w:space="0" w:color="auto"/>
            </w:tcBorders>
          </w:tcPr>
          <w:p w:rsidR="005A63D9" w:rsidRPr="00E27ED8" w:rsidRDefault="005A63D9" w:rsidP="0008405A">
            <w:pPr>
              <w:spacing w:after="144"/>
              <w:jc w:val="both"/>
              <w:rPr>
                <w:sz w:val="18"/>
                <w:szCs w:val="18"/>
              </w:rPr>
            </w:pPr>
            <w:r w:rsidRPr="00E27ED8">
              <w:rPr>
                <w:sz w:val="18"/>
                <w:szCs w:val="18"/>
              </w:rPr>
              <w:t>2,90</w:t>
            </w:r>
          </w:p>
        </w:tc>
        <w:tc>
          <w:tcPr>
            <w:tcW w:w="526" w:type="pct"/>
            <w:tcBorders>
              <w:top w:val="double" w:sz="4" w:space="0" w:color="auto"/>
            </w:tcBorders>
            <w:vAlign w:val="center"/>
          </w:tcPr>
          <w:p w:rsidR="005A63D9" w:rsidRPr="00E27ED8" w:rsidRDefault="005A63D9" w:rsidP="0008405A">
            <w:pPr>
              <w:spacing w:after="144"/>
              <w:jc w:val="both"/>
              <w:rPr>
                <w:sz w:val="18"/>
                <w:szCs w:val="18"/>
              </w:rPr>
            </w:pPr>
            <w:r w:rsidRPr="00E27ED8">
              <w:rPr>
                <w:sz w:val="18"/>
                <w:szCs w:val="18"/>
              </w:rPr>
              <w:t>2,88</w:t>
            </w:r>
          </w:p>
        </w:tc>
      </w:tr>
      <w:tr w:rsidR="005A63D9" w:rsidRPr="00E27ED8" w:rsidTr="00510C04">
        <w:tc>
          <w:tcPr>
            <w:tcW w:w="1841" w:type="pct"/>
            <w:tcBorders>
              <w:right w:val="single" w:sz="12" w:space="0" w:color="auto"/>
            </w:tcBorders>
            <w:vAlign w:val="center"/>
          </w:tcPr>
          <w:p w:rsidR="005A63D9" w:rsidRPr="00E27ED8" w:rsidRDefault="005A63D9" w:rsidP="0054494D">
            <w:pPr>
              <w:pStyle w:val="ListParagraph"/>
              <w:numPr>
                <w:ilvl w:val="0"/>
                <w:numId w:val="15"/>
              </w:numPr>
              <w:spacing w:afterLines="0"/>
              <w:ind w:left="284" w:hanging="284"/>
              <w:jc w:val="both"/>
              <w:rPr>
                <w:sz w:val="18"/>
                <w:szCs w:val="18"/>
              </w:rPr>
            </w:pPr>
            <w:r w:rsidRPr="00E27ED8">
              <w:rPr>
                <w:sz w:val="18"/>
                <w:szCs w:val="18"/>
              </w:rPr>
              <w:t>Podíl státních výdajů na celkových výdajích na VaV (%)</w:t>
            </w:r>
          </w:p>
        </w:tc>
        <w:tc>
          <w:tcPr>
            <w:tcW w:w="526" w:type="pct"/>
            <w:tcBorders>
              <w:left w:val="single" w:sz="12" w:space="0" w:color="auto"/>
            </w:tcBorders>
            <w:vAlign w:val="center"/>
          </w:tcPr>
          <w:p w:rsidR="005A63D9" w:rsidRPr="00E27ED8" w:rsidRDefault="005A63D9" w:rsidP="0008405A">
            <w:pPr>
              <w:spacing w:after="144"/>
              <w:jc w:val="both"/>
              <w:rPr>
                <w:sz w:val="18"/>
                <w:szCs w:val="18"/>
              </w:rPr>
            </w:pPr>
            <w:r w:rsidRPr="00E27ED8">
              <w:rPr>
                <w:sz w:val="18"/>
                <w:szCs w:val="18"/>
              </w:rPr>
              <w:t>1,37</w:t>
            </w:r>
          </w:p>
        </w:tc>
        <w:tc>
          <w:tcPr>
            <w:tcW w:w="526" w:type="pct"/>
            <w:vAlign w:val="center"/>
          </w:tcPr>
          <w:p w:rsidR="005A63D9" w:rsidRPr="00E27ED8" w:rsidRDefault="005A63D9" w:rsidP="0008405A">
            <w:pPr>
              <w:spacing w:after="144"/>
              <w:jc w:val="both"/>
              <w:rPr>
                <w:sz w:val="18"/>
                <w:szCs w:val="18"/>
              </w:rPr>
            </w:pPr>
            <w:r w:rsidRPr="00E27ED8">
              <w:rPr>
                <w:sz w:val="18"/>
                <w:szCs w:val="18"/>
              </w:rPr>
              <w:t>1,46</w:t>
            </w:r>
          </w:p>
        </w:tc>
        <w:tc>
          <w:tcPr>
            <w:tcW w:w="526" w:type="pct"/>
            <w:vAlign w:val="center"/>
          </w:tcPr>
          <w:p w:rsidR="005A63D9" w:rsidRPr="00E27ED8" w:rsidRDefault="005A63D9" w:rsidP="0008405A">
            <w:pPr>
              <w:spacing w:after="144"/>
              <w:jc w:val="both"/>
              <w:rPr>
                <w:sz w:val="18"/>
                <w:szCs w:val="18"/>
              </w:rPr>
            </w:pPr>
            <w:r w:rsidRPr="00E27ED8">
              <w:rPr>
                <w:sz w:val="18"/>
                <w:szCs w:val="18"/>
              </w:rPr>
              <w:t>1,55</w:t>
            </w:r>
          </w:p>
        </w:tc>
        <w:tc>
          <w:tcPr>
            <w:tcW w:w="526" w:type="pct"/>
          </w:tcPr>
          <w:p w:rsidR="005A63D9" w:rsidRPr="00E27ED8" w:rsidRDefault="005A63D9" w:rsidP="0008405A">
            <w:pPr>
              <w:spacing w:after="144"/>
              <w:jc w:val="both"/>
              <w:rPr>
                <w:sz w:val="18"/>
                <w:szCs w:val="18"/>
              </w:rPr>
            </w:pPr>
            <w:r w:rsidRPr="00E27ED8">
              <w:rPr>
                <w:sz w:val="18"/>
                <w:szCs w:val="18"/>
              </w:rPr>
              <w:t>1,52</w:t>
            </w:r>
          </w:p>
        </w:tc>
        <w:tc>
          <w:tcPr>
            <w:tcW w:w="526" w:type="pct"/>
          </w:tcPr>
          <w:p w:rsidR="005A63D9" w:rsidRPr="00E27ED8" w:rsidRDefault="005A63D9" w:rsidP="0008405A">
            <w:pPr>
              <w:spacing w:after="144"/>
              <w:jc w:val="both"/>
              <w:rPr>
                <w:sz w:val="18"/>
                <w:szCs w:val="18"/>
              </w:rPr>
            </w:pPr>
            <w:r w:rsidRPr="00E27ED8">
              <w:rPr>
                <w:sz w:val="18"/>
                <w:szCs w:val="18"/>
              </w:rPr>
              <w:t>1,58</w:t>
            </w:r>
          </w:p>
        </w:tc>
        <w:tc>
          <w:tcPr>
            <w:tcW w:w="526" w:type="pct"/>
            <w:vAlign w:val="center"/>
          </w:tcPr>
          <w:p w:rsidR="005A63D9" w:rsidRPr="00E27ED8" w:rsidRDefault="005A63D9" w:rsidP="0008405A">
            <w:pPr>
              <w:spacing w:after="144"/>
              <w:jc w:val="both"/>
              <w:rPr>
                <w:sz w:val="18"/>
                <w:szCs w:val="18"/>
              </w:rPr>
            </w:pPr>
          </w:p>
        </w:tc>
      </w:tr>
      <w:tr w:rsidR="005A63D9" w:rsidRPr="00E27ED8" w:rsidTr="00510C04">
        <w:tc>
          <w:tcPr>
            <w:tcW w:w="1841" w:type="pct"/>
            <w:tcBorders>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284" w:hanging="284"/>
              <w:jc w:val="both"/>
              <w:rPr>
                <w:sz w:val="18"/>
                <w:szCs w:val="18"/>
              </w:rPr>
            </w:pPr>
            <w:r w:rsidRPr="00E27ED8">
              <w:rPr>
                <w:sz w:val="18"/>
                <w:szCs w:val="18"/>
              </w:rPr>
              <w:t>Podíl státních výdajů na VaV na celkových výdajích státu (%)</w:t>
            </w:r>
          </w:p>
        </w:tc>
        <w:tc>
          <w:tcPr>
            <w:tcW w:w="526" w:type="pct"/>
            <w:tcBorders>
              <w:left w:val="single" w:sz="12" w:space="0" w:color="auto"/>
            </w:tcBorders>
            <w:vAlign w:val="center"/>
          </w:tcPr>
          <w:p w:rsidR="005A63D9" w:rsidRPr="00E27ED8" w:rsidRDefault="005A63D9" w:rsidP="0008405A">
            <w:pPr>
              <w:spacing w:after="144"/>
              <w:jc w:val="both"/>
              <w:rPr>
                <w:sz w:val="18"/>
                <w:szCs w:val="18"/>
              </w:rPr>
            </w:pPr>
            <w:r w:rsidRPr="00E27ED8">
              <w:rPr>
                <w:sz w:val="18"/>
                <w:szCs w:val="18"/>
              </w:rPr>
              <w:t>35,5</w:t>
            </w:r>
          </w:p>
        </w:tc>
        <w:tc>
          <w:tcPr>
            <w:tcW w:w="526" w:type="pct"/>
            <w:vAlign w:val="center"/>
          </w:tcPr>
          <w:p w:rsidR="005A63D9" w:rsidRPr="00E27ED8" w:rsidRDefault="005A63D9" w:rsidP="0008405A">
            <w:pPr>
              <w:spacing w:after="144"/>
              <w:jc w:val="both"/>
              <w:rPr>
                <w:sz w:val="18"/>
                <w:szCs w:val="18"/>
              </w:rPr>
            </w:pPr>
            <w:r w:rsidRPr="00E27ED8">
              <w:rPr>
                <w:sz w:val="18"/>
                <w:szCs w:val="18"/>
              </w:rPr>
              <w:t>37,1</w:t>
            </w:r>
          </w:p>
        </w:tc>
        <w:tc>
          <w:tcPr>
            <w:tcW w:w="526" w:type="pct"/>
            <w:vAlign w:val="center"/>
          </w:tcPr>
          <w:p w:rsidR="005A63D9" w:rsidRPr="00E27ED8" w:rsidRDefault="005A63D9" w:rsidP="0008405A">
            <w:pPr>
              <w:spacing w:after="144"/>
              <w:jc w:val="both"/>
              <w:rPr>
                <w:sz w:val="18"/>
                <w:szCs w:val="18"/>
              </w:rPr>
            </w:pPr>
            <w:r w:rsidRPr="00E27ED8">
              <w:rPr>
                <w:sz w:val="18"/>
                <w:szCs w:val="18"/>
              </w:rPr>
              <w:t>35,2</w:t>
            </w:r>
          </w:p>
        </w:tc>
        <w:tc>
          <w:tcPr>
            <w:tcW w:w="526" w:type="pct"/>
            <w:vAlign w:val="center"/>
          </w:tcPr>
          <w:p w:rsidR="005A63D9" w:rsidRPr="00E27ED8" w:rsidRDefault="005A63D9" w:rsidP="0008405A">
            <w:pPr>
              <w:spacing w:after="144"/>
              <w:jc w:val="both"/>
              <w:rPr>
                <w:sz w:val="18"/>
                <w:szCs w:val="18"/>
              </w:rPr>
            </w:pPr>
            <w:r w:rsidRPr="00E27ED8">
              <w:rPr>
                <w:sz w:val="18"/>
                <w:szCs w:val="18"/>
              </w:rPr>
              <w:t>38,1</w:t>
            </w:r>
          </w:p>
        </w:tc>
        <w:tc>
          <w:tcPr>
            <w:tcW w:w="526" w:type="pct"/>
            <w:vAlign w:val="center"/>
          </w:tcPr>
          <w:p w:rsidR="005A63D9" w:rsidRPr="00E27ED8" w:rsidRDefault="005A63D9" w:rsidP="0008405A">
            <w:pPr>
              <w:spacing w:after="144"/>
              <w:jc w:val="both"/>
              <w:rPr>
                <w:sz w:val="18"/>
                <w:szCs w:val="18"/>
              </w:rPr>
            </w:pPr>
            <w:r w:rsidRPr="00E27ED8">
              <w:rPr>
                <w:sz w:val="18"/>
                <w:szCs w:val="18"/>
              </w:rPr>
              <w:t>37,9</w:t>
            </w:r>
          </w:p>
        </w:tc>
        <w:tc>
          <w:tcPr>
            <w:tcW w:w="526" w:type="pct"/>
            <w:vAlign w:val="center"/>
          </w:tcPr>
          <w:p w:rsidR="005A63D9" w:rsidRPr="00E27ED8" w:rsidRDefault="005A63D9" w:rsidP="0008405A">
            <w:pPr>
              <w:spacing w:after="144"/>
              <w:jc w:val="both"/>
              <w:rPr>
                <w:sz w:val="18"/>
                <w:szCs w:val="18"/>
              </w:rPr>
            </w:pPr>
            <w:r w:rsidRPr="00E27ED8">
              <w:rPr>
                <w:sz w:val="18"/>
                <w:szCs w:val="18"/>
              </w:rPr>
              <w:t>37,5</w:t>
            </w:r>
          </w:p>
        </w:tc>
      </w:tr>
      <w:tr w:rsidR="005A63D9" w:rsidRPr="00E27ED8" w:rsidTr="00510C04">
        <w:tc>
          <w:tcPr>
            <w:tcW w:w="1841" w:type="pct"/>
            <w:tcBorders>
              <w:bottom w:val="single" w:sz="12" w:space="0" w:color="auto"/>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284" w:hanging="284"/>
              <w:jc w:val="both"/>
              <w:rPr>
                <w:sz w:val="18"/>
                <w:szCs w:val="18"/>
              </w:rPr>
            </w:pPr>
            <w:r w:rsidRPr="00E27ED8">
              <w:rPr>
                <w:sz w:val="18"/>
                <w:szCs w:val="18"/>
              </w:rPr>
              <w:t>Podíl účelových výdajů státu na VaV na celkových výdajích státu na VaV (%)</w:t>
            </w:r>
          </w:p>
        </w:tc>
        <w:tc>
          <w:tcPr>
            <w:tcW w:w="526" w:type="pct"/>
            <w:tcBorders>
              <w:left w:val="single" w:sz="12" w:space="0" w:color="auto"/>
              <w:bottom w:val="single" w:sz="12" w:space="0" w:color="auto"/>
            </w:tcBorders>
            <w:vAlign w:val="center"/>
          </w:tcPr>
          <w:p w:rsidR="005A63D9" w:rsidRPr="00E27ED8" w:rsidRDefault="005A63D9" w:rsidP="0008405A">
            <w:pPr>
              <w:spacing w:after="144"/>
              <w:jc w:val="both"/>
              <w:rPr>
                <w:sz w:val="18"/>
                <w:szCs w:val="18"/>
              </w:rPr>
            </w:pPr>
          </w:p>
        </w:tc>
        <w:tc>
          <w:tcPr>
            <w:tcW w:w="526" w:type="pct"/>
            <w:tcBorders>
              <w:bottom w:val="single" w:sz="12" w:space="0" w:color="auto"/>
            </w:tcBorders>
            <w:vAlign w:val="center"/>
          </w:tcPr>
          <w:p w:rsidR="005A63D9" w:rsidRPr="00E27ED8" w:rsidRDefault="005A63D9" w:rsidP="0008405A">
            <w:pPr>
              <w:spacing w:after="144"/>
              <w:jc w:val="both"/>
              <w:rPr>
                <w:sz w:val="18"/>
                <w:szCs w:val="18"/>
              </w:rPr>
            </w:pPr>
          </w:p>
        </w:tc>
        <w:tc>
          <w:tcPr>
            <w:tcW w:w="526" w:type="pct"/>
            <w:tcBorders>
              <w:bottom w:val="single" w:sz="12" w:space="0" w:color="auto"/>
            </w:tcBorders>
            <w:vAlign w:val="center"/>
          </w:tcPr>
          <w:p w:rsidR="005A63D9" w:rsidRPr="00E27ED8" w:rsidRDefault="005A63D9" w:rsidP="0008405A">
            <w:pPr>
              <w:spacing w:after="144"/>
              <w:jc w:val="both"/>
              <w:rPr>
                <w:sz w:val="18"/>
                <w:szCs w:val="18"/>
              </w:rPr>
            </w:pPr>
            <w:r w:rsidRPr="00E27ED8">
              <w:rPr>
                <w:sz w:val="18"/>
                <w:szCs w:val="18"/>
              </w:rPr>
              <w:t>28,0</w:t>
            </w:r>
          </w:p>
        </w:tc>
        <w:tc>
          <w:tcPr>
            <w:tcW w:w="526" w:type="pct"/>
            <w:tcBorders>
              <w:bottom w:val="single" w:sz="12" w:space="0" w:color="auto"/>
            </w:tcBorders>
            <w:vAlign w:val="center"/>
          </w:tcPr>
          <w:p w:rsidR="005A63D9" w:rsidRPr="00E27ED8" w:rsidRDefault="005A63D9" w:rsidP="0008405A">
            <w:pPr>
              <w:spacing w:after="144"/>
              <w:jc w:val="both"/>
              <w:rPr>
                <w:sz w:val="18"/>
                <w:szCs w:val="18"/>
              </w:rPr>
            </w:pPr>
            <w:r w:rsidRPr="00E27ED8">
              <w:rPr>
                <w:sz w:val="18"/>
                <w:szCs w:val="18"/>
              </w:rPr>
              <w:t>26,8</w:t>
            </w:r>
          </w:p>
        </w:tc>
        <w:tc>
          <w:tcPr>
            <w:tcW w:w="526" w:type="pct"/>
            <w:tcBorders>
              <w:bottom w:val="single" w:sz="12" w:space="0" w:color="auto"/>
            </w:tcBorders>
            <w:vAlign w:val="center"/>
          </w:tcPr>
          <w:p w:rsidR="005A63D9" w:rsidRPr="00E27ED8" w:rsidRDefault="005A63D9" w:rsidP="0008405A">
            <w:pPr>
              <w:spacing w:after="144"/>
              <w:jc w:val="both"/>
              <w:rPr>
                <w:sz w:val="18"/>
                <w:szCs w:val="18"/>
              </w:rPr>
            </w:pPr>
          </w:p>
        </w:tc>
        <w:tc>
          <w:tcPr>
            <w:tcW w:w="526" w:type="pct"/>
            <w:tcBorders>
              <w:bottom w:val="single" w:sz="12" w:space="0" w:color="auto"/>
            </w:tcBorders>
            <w:vAlign w:val="center"/>
          </w:tcPr>
          <w:p w:rsidR="005A63D9" w:rsidRPr="00E27ED8" w:rsidRDefault="005A63D9" w:rsidP="0008405A">
            <w:pPr>
              <w:spacing w:after="144"/>
              <w:jc w:val="both"/>
              <w:rPr>
                <w:sz w:val="18"/>
                <w:szCs w:val="18"/>
              </w:rPr>
            </w:pPr>
          </w:p>
        </w:tc>
      </w:tr>
    </w:tbl>
    <w:p w:rsidR="005A63D9" w:rsidRPr="008C07E9" w:rsidRDefault="005A63D9" w:rsidP="0008405A">
      <w:pPr>
        <w:pStyle w:val="ZDROJovan"/>
        <w:spacing w:after="144" w:line="288" w:lineRule="auto"/>
        <w:jc w:val="both"/>
      </w:pPr>
      <w:r w:rsidRPr="00F2207D">
        <w:t>Zdroj: (1) a (2) Österreichischer Forschungs- und Technologiebericht 2014; (3) a 4) Eurostat Databáze VaV</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 xml:space="preserve">Rakousko je spolkový stát. Spolkové země se v posledních letech podílejí na celkových výdajích státu cca 13 %. V Rakousku se na státních výdajích na VaV řadu let podílela čtyři ministerstva. </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Při reformě státní správy vzniklo z bývalého Spo</w:t>
      </w:r>
      <w:r>
        <w:rPr>
          <w:color w:val="000000"/>
          <w:shd w:val="clear" w:color="auto" w:fill="FFFFFF"/>
          <w:lang w:eastAsia="cs-CZ"/>
        </w:rPr>
        <w:t>lkového ministerstva pro vědu a </w:t>
      </w:r>
      <w:r w:rsidRPr="001528DD">
        <w:rPr>
          <w:color w:val="000000"/>
          <w:shd w:val="clear" w:color="auto" w:fill="FFFFFF"/>
          <w:lang w:eastAsia="cs-CZ"/>
        </w:rPr>
        <w:t>výzkum Spolkové ministerstvo pro vědu výzkum a hospodářství (Bundesministerium für Wissenschat, Forschung und Wirtschaft – www.bmwfw.gv.at).</w:t>
      </w:r>
      <w:r w:rsidRPr="001528DD">
        <w:rPr>
          <w:color w:val="000000"/>
          <w:shd w:val="clear" w:color="auto" w:fill="FFFFFF"/>
          <w:vertAlign w:val="superscript"/>
          <w:lang w:eastAsia="cs-CZ"/>
        </w:rPr>
        <w:footnoteReference w:id="11"/>
      </w:r>
      <w:r w:rsidRPr="001528DD">
        <w:rPr>
          <w:color w:val="000000"/>
          <w:shd w:val="clear" w:color="auto" w:fill="FFFFFF"/>
          <w:lang w:eastAsia="cs-CZ"/>
        </w:rPr>
        <w:t xml:space="preserve"> Do působnosti ministerstva patří i vysoké školy. Po úpravě se toto ministerstvo podílí na celkových výdajích státu 75 %. </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Podíl druhého nejvýznamnějšího podporovatele V</w:t>
      </w:r>
      <w:r>
        <w:rPr>
          <w:color w:val="000000"/>
          <w:shd w:val="clear" w:color="auto" w:fill="FFFFFF"/>
          <w:lang w:eastAsia="cs-CZ"/>
        </w:rPr>
        <w:t>aV, Spolkového ministerstva pro </w:t>
      </w:r>
      <w:r w:rsidRPr="001528DD">
        <w:rPr>
          <w:color w:val="000000"/>
          <w:shd w:val="clear" w:color="auto" w:fill="FFFFFF"/>
          <w:lang w:eastAsia="cs-CZ"/>
        </w:rPr>
        <w:t>dopravu, inovace a technologie (Bundesminister</w:t>
      </w:r>
      <w:r>
        <w:rPr>
          <w:color w:val="000000"/>
          <w:shd w:val="clear" w:color="auto" w:fill="FFFFFF"/>
          <w:lang w:eastAsia="cs-CZ"/>
        </w:rPr>
        <w:t>ium für Verkehr, Innovation und </w:t>
      </w:r>
      <w:r w:rsidRPr="001528DD">
        <w:rPr>
          <w:color w:val="000000"/>
          <w:shd w:val="clear" w:color="auto" w:fill="FFFFFF"/>
          <w:lang w:eastAsia="cs-CZ"/>
        </w:rPr>
        <w:t>Technologie – www.bmvit.gv.at) činí 16 %.</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První z uvedených ministerstev podporuje především základní výzkum a výz</w:t>
      </w:r>
      <w:r>
        <w:rPr>
          <w:color w:val="000000"/>
          <w:shd w:val="clear" w:color="auto" w:fill="FFFFFF"/>
          <w:lang w:eastAsia="cs-CZ"/>
        </w:rPr>
        <w:t>kum na </w:t>
      </w:r>
      <w:r w:rsidRPr="001528DD">
        <w:rPr>
          <w:color w:val="000000"/>
          <w:shd w:val="clear" w:color="auto" w:fill="FFFFFF"/>
          <w:lang w:eastAsia="cs-CZ"/>
        </w:rPr>
        <w:t xml:space="preserve">vysokých školách. Druhé z ministerstev výzkum aplikovaný a inovace. Každoročně tato ministerstva předkládají společnou zprávu a stavu </w:t>
      </w:r>
      <w:r>
        <w:rPr>
          <w:color w:val="000000"/>
          <w:shd w:val="clear" w:color="auto" w:fill="FFFFFF"/>
          <w:lang w:eastAsia="cs-CZ"/>
        </w:rPr>
        <w:t>VaV v Rakousku spolkové vládě a </w:t>
      </w:r>
      <w:r w:rsidRPr="001528DD">
        <w:rPr>
          <w:color w:val="000000"/>
          <w:shd w:val="clear" w:color="auto" w:fill="FFFFFF"/>
          <w:lang w:eastAsia="cs-CZ"/>
        </w:rPr>
        <w:t>parlamentu. Předkládání těchto zpráv jim ukládá zákon o podpoře výzkumu a vývoje. Zprávy jsou velmi podrobné, vždy více než 200 stran.</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VaVaI v Rakousku se řídí Strategií výzkumu, technolo</w:t>
      </w:r>
      <w:r>
        <w:rPr>
          <w:color w:val="000000"/>
          <w:shd w:val="clear" w:color="auto" w:fill="FFFFFF"/>
          <w:lang w:eastAsia="cs-CZ"/>
        </w:rPr>
        <w:t>gií a inovací spolkové vlády. V </w:t>
      </w:r>
      <w:r w:rsidRPr="001528DD">
        <w:rPr>
          <w:color w:val="000000"/>
          <w:shd w:val="clear" w:color="auto" w:fill="FFFFFF"/>
          <w:lang w:eastAsia="cs-CZ"/>
        </w:rPr>
        <w:t>podtitulu strategie jsou uvedeny cíle pro rok 2020, dosáhnout úrovně celkových výdajů na</w:t>
      </w:r>
      <w:r>
        <w:rPr>
          <w:color w:val="000000"/>
          <w:shd w:val="clear" w:color="auto" w:fill="FFFFFF"/>
          <w:lang w:eastAsia="cs-CZ"/>
        </w:rPr>
        <w:t> </w:t>
      </w:r>
      <w:r w:rsidRPr="001528DD">
        <w:rPr>
          <w:color w:val="000000"/>
          <w:shd w:val="clear" w:color="auto" w:fill="FFFFFF"/>
          <w:lang w:eastAsia="cs-CZ"/>
        </w:rPr>
        <w:t>VaV ve výší 3,76 % HDP a dostat Rakousko do skupiny zemí Innovation Leader. Strategie vychází z výsledků důkladné evaluace systému podpory výzkumu, z rozsáhlých dvouletých diskusí o hlavních problémech rakouské</w:t>
      </w:r>
      <w:r>
        <w:rPr>
          <w:color w:val="000000"/>
          <w:shd w:val="clear" w:color="auto" w:fill="FFFFFF"/>
          <w:lang w:eastAsia="cs-CZ"/>
        </w:rPr>
        <w:t>ho VaVaI (Forschungsdialog) a z </w:t>
      </w:r>
      <w:r w:rsidRPr="001528DD">
        <w:rPr>
          <w:color w:val="000000"/>
          <w:shd w:val="clear" w:color="auto" w:fill="FFFFFF"/>
          <w:lang w:eastAsia="cs-CZ"/>
        </w:rPr>
        <w:t>doporučení Rakouské rady pro výzkum a vývoj. Strategie je méně rozsáhlá (45stran) než</w:t>
      </w:r>
      <w:r>
        <w:rPr>
          <w:color w:val="000000"/>
          <w:shd w:val="clear" w:color="auto" w:fill="FFFFFF"/>
          <w:lang w:eastAsia="cs-CZ"/>
        </w:rPr>
        <w:t> </w:t>
      </w:r>
      <w:r w:rsidRPr="001528DD">
        <w:rPr>
          <w:color w:val="000000"/>
          <w:shd w:val="clear" w:color="auto" w:fill="FFFFFF"/>
          <w:lang w:eastAsia="cs-CZ"/>
        </w:rPr>
        <w:t xml:space="preserve">například politiky VaVaI v Česku. Překlad části o VaVaI v oblasti životního prostředí je uveden v </w:t>
      </w:r>
      <w:r w:rsidRPr="00062D2F">
        <w:rPr>
          <w:color w:val="000000"/>
          <w:shd w:val="clear" w:color="auto" w:fill="FFFFFF"/>
          <w:lang w:eastAsia="cs-CZ"/>
        </w:rPr>
        <w:t>dodatku č.2 této přílohy.</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r w:rsidRPr="001528DD">
        <w:rPr>
          <w:color w:val="000000"/>
          <w:shd w:val="clear" w:color="auto" w:fill="FFFFFF"/>
          <w:lang w:eastAsia="cs-CZ"/>
        </w:rPr>
        <w:t>Poradním orgánem rakouské spolkové vlády pro záležitosti VaVaI je Rada pro výzkum a technologie (Rat für Forschung und Technologie – www.rat-fte.at). Rada má 8 členů s hlasem rozhodujícím, čtyři jmenuje spolkový ministr pr</w:t>
      </w:r>
      <w:r>
        <w:rPr>
          <w:color w:val="000000"/>
          <w:shd w:val="clear" w:color="auto" w:fill="FFFFFF"/>
          <w:lang w:eastAsia="cs-CZ"/>
        </w:rPr>
        <w:t>o vědu, výzkum a hospodářství a </w:t>
      </w:r>
      <w:r w:rsidRPr="001528DD">
        <w:rPr>
          <w:color w:val="000000"/>
          <w:shd w:val="clear" w:color="auto" w:fill="FFFFFF"/>
          <w:lang w:eastAsia="cs-CZ"/>
        </w:rPr>
        <w:t>čtyři spolkový ministr pro dopravu, inovace a technologie. K radě patří i tři spolkoví ministři, dva uvedení v předchozí větě a spolkový ministr financí. Ministři mají jen hlas poradní.</w:t>
      </w:r>
    </w:p>
    <w:p w:rsidR="005A63D9" w:rsidRPr="001528DD" w:rsidRDefault="005A63D9" w:rsidP="001528DD">
      <w:pPr>
        <w:widowControl w:val="0"/>
        <w:adjustRightInd w:val="0"/>
        <w:spacing w:afterLines="0"/>
        <w:ind w:firstLine="539"/>
        <w:contextualSpacing w:val="0"/>
        <w:jc w:val="both"/>
        <w:textAlignment w:val="baseline"/>
        <w:rPr>
          <w:color w:val="000000"/>
          <w:shd w:val="clear" w:color="auto" w:fill="FFFFFF"/>
          <w:lang w:eastAsia="cs-CZ"/>
        </w:rPr>
      </w:pPr>
    </w:p>
    <w:p w:rsidR="005A63D9" w:rsidRPr="001528DD" w:rsidRDefault="005A63D9" w:rsidP="001528DD">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42" w:name="_Toc440897401"/>
      <w:bookmarkStart w:id="43" w:name="_Toc441760803"/>
      <w:bookmarkStart w:id="44" w:name="_Toc441849466"/>
      <w:r>
        <w:rPr>
          <w:rFonts w:cs="Arial"/>
          <w:bCs/>
          <w:iCs/>
          <w:color w:val="000000"/>
          <w:shd w:val="clear" w:color="auto" w:fill="FFFFFF"/>
          <w:lang/>
        </w:rPr>
        <w:t xml:space="preserve">2.1. </w:t>
      </w:r>
      <w:r w:rsidRPr="001528DD">
        <w:rPr>
          <w:rFonts w:cs="Arial"/>
          <w:bCs/>
          <w:iCs/>
          <w:color w:val="000000"/>
          <w:shd w:val="clear" w:color="auto" w:fill="FFFFFF"/>
          <w:lang/>
        </w:rPr>
        <w:t>Státní správa v oblastech VaVaI a životního prostředí</w:t>
      </w:r>
      <w:bookmarkEnd w:id="42"/>
      <w:bookmarkEnd w:id="43"/>
      <w:bookmarkEnd w:id="44"/>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Rakousko má 14 spolkových ministerstev. Problematikou VaVaI a problematikou životního prostředí se zabývají tři ministerstva.</w:t>
      </w:r>
    </w:p>
    <w:p w:rsidR="005A63D9" w:rsidRDefault="005A63D9" w:rsidP="00F51ADE">
      <w:pPr>
        <w:pStyle w:val="Heading3"/>
        <w:keepNext/>
        <w:spacing w:before="240" w:afterLines="0" w:line="240" w:lineRule="auto"/>
        <w:contextualSpacing w:val="0"/>
        <w:rPr>
          <w:bCs/>
          <w:shd w:val="clear" w:color="auto" w:fill="FFFFFF"/>
          <w:lang/>
        </w:rPr>
      </w:pPr>
      <w:bookmarkStart w:id="45" w:name="_Toc440897402"/>
      <w:bookmarkStart w:id="46" w:name="_Toc441760804"/>
      <w:bookmarkStart w:id="47" w:name="_Toc441849467"/>
      <w:r w:rsidRPr="00F51ADE">
        <w:rPr>
          <w:bCs/>
          <w:shd w:val="clear" w:color="auto" w:fill="FFFFFF"/>
          <w:lang/>
        </w:rPr>
        <w:t>Spolkové ministerstvo pro vědu, výzkum a hospodářství</w:t>
      </w:r>
      <w:bookmarkEnd w:id="45"/>
      <w:bookmarkEnd w:id="46"/>
      <w:bookmarkEnd w:id="47"/>
    </w:p>
    <w:p w:rsidR="005A63D9" w:rsidRPr="00F51ADE" w:rsidRDefault="005A63D9" w:rsidP="00F51ADE">
      <w:pPr>
        <w:widowControl w:val="0"/>
        <w:adjustRightInd w:val="0"/>
        <w:spacing w:afterLines="0"/>
        <w:contextualSpacing w:val="0"/>
        <w:jc w:val="both"/>
        <w:textAlignment w:val="baseline"/>
        <w:rPr>
          <w:color w:val="000000"/>
          <w:shd w:val="clear" w:color="auto" w:fill="FFFFFF"/>
          <w:lang w:eastAsia="cs-CZ"/>
        </w:rPr>
      </w:pPr>
      <w:r w:rsidRPr="00F51ADE">
        <w:rPr>
          <w:color w:val="000000"/>
          <w:shd w:val="clear" w:color="auto" w:fill="FFFFFF"/>
          <w:lang w:eastAsia="cs-CZ"/>
        </w:rPr>
        <w:t>(Bundesministerium für Wissenschat, Forschung und Wirtschaft, BMWFW – www.bmwfw.gv.at)</w:t>
      </w:r>
    </w:p>
    <w:p w:rsidR="005A63D9" w:rsidRPr="00C60750" w:rsidRDefault="005A63D9" w:rsidP="00C60750">
      <w:pPr>
        <w:widowControl w:val="0"/>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Ministerstvo má:</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3 sekce a 9 správních útvarů pro oblast hospodářství;</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3 sekce pro oblast vědy a výzkumu.</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Sekce pro oblast vědy a výzkumu mají obvyklou organizační strukturu. Záležitostmi výzkumu pro životní prostředí se tyto sekce nezabývají. Problematikou životního prostředí se částečně zabývá sekce II Energie a hornictví ve správní oblasti hospodářství.</w:t>
      </w:r>
    </w:p>
    <w:p w:rsidR="005A63D9" w:rsidRDefault="005A63D9" w:rsidP="00F51ADE">
      <w:pPr>
        <w:pStyle w:val="Heading3"/>
        <w:keepNext/>
        <w:spacing w:before="240" w:afterLines="0" w:line="240" w:lineRule="auto"/>
        <w:contextualSpacing w:val="0"/>
        <w:rPr>
          <w:bCs/>
          <w:shd w:val="clear" w:color="auto" w:fill="FFFFFF"/>
          <w:lang/>
        </w:rPr>
      </w:pPr>
      <w:bookmarkStart w:id="48" w:name="_Toc440897403"/>
      <w:bookmarkStart w:id="49" w:name="_Toc441760805"/>
      <w:bookmarkStart w:id="50" w:name="_Toc441849468"/>
      <w:r w:rsidRPr="00F51ADE">
        <w:rPr>
          <w:bCs/>
          <w:shd w:val="clear" w:color="auto" w:fill="FFFFFF"/>
          <w:lang/>
        </w:rPr>
        <w:t>Spolkové ministerstvo pro dopravu, inovace a technologie</w:t>
      </w:r>
      <w:bookmarkEnd w:id="48"/>
      <w:bookmarkEnd w:id="49"/>
      <w:bookmarkEnd w:id="50"/>
    </w:p>
    <w:p w:rsidR="005A63D9" w:rsidRPr="00F51ADE" w:rsidRDefault="005A63D9" w:rsidP="00F51ADE">
      <w:pPr>
        <w:widowControl w:val="0"/>
        <w:adjustRightInd w:val="0"/>
        <w:spacing w:afterLines="0"/>
        <w:contextualSpacing w:val="0"/>
        <w:jc w:val="both"/>
        <w:textAlignment w:val="baseline"/>
        <w:rPr>
          <w:color w:val="000000"/>
          <w:shd w:val="clear" w:color="auto" w:fill="FFFFFF"/>
          <w:lang w:eastAsia="cs-CZ"/>
        </w:rPr>
      </w:pPr>
      <w:r w:rsidRPr="00F51ADE">
        <w:rPr>
          <w:color w:val="000000"/>
          <w:shd w:val="clear" w:color="auto" w:fill="FFFFFF"/>
          <w:lang w:eastAsia="cs-CZ"/>
        </w:rPr>
        <w:t>(Bundesministerium für Verkehr, Innovation und Technologie, BMVIT – www.bmvit.gv.at)</w:t>
      </w:r>
    </w:p>
    <w:p w:rsidR="005A63D9" w:rsidRPr="00C60750" w:rsidRDefault="005A63D9" w:rsidP="00C60750">
      <w:pPr>
        <w:widowControl w:val="0"/>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Ministerstvo má čtyři sekce. Záležitosti VaVaI a životního prostředí patří do působnosti sekce III. Sekce II má 4 organizačně správní útvary a dvě velké skupiny:</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Skupina Telecom / pošta se 3 odděleními</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Oblast inovací s 5 odděleními</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I. 1 Zásadní záležitosti (8 pracovníků)</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I. 2 Podpora výzkumu a technologií (10 pracovníků)</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I. 3 Technologie pro energetiku a životní prostředí (13 pracovníků)</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I. 4 Mobilita a dopravní technologie (12 pracovníků)</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I. 5 Informační a průmyslové technologie, kosmonautika (11 pracovníků)</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Oddělení I. 3 Technologie pro energetiku a životní prostředí zabezpečuje koncepce, strategie, řízení a evaluaci opatření pro vývoj moderních technologií v oblastech energie, životního prostředí a efektivního vyžití zdrojů. Dále se stará o zastupování ministerstva v národních a mezinárodních výborech zejména EU, OECD a v Committee on Energy Research and Technology (CERT) Mezinárodní energetické agentury. Dále koordinuje rakouskou část iniciativy EU JPI-Initiative Urban Europe.</w:t>
      </w:r>
    </w:p>
    <w:p w:rsidR="005A63D9" w:rsidRDefault="005A63D9" w:rsidP="00F51ADE">
      <w:pPr>
        <w:pStyle w:val="Heading3"/>
        <w:keepNext/>
        <w:spacing w:before="240" w:afterLines="0" w:line="240" w:lineRule="auto"/>
        <w:contextualSpacing w:val="0"/>
        <w:rPr>
          <w:bCs/>
          <w:shd w:val="clear" w:color="auto" w:fill="FFFFFF"/>
          <w:lang/>
        </w:rPr>
      </w:pPr>
      <w:bookmarkStart w:id="51" w:name="_Toc440897404"/>
      <w:bookmarkStart w:id="52" w:name="_Toc441760806"/>
      <w:bookmarkStart w:id="53" w:name="_Toc441849469"/>
      <w:r w:rsidRPr="00F51ADE">
        <w:rPr>
          <w:bCs/>
          <w:shd w:val="clear" w:color="auto" w:fill="FFFFFF"/>
          <w:lang/>
        </w:rPr>
        <w:t>Spolkové ministerstvo pro zemědělství,</w:t>
      </w:r>
      <w:r>
        <w:rPr>
          <w:bCs/>
          <w:shd w:val="clear" w:color="auto" w:fill="FFFFFF"/>
          <w:lang/>
        </w:rPr>
        <w:t xml:space="preserve"> lesnictví, životní prostředí a </w:t>
      </w:r>
      <w:r w:rsidRPr="00F51ADE">
        <w:rPr>
          <w:bCs/>
          <w:shd w:val="clear" w:color="auto" w:fill="FFFFFF"/>
          <w:lang/>
        </w:rPr>
        <w:t>vodní hospodářství</w:t>
      </w:r>
      <w:bookmarkEnd w:id="51"/>
      <w:bookmarkEnd w:id="52"/>
      <w:bookmarkEnd w:id="53"/>
    </w:p>
    <w:p w:rsidR="005A63D9" w:rsidRPr="00F51ADE" w:rsidRDefault="005A63D9" w:rsidP="00F51ADE">
      <w:pPr>
        <w:widowControl w:val="0"/>
        <w:adjustRightInd w:val="0"/>
        <w:spacing w:afterLines="0"/>
        <w:contextualSpacing w:val="0"/>
        <w:jc w:val="both"/>
        <w:textAlignment w:val="baseline"/>
        <w:rPr>
          <w:color w:val="000000"/>
          <w:shd w:val="clear" w:color="auto" w:fill="FFFFFF"/>
          <w:lang w:eastAsia="cs-CZ"/>
        </w:rPr>
      </w:pPr>
      <w:r w:rsidRPr="00F51ADE">
        <w:rPr>
          <w:color w:val="000000"/>
          <w:shd w:val="clear" w:color="auto" w:fill="FFFFFF"/>
          <w:lang w:eastAsia="cs-CZ"/>
        </w:rPr>
        <w:t xml:space="preserve">(Bundesministerium für Land- und Forstwirtschaft, Umwelt und Wasserwirtschaft, BMLFUW – www.bmlfuw.gv.at). </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Ministerstvo v oficiálních dokumentech i na svém we</w:t>
      </w:r>
      <w:r>
        <w:rPr>
          <w:color w:val="000000"/>
          <w:shd w:val="clear" w:color="auto" w:fill="FFFFFF"/>
          <w:lang w:eastAsia="cs-CZ"/>
        </w:rPr>
        <w:t>bu užívá název Ministerstvo pro </w:t>
      </w:r>
      <w:r w:rsidRPr="00C60750">
        <w:rPr>
          <w:color w:val="000000"/>
          <w:shd w:val="clear" w:color="auto" w:fill="FFFFFF"/>
          <w:lang w:eastAsia="cs-CZ"/>
        </w:rPr>
        <w:t>životní hodnoty Rakouska. Ministerstvo má pět sekcí</w:t>
      </w:r>
      <w:r>
        <w:rPr>
          <w:color w:val="000000"/>
          <w:shd w:val="clear" w:color="auto" w:fill="FFFFFF"/>
          <w:lang w:eastAsia="cs-CZ"/>
        </w:rPr>
        <w:t>. Větší či menší působnosti pro </w:t>
      </w:r>
      <w:r w:rsidRPr="00C60750">
        <w:rPr>
          <w:color w:val="000000"/>
          <w:shd w:val="clear" w:color="auto" w:fill="FFFFFF"/>
          <w:lang w:eastAsia="cs-CZ"/>
        </w:rPr>
        <w:t>výzkum životní prostředí mají:</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Sekce správní a služeb (celkem 8 oddělení) s oddělením PR 8 Výzkum a vývoj</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Sekce I Životní prostředí a ochrana klimatu se třemi odděleními</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Energetická a hospodářská politika</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Politika podpory životního prostředí, udržitelnost</w:t>
      </w:r>
    </w:p>
    <w:p w:rsidR="005A63D9" w:rsidRPr="00C60750" w:rsidRDefault="005A63D9" w:rsidP="00C60750">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C60750">
        <w:rPr>
          <w:color w:val="000000"/>
          <w:shd w:val="clear" w:color="auto" w:fill="FFFFFF"/>
          <w:lang w:eastAsia="cs-CZ"/>
        </w:rPr>
        <w:t>Ochrana klimatu a čistota ovzduší, biodiverzita</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Sekce V Hospodaření s odpady se čtyřmi odděleními.</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Ministerstvo má velmi podrobné a konkrétní programy výzkumu na pětiletá období. V programu na období 2011–2015 (Forschung</w:t>
      </w:r>
      <w:r>
        <w:rPr>
          <w:color w:val="000000"/>
          <w:shd w:val="clear" w:color="auto" w:fill="FFFFFF"/>
          <w:lang w:eastAsia="cs-CZ"/>
        </w:rPr>
        <w:t>sprogram PFEIL15) je uvedeno 18 </w:t>
      </w:r>
      <w:r w:rsidRPr="00C60750">
        <w:rPr>
          <w:color w:val="000000"/>
          <w:shd w:val="clear" w:color="auto" w:fill="FFFFFF"/>
          <w:lang w:eastAsia="cs-CZ"/>
        </w:rPr>
        <w:t>relevantních tematických oblast aplikovaného výzkumu pro zemědělství, lesnictví, životní prostředí a vodní hospodářství. Program má tři základní principy:</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Témata výzkumu jsou provázána a mají jasně vymezené cíle;</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Efektivní využívání dosažených výsledků intenzivnější interdisciplinární prací, kooperací, controllingem s respektování</w:t>
      </w:r>
      <w:r>
        <w:rPr>
          <w:color w:val="000000"/>
          <w:shd w:val="clear" w:color="auto" w:fill="FFFFFF"/>
          <w:lang w:eastAsia="cs-CZ"/>
        </w:rPr>
        <w:t>m omezených zdrojů (personálu a </w:t>
      </w:r>
      <w:r w:rsidRPr="00C60750">
        <w:rPr>
          <w:color w:val="000000"/>
          <w:shd w:val="clear" w:color="auto" w:fill="FFFFFF"/>
          <w:lang w:eastAsia="cs-CZ"/>
        </w:rPr>
        <w:t>finančních prostředků);</w:t>
      </w:r>
    </w:p>
    <w:p w:rsidR="005A63D9" w:rsidRPr="00C60750" w:rsidRDefault="005A63D9" w:rsidP="00C6075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60750">
        <w:rPr>
          <w:color w:val="000000"/>
          <w:shd w:val="clear" w:color="auto" w:fill="FFFFFF"/>
          <w:lang w:eastAsia="cs-CZ"/>
        </w:rPr>
        <w:t>Vytváření a zabezpečení předpokladů pro vysokou kvalitu života v Rakousku.</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 xml:space="preserve">Dokument především svým obsahem komplexně pokrývá problematiku životního prostředí v širším pojetí. Do jisté míry i zdůvodňuje propojení životního prostředí, </w:t>
      </w:r>
      <w:r w:rsidRPr="00062D2F">
        <w:rPr>
          <w:color w:val="000000"/>
          <w:shd w:val="clear" w:color="auto" w:fill="FFFFFF"/>
          <w:lang w:eastAsia="cs-CZ"/>
        </w:rPr>
        <w:t>zemědělství, lesnictví a vodního hospodářství do jednoho resortu. Jeho přeložený obsah je v dodatku č. 2 této přílohy. Program na období 2016–2020 se připravuje a zatím není k dispozici.</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Default="005A63D9">
      <w:pPr>
        <w:keepNext/>
        <w:widowControl w:val="0"/>
        <w:adjustRightInd w:val="0"/>
        <w:spacing w:afterLines="0"/>
        <w:contextualSpacing w:val="0"/>
        <w:jc w:val="both"/>
        <w:textAlignment w:val="baseline"/>
        <w:rPr>
          <w:color w:val="000000"/>
          <w:shd w:val="clear" w:color="auto" w:fill="FFFFFF"/>
          <w:lang w:eastAsia="cs-CZ"/>
        </w:rPr>
      </w:pPr>
      <w:r w:rsidRPr="00C60750">
        <w:rPr>
          <w:b/>
          <w:color w:val="000000"/>
          <w:shd w:val="clear" w:color="auto" w:fill="FFFFFF"/>
          <w:lang w:eastAsia="cs-CZ"/>
        </w:rPr>
        <w:t xml:space="preserve">Tab. č. 6 </w:t>
      </w:r>
      <w:r w:rsidRPr="00C60750">
        <w:rPr>
          <w:color w:val="000000"/>
          <w:shd w:val="clear" w:color="auto" w:fill="FFFFFF"/>
          <w:lang w:eastAsia="cs-CZ"/>
        </w:rPr>
        <w:t>Podíly výdajů vybraných spolkových ministerstev na VaV na celkových státních výdajích na VaV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021"/>
        <w:gridCol w:w="1317"/>
        <w:gridCol w:w="1317"/>
        <w:gridCol w:w="1317"/>
        <w:gridCol w:w="1315"/>
      </w:tblGrid>
      <w:tr w:rsidR="005A63D9" w:rsidRPr="00E27ED8" w:rsidTr="00510C04">
        <w:tc>
          <w:tcPr>
            <w:tcW w:w="2165"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autoSpaceDE w:val="0"/>
              <w:autoSpaceDN w:val="0"/>
              <w:adjustRightInd w:val="0"/>
              <w:spacing w:after="144"/>
              <w:jc w:val="both"/>
              <w:rPr>
                <w:rFonts w:cs="MetaCorr"/>
                <w:b/>
                <w:sz w:val="18"/>
                <w:szCs w:val="18"/>
              </w:rPr>
            </w:pPr>
          </w:p>
        </w:tc>
        <w:tc>
          <w:tcPr>
            <w:tcW w:w="709"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C77C67">
            <w:pPr>
              <w:autoSpaceDE w:val="0"/>
              <w:autoSpaceDN w:val="0"/>
              <w:adjustRightInd w:val="0"/>
              <w:spacing w:after="144"/>
              <w:jc w:val="center"/>
              <w:rPr>
                <w:rFonts w:cs="MetaCorr"/>
                <w:b/>
                <w:sz w:val="18"/>
                <w:szCs w:val="18"/>
              </w:rPr>
            </w:pPr>
            <w:r w:rsidRPr="00E27ED8">
              <w:rPr>
                <w:rFonts w:cs="MetaCorr"/>
                <w:b/>
                <w:sz w:val="18"/>
                <w:szCs w:val="18"/>
              </w:rPr>
              <w:t>2011</w:t>
            </w:r>
          </w:p>
        </w:tc>
        <w:tc>
          <w:tcPr>
            <w:tcW w:w="709" w:type="pct"/>
            <w:tcBorders>
              <w:top w:val="single" w:sz="12" w:space="0" w:color="auto"/>
              <w:bottom w:val="double" w:sz="4" w:space="0" w:color="auto"/>
            </w:tcBorders>
            <w:shd w:val="clear" w:color="auto" w:fill="BFBFBF"/>
            <w:vAlign w:val="center"/>
          </w:tcPr>
          <w:p w:rsidR="005A63D9" w:rsidRPr="00E27ED8" w:rsidRDefault="005A63D9" w:rsidP="00C77C67">
            <w:pPr>
              <w:autoSpaceDE w:val="0"/>
              <w:autoSpaceDN w:val="0"/>
              <w:adjustRightInd w:val="0"/>
              <w:spacing w:after="144"/>
              <w:jc w:val="center"/>
              <w:rPr>
                <w:rFonts w:cs="MetaCorr"/>
                <w:b/>
                <w:sz w:val="18"/>
                <w:szCs w:val="18"/>
              </w:rPr>
            </w:pPr>
            <w:r w:rsidRPr="00E27ED8">
              <w:rPr>
                <w:rFonts w:cs="MetaCorr"/>
                <w:b/>
                <w:sz w:val="18"/>
                <w:szCs w:val="18"/>
              </w:rPr>
              <w:t>2012</w:t>
            </w:r>
          </w:p>
        </w:tc>
        <w:tc>
          <w:tcPr>
            <w:tcW w:w="709" w:type="pct"/>
            <w:tcBorders>
              <w:top w:val="single" w:sz="12" w:space="0" w:color="auto"/>
              <w:bottom w:val="double" w:sz="4" w:space="0" w:color="auto"/>
            </w:tcBorders>
            <w:shd w:val="clear" w:color="auto" w:fill="BFBFBF"/>
            <w:vAlign w:val="center"/>
          </w:tcPr>
          <w:p w:rsidR="005A63D9" w:rsidRPr="00E27ED8" w:rsidRDefault="005A63D9" w:rsidP="00C77C67">
            <w:pPr>
              <w:autoSpaceDE w:val="0"/>
              <w:autoSpaceDN w:val="0"/>
              <w:adjustRightInd w:val="0"/>
              <w:spacing w:after="144"/>
              <w:jc w:val="center"/>
              <w:rPr>
                <w:rFonts w:cs="MetaCorr"/>
                <w:b/>
                <w:sz w:val="18"/>
                <w:szCs w:val="18"/>
              </w:rPr>
            </w:pPr>
            <w:r w:rsidRPr="00E27ED8">
              <w:rPr>
                <w:rFonts w:cs="MetaCorr"/>
                <w:b/>
                <w:sz w:val="18"/>
                <w:szCs w:val="18"/>
              </w:rPr>
              <w:t>2013</w:t>
            </w:r>
          </w:p>
        </w:tc>
        <w:tc>
          <w:tcPr>
            <w:tcW w:w="709" w:type="pct"/>
            <w:tcBorders>
              <w:top w:val="single" w:sz="12" w:space="0" w:color="auto"/>
              <w:bottom w:val="double" w:sz="4" w:space="0" w:color="auto"/>
            </w:tcBorders>
            <w:shd w:val="clear" w:color="auto" w:fill="BFBFBF"/>
            <w:vAlign w:val="center"/>
          </w:tcPr>
          <w:p w:rsidR="005A63D9" w:rsidRPr="00E27ED8" w:rsidRDefault="005A63D9" w:rsidP="00C77C67">
            <w:pPr>
              <w:autoSpaceDE w:val="0"/>
              <w:autoSpaceDN w:val="0"/>
              <w:adjustRightInd w:val="0"/>
              <w:spacing w:after="144"/>
              <w:jc w:val="center"/>
              <w:rPr>
                <w:rFonts w:cs="MetaCorr"/>
                <w:b/>
                <w:sz w:val="18"/>
                <w:szCs w:val="18"/>
              </w:rPr>
            </w:pPr>
            <w:r w:rsidRPr="00E27ED8">
              <w:rPr>
                <w:rFonts w:cs="MetaCorr"/>
                <w:b/>
                <w:sz w:val="18"/>
                <w:szCs w:val="18"/>
              </w:rPr>
              <w:t>2014</w:t>
            </w:r>
          </w:p>
        </w:tc>
      </w:tr>
      <w:tr w:rsidR="005A63D9" w:rsidRPr="00E27ED8" w:rsidTr="00510C04">
        <w:tc>
          <w:tcPr>
            <w:tcW w:w="2165" w:type="pct"/>
            <w:tcBorders>
              <w:top w:val="double" w:sz="4" w:space="0" w:color="auto"/>
              <w:right w:val="single" w:sz="12" w:space="0" w:color="auto"/>
            </w:tcBorders>
            <w:vAlign w:val="center"/>
          </w:tcPr>
          <w:p w:rsidR="005A63D9" w:rsidRPr="00E27ED8" w:rsidRDefault="005A63D9">
            <w:pPr>
              <w:autoSpaceDE w:val="0"/>
              <w:autoSpaceDN w:val="0"/>
              <w:adjustRightInd w:val="0"/>
              <w:spacing w:after="144"/>
              <w:rPr>
                <w:rFonts w:cs="MetaCorr"/>
                <w:sz w:val="18"/>
                <w:szCs w:val="18"/>
              </w:rPr>
            </w:pPr>
            <w:r w:rsidRPr="00E27ED8">
              <w:rPr>
                <w:rFonts w:cs="MetaCorr"/>
                <w:sz w:val="18"/>
                <w:szCs w:val="18"/>
              </w:rPr>
              <w:t>Spolkové ministerstvo pro vědu a výzkum</w:t>
            </w:r>
          </w:p>
        </w:tc>
        <w:tc>
          <w:tcPr>
            <w:tcW w:w="709" w:type="pct"/>
            <w:tcBorders>
              <w:top w:val="double" w:sz="4" w:space="0" w:color="auto"/>
              <w:left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72,2</w:t>
            </w:r>
          </w:p>
        </w:tc>
        <w:tc>
          <w:tcPr>
            <w:tcW w:w="709" w:type="pct"/>
            <w:tcBorders>
              <w:top w:val="double" w:sz="4"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72,6</w:t>
            </w:r>
          </w:p>
        </w:tc>
        <w:tc>
          <w:tcPr>
            <w:tcW w:w="709" w:type="pct"/>
            <w:tcBorders>
              <w:top w:val="double" w:sz="4"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72,4</w:t>
            </w:r>
          </w:p>
        </w:tc>
        <w:tc>
          <w:tcPr>
            <w:tcW w:w="709" w:type="pct"/>
            <w:tcBorders>
              <w:top w:val="double" w:sz="4"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w:t>
            </w:r>
          </w:p>
        </w:tc>
      </w:tr>
      <w:tr w:rsidR="005A63D9" w:rsidRPr="00E27ED8" w:rsidTr="00510C04">
        <w:tc>
          <w:tcPr>
            <w:tcW w:w="2165" w:type="pct"/>
            <w:tcBorders>
              <w:right w:val="single" w:sz="12" w:space="0" w:color="auto"/>
            </w:tcBorders>
            <w:vAlign w:val="center"/>
          </w:tcPr>
          <w:p w:rsidR="005A63D9" w:rsidRPr="00E27ED8" w:rsidRDefault="005A63D9">
            <w:pPr>
              <w:autoSpaceDE w:val="0"/>
              <w:autoSpaceDN w:val="0"/>
              <w:adjustRightInd w:val="0"/>
              <w:spacing w:after="144"/>
              <w:rPr>
                <w:rFonts w:cs="MetaCorr"/>
                <w:sz w:val="18"/>
                <w:szCs w:val="18"/>
              </w:rPr>
            </w:pPr>
            <w:r w:rsidRPr="00E27ED8">
              <w:rPr>
                <w:rFonts w:cs="MetaCorr"/>
                <w:sz w:val="18"/>
                <w:szCs w:val="18"/>
              </w:rPr>
              <w:t>Spolkové ministerstvo pro vědu a výzkum a hospodářství</w:t>
            </w:r>
          </w:p>
        </w:tc>
        <w:tc>
          <w:tcPr>
            <w:tcW w:w="709" w:type="pct"/>
            <w:tcBorders>
              <w:left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75,9</w:t>
            </w:r>
          </w:p>
        </w:tc>
      </w:tr>
      <w:tr w:rsidR="005A63D9" w:rsidRPr="00E27ED8" w:rsidTr="00510C04">
        <w:tc>
          <w:tcPr>
            <w:tcW w:w="2165" w:type="pct"/>
            <w:tcBorders>
              <w:right w:val="single" w:sz="12" w:space="0" w:color="auto"/>
            </w:tcBorders>
            <w:vAlign w:val="center"/>
          </w:tcPr>
          <w:p w:rsidR="005A63D9" w:rsidRPr="00E27ED8" w:rsidRDefault="005A63D9">
            <w:pPr>
              <w:autoSpaceDE w:val="0"/>
              <w:autoSpaceDN w:val="0"/>
              <w:adjustRightInd w:val="0"/>
              <w:spacing w:after="144"/>
              <w:rPr>
                <w:rFonts w:cs="MetaCorr"/>
                <w:sz w:val="18"/>
                <w:szCs w:val="18"/>
              </w:rPr>
            </w:pPr>
            <w:r w:rsidRPr="00E27ED8">
              <w:rPr>
                <w:rFonts w:cs="MetaCorr"/>
                <w:sz w:val="18"/>
                <w:szCs w:val="18"/>
              </w:rPr>
              <w:t>Spolkové ministerstvo pro dopravu, inovace a technologie</w:t>
            </w:r>
          </w:p>
        </w:tc>
        <w:tc>
          <w:tcPr>
            <w:tcW w:w="709" w:type="pct"/>
            <w:tcBorders>
              <w:left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15,1</w:t>
            </w: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14,4</w:t>
            </w: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15,3</w:t>
            </w:r>
          </w:p>
        </w:tc>
        <w:tc>
          <w:tcPr>
            <w:tcW w:w="709" w:type="pct"/>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16,1</w:t>
            </w:r>
          </w:p>
        </w:tc>
      </w:tr>
      <w:tr w:rsidR="005A63D9" w:rsidRPr="00E27ED8" w:rsidTr="00510C04">
        <w:tc>
          <w:tcPr>
            <w:tcW w:w="2165" w:type="pct"/>
            <w:tcBorders>
              <w:bottom w:val="single" w:sz="12" w:space="0" w:color="auto"/>
              <w:right w:val="single" w:sz="12" w:space="0" w:color="auto"/>
            </w:tcBorders>
            <w:vAlign w:val="center"/>
          </w:tcPr>
          <w:p w:rsidR="005A63D9" w:rsidRPr="00E27ED8" w:rsidRDefault="005A63D9">
            <w:pPr>
              <w:autoSpaceDE w:val="0"/>
              <w:autoSpaceDN w:val="0"/>
              <w:adjustRightInd w:val="0"/>
              <w:spacing w:after="144"/>
              <w:rPr>
                <w:rFonts w:cs="MetaCorr"/>
                <w:sz w:val="18"/>
                <w:szCs w:val="18"/>
              </w:rPr>
            </w:pPr>
            <w:r w:rsidRPr="00E27ED8">
              <w:rPr>
                <w:rFonts w:cs="MetaCorr"/>
                <w:sz w:val="18"/>
                <w:szCs w:val="18"/>
              </w:rPr>
              <w:t>Spolkové ministerstvo pro zemědělství, lesnictví, životní prostředí a vodní hospodářství</w:t>
            </w:r>
          </w:p>
        </w:tc>
        <w:tc>
          <w:tcPr>
            <w:tcW w:w="709" w:type="pct"/>
            <w:tcBorders>
              <w:left w:val="single" w:sz="12" w:space="0" w:color="auto"/>
              <w:bottom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3,3</w:t>
            </w:r>
          </w:p>
        </w:tc>
        <w:tc>
          <w:tcPr>
            <w:tcW w:w="709" w:type="pct"/>
            <w:tcBorders>
              <w:bottom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3,2</w:t>
            </w:r>
          </w:p>
        </w:tc>
        <w:tc>
          <w:tcPr>
            <w:tcW w:w="709" w:type="pct"/>
            <w:tcBorders>
              <w:bottom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3,5</w:t>
            </w:r>
          </w:p>
        </w:tc>
        <w:tc>
          <w:tcPr>
            <w:tcW w:w="709" w:type="pct"/>
            <w:tcBorders>
              <w:bottom w:val="single" w:sz="12" w:space="0" w:color="auto"/>
            </w:tcBorders>
            <w:vAlign w:val="center"/>
          </w:tcPr>
          <w:p w:rsidR="005A63D9" w:rsidRPr="00E27ED8" w:rsidRDefault="005A63D9" w:rsidP="00C77C67">
            <w:pPr>
              <w:autoSpaceDE w:val="0"/>
              <w:autoSpaceDN w:val="0"/>
              <w:adjustRightInd w:val="0"/>
              <w:spacing w:after="144"/>
              <w:jc w:val="center"/>
              <w:rPr>
                <w:rFonts w:cs="MetaCorr"/>
                <w:sz w:val="18"/>
                <w:szCs w:val="18"/>
              </w:rPr>
            </w:pPr>
            <w:r w:rsidRPr="00E27ED8">
              <w:rPr>
                <w:rFonts w:cs="MetaCorr"/>
                <w:sz w:val="18"/>
                <w:szCs w:val="18"/>
              </w:rPr>
              <w:t>3,0</w:t>
            </w:r>
          </w:p>
        </w:tc>
      </w:tr>
    </w:tbl>
    <w:p w:rsidR="005A63D9" w:rsidRPr="008C07E9" w:rsidRDefault="005A63D9" w:rsidP="0008405A">
      <w:pPr>
        <w:pStyle w:val="ZDROJovan"/>
        <w:spacing w:after="144" w:line="288" w:lineRule="auto"/>
        <w:jc w:val="both"/>
      </w:pPr>
      <w:r w:rsidRPr="00C77C67">
        <w:t>Zdroj: STATISTIK AUSTRIA, F&amp;E-Jahresauswertungen, 1. 6. 2015.</w:t>
      </w:r>
    </w:p>
    <w:p w:rsidR="005A63D9" w:rsidRPr="005A74C8" w:rsidRDefault="005A63D9" w:rsidP="0008405A">
      <w:pPr>
        <w:autoSpaceDE w:val="0"/>
        <w:autoSpaceDN w:val="0"/>
        <w:adjustRightInd w:val="0"/>
        <w:spacing w:before="60" w:after="144"/>
        <w:jc w:val="both"/>
        <w:rPr>
          <w:rFonts w:cs="MetaCorr"/>
          <w:sz w:val="20"/>
          <w:szCs w:val="20"/>
        </w:rPr>
      </w:pP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Největší poskytovatelem státní podpory VaV je Spolkové ministerstvo pro vědu, výzkum a hospodářství, které od roku 2014 převzalo část výdajů od bývalého Spolkového ministerstva pro hospodářství, rodiny a mládež. Vysoký podíl tohoto ministerstva je kromě jiného dán skutečností, že většina státem podporovaného VaV se provádí na vysokých školách, které patří do jeho působnosti. Druhým největším poskytovatelem je Spolkové ministerstvo pro dopravu, inovace a technologie. Podíly ostatních spolkových ministerstev jsou velmi nízké.</w:t>
      </w:r>
    </w:p>
    <w:p w:rsidR="005A63D9" w:rsidRPr="00A378DF" w:rsidRDefault="005A63D9" w:rsidP="00A378DF">
      <w:pPr>
        <w:autoSpaceDE w:val="0"/>
        <w:autoSpaceDN w:val="0"/>
        <w:adjustRightInd w:val="0"/>
        <w:spacing w:before="60" w:after="144"/>
        <w:jc w:val="both"/>
        <w:rPr>
          <w:rFonts w:cs="MetaCorr"/>
          <w:sz w:val="20"/>
          <w:szCs w:val="20"/>
        </w:rPr>
      </w:pPr>
    </w:p>
    <w:p w:rsidR="005A63D9" w:rsidRPr="00C60750" w:rsidRDefault="005A63D9" w:rsidP="00C60750">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54" w:name="_Toc440897405"/>
      <w:bookmarkStart w:id="55" w:name="_Toc441760807"/>
      <w:bookmarkStart w:id="56" w:name="_Toc441849470"/>
      <w:r w:rsidRPr="00B329D2">
        <w:rPr>
          <w:rFonts w:cs="Arial"/>
          <w:bCs/>
          <w:iCs/>
          <w:color w:val="000000"/>
          <w:shd w:val="clear" w:color="auto" w:fill="FFFFFF"/>
          <w:lang/>
        </w:rPr>
        <w:t>2.2. Instituce zabezpečující podporu VaV</w:t>
      </w:r>
      <w:bookmarkEnd w:id="54"/>
      <w:bookmarkEnd w:id="55"/>
      <w:bookmarkEnd w:id="56"/>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V roce 1967 schválením zákona o podpoře výzkumu vznikly Fond pro podporu vědeckého výzkumu (FWF) a Fond pro podporu výzkumu v podnikatelském sektoru. Oba fondy získaly právní subjektivitu. Právní rámec pro oba fondy se dvakrát měnil při změnách zákonů pro oblast výzkumu a oblast vysokých škol. Dále vznikla Společnost pro podporu výzkumu FFG. V současné době existují tři hlavní instituce pro podporu VaVaI v Rakousku:</w:t>
      </w:r>
    </w:p>
    <w:p w:rsidR="005A63D9" w:rsidRDefault="005A63D9" w:rsidP="00C60750">
      <w:pPr>
        <w:pStyle w:val="Heading3"/>
        <w:keepNext/>
        <w:spacing w:before="240" w:afterLines="0" w:line="240" w:lineRule="auto"/>
        <w:contextualSpacing w:val="0"/>
        <w:rPr>
          <w:bCs/>
          <w:shd w:val="clear" w:color="auto" w:fill="FFFFFF"/>
          <w:lang/>
        </w:rPr>
      </w:pPr>
      <w:bookmarkStart w:id="57" w:name="_Toc440897406"/>
      <w:bookmarkStart w:id="58" w:name="_Toc441760808"/>
      <w:bookmarkStart w:id="59" w:name="_Toc441849471"/>
      <w:r w:rsidRPr="00F51ADE">
        <w:rPr>
          <w:bCs/>
          <w:shd w:val="clear" w:color="auto" w:fill="FFFFFF"/>
          <w:lang/>
        </w:rPr>
        <w:t>Rakouská společnost pro podporu hospodářství</w:t>
      </w:r>
      <w:bookmarkEnd w:id="57"/>
      <w:bookmarkEnd w:id="58"/>
      <w:bookmarkEnd w:id="59"/>
    </w:p>
    <w:p w:rsidR="005A63D9" w:rsidRPr="00F51ADE" w:rsidRDefault="005A63D9" w:rsidP="00B329D2">
      <w:pPr>
        <w:widowControl w:val="0"/>
        <w:adjustRightInd w:val="0"/>
        <w:spacing w:afterLines="0"/>
        <w:contextualSpacing w:val="0"/>
        <w:jc w:val="both"/>
        <w:textAlignment w:val="baseline"/>
        <w:rPr>
          <w:color w:val="000000"/>
          <w:shd w:val="clear" w:color="auto" w:fill="FFFFFF"/>
          <w:lang w:eastAsia="cs-CZ"/>
        </w:rPr>
      </w:pPr>
      <w:r w:rsidRPr="00F51ADE">
        <w:rPr>
          <w:color w:val="000000"/>
          <w:shd w:val="clear" w:color="auto" w:fill="FFFFFF"/>
          <w:lang w:eastAsia="cs-CZ"/>
        </w:rPr>
        <w:t xml:space="preserve">(Die Austria Wirtschaftservice Gesellschaft, AWS – www.aws.at) </w:t>
      </w:r>
    </w:p>
    <w:p w:rsidR="005A63D9" w:rsidRPr="00C60750" w:rsidRDefault="005A63D9" w:rsidP="00C60750">
      <w:pPr>
        <w:widowControl w:val="0"/>
        <w:adjustRightInd w:val="0"/>
        <w:spacing w:afterLines="0"/>
        <w:ind w:firstLine="539"/>
        <w:contextualSpacing w:val="0"/>
        <w:jc w:val="both"/>
        <w:textAlignment w:val="baseline"/>
        <w:rPr>
          <w:color w:val="000000"/>
          <w:shd w:val="clear" w:color="auto" w:fill="FFFFFF"/>
          <w:lang w:eastAsia="cs-CZ"/>
        </w:rPr>
      </w:pPr>
      <w:r w:rsidRPr="00C60750">
        <w:rPr>
          <w:color w:val="000000"/>
          <w:shd w:val="clear" w:color="auto" w:fill="FFFFFF"/>
          <w:lang w:eastAsia="cs-CZ"/>
        </w:rPr>
        <w:t>AWS má právní formu společnosti s ručením omezeným a působí jako státní záruční a rozvojová banka pro podporu inovací. V současné době nemá žádné aktivity související s inovacemi v oblasti životního prostředí.</w:t>
      </w:r>
    </w:p>
    <w:p w:rsidR="005A63D9" w:rsidRPr="00F51ADE" w:rsidRDefault="005A63D9" w:rsidP="00F51ADE">
      <w:pPr>
        <w:pStyle w:val="Heading3"/>
        <w:keepNext/>
        <w:spacing w:before="240" w:afterLines="0" w:line="240" w:lineRule="auto"/>
        <w:contextualSpacing w:val="0"/>
        <w:rPr>
          <w:bCs/>
          <w:shd w:val="clear" w:color="auto" w:fill="FFFFFF"/>
          <w:lang/>
        </w:rPr>
      </w:pPr>
      <w:bookmarkStart w:id="60" w:name="_Toc440897407"/>
      <w:bookmarkStart w:id="61" w:name="_Toc441760809"/>
      <w:bookmarkStart w:id="62" w:name="_Toc441849472"/>
      <w:r w:rsidRPr="00F51ADE">
        <w:rPr>
          <w:bCs/>
          <w:shd w:val="clear" w:color="auto" w:fill="FFFFFF"/>
          <w:lang/>
        </w:rPr>
        <w:t>Fond pro podporu vědeckého výzkumu</w:t>
      </w:r>
      <w:bookmarkEnd w:id="60"/>
      <w:bookmarkEnd w:id="61"/>
      <w:bookmarkEnd w:id="62"/>
    </w:p>
    <w:p w:rsidR="005A63D9" w:rsidRPr="00F51ADE" w:rsidRDefault="005A63D9" w:rsidP="00F51ADE">
      <w:pPr>
        <w:widowControl w:val="0"/>
        <w:adjustRightInd w:val="0"/>
        <w:spacing w:afterLines="0"/>
        <w:contextualSpacing w:val="0"/>
        <w:jc w:val="both"/>
        <w:textAlignment w:val="baseline"/>
        <w:rPr>
          <w:color w:val="000000"/>
          <w:shd w:val="clear" w:color="auto" w:fill="FFFFFF"/>
          <w:lang w:eastAsia="cs-CZ"/>
        </w:rPr>
      </w:pPr>
      <w:r w:rsidRPr="00F51ADE">
        <w:rPr>
          <w:color w:val="000000"/>
          <w:shd w:val="clear" w:color="auto" w:fill="FFFFFF"/>
          <w:lang w:eastAsia="cs-CZ"/>
        </w:rPr>
        <w:t>(Fonds zur Förderung der wissenschaftlichen Forschung, FWF – www.fwf.ac.at)</w:t>
      </w:r>
    </w:p>
    <w:p w:rsidR="005A63D9" w:rsidRPr="00F51ADE" w:rsidRDefault="005A63D9" w:rsidP="00F51ADE">
      <w:pPr>
        <w:widowControl w:val="0"/>
        <w:adjustRightInd w:val="0"/>
        <w:spacing w:afterLines="0"/>
        <w:ind w:firstLine="539"/>
        <w:contextualSpacing w:val="0"/>
        <w:jc w:val="both"/>
        <w:textAlignment w:val="baseline"/>
        <w:rPr>
          <w:color w:val="000000"/>
          <w:shd w:val="clear" w:color="auto" w:fill="FFFFFF"/>
          <w:lang w:eastAsia="cs-CZ"/>
        </w:rPr>
      </w:pPr>
      <w:r w:rsidRPr="00F51ADE">
        <w:rPr>
          <w:color w:val="000000"/>
          <w:shd w:val="clear" w:color="auto" w:fill="FFFFFF"/>
          <w:lang w:eastAsia="cs-CZ"/>
        </w:rPr>
        <w:t>V dnešní podobě je FWF zákonem o podpoře výzkumu a technologií zřízená instituce pro podporu základního výzkumu s právní subjektivitou. Došlo k větším změnám organizační struktury fondu. Byla zřízena Dozorčí rada a dále kromě jin</w:t>
      </w:r>
      <w:r>
        <w:rPr>
          <w:color w:val="000000"/>
          <w:shd w:val="clear" w:color="auto" w:fill="FFFFFF"/>
          <w:lang w:eastAsia="cs-CZ"/>
        </w:rPr>
        <w:t>ého byly odděleny strategické a </w:t>
      </w:r>
      <w:r w:rsidRPr="00F51ADE">
        <w:rPr>
          <w:color w:val="000000"/>
          <w:shd w:val="clear" w:color="auto" w:fill="FFFFFF"/>
          <w:lang w:eastAsia="cs-CZ"/>
        </w:rPr>
        <w:t>operativní složky Fondu. Fond dostává příspěvky z rozpo</w:t>
      </w:r>
      <w:r>
        <w:rPr>
          <w:color w:val="000000"/>
          <w:shd w:val="clear" w:color="auto" w:fill="FFFFFF"/>
          <w:lang w:eastAsia="cs-CZ"/>
        </w:rPr>
        <w:t>čtové kapitoly Ministerstva pro </w:t>
      </w:r>
      <w:r w:rsidRPr="00F51ADE">
        <w:rPr>
          <w:color w:val="000000"/>
          <w:shd w:val="clear" w:color="auto" w:fill="FFFFFF"/>
          <w:lang w:eastAsia="cs-CZ"/>
        </w:rPr>
        <w:t>vědu, výzkum a hospodářství.</w:t>
      </w:r>
    </w:p>
    <w:p w:rsidR="005A63D9" w:rsidRPr="00F51ADE" w:rsidRDefault="005A63D9" w:rsidP="00F51ADE">
      <w:pPr>
        <w:widowControl w:val="0"/>
        <w:adjustRightInd w:val="0"/>
        <w:spacing w:afterLines="0"/>
        <w:ind w:firstLine="539"/>
        <w:contextualSpacing w:val="0"/>
        <w:jc w:val="both"/>
        <w:textAlignment w:val="baseline"/>
        <w:rPr>
          <w:color w:val="000000"/>
          <w:shd w:val="clear" w:color="auto" w:fill="FFFFFF"/>
          <w:lang w:eastAsia="cs-CZ"/>
        </w:rPr>
      </w:pPr>
      <w:r w:rsidRPr="00F51ADE">
        <w:rPr>
          <w:color w:val="000000"/>
          <w:shd w:val="clear" w:color="auto" w:fill="FFFFFF"/>
          <w:lang w:eastAsia="cs-CZ"/>
        </w:rPr>
        <w:t>Fond kompetitivním způsobem podporuje standardní individuální a mezinárodní výzkumné projekty a projekty deseti dalších programů. V současné době Fond nemá žádné aktivity související s VaV v oblasti životního prostředí.</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63" w:name="_Toc440897408"/>
      <w:bookmarkStart w:id="64" w:name="_Toc441760810"/>
      <w:bookmarkStart w:id="65" w:name="_Toc441849473"/>
      <w:r w:rsidRPr="00442A0C">
        <w:rPr>
          <w:bCs/>
          <w:shd w:val="clear" w:color="auto" w:fill="FFFFFF"/>
          <w:lang/>
        </w:rPr>
        <w:t>Společnost pro podporu výzkumu</w:t>
      </w:r>
      <w:bookmarkEnd w:id="63"/>
      <w:bookmarkEnd w:id="64"/>
      <w:bookmarkEnd w:id="65"/>
    </w:p>
    <w:p w:rsidR="005A63D9" w:rsidRPr="00B329D2" w:rsidRDefault="005A63D9" w:rsidP="00B329D2">
      <w:pPr>
        <w:widowControl w:val="0"/>
        <w:adjustRightInd w:val="0"/>
        <w:spacing w:afterLines="0"/>
        <w:contextualSpacing w:val="0"/>
        <w:jc w:val="both"/>
        <w:textAlignment w:val="baseline"/>
        <w:rPr>
          <w:color w:val="000000"/>
          <w:shd w:val="clear" w:color="auto" w:fill="FFFFFF"/>
          <w:lang w:eastAsia="cs-CZ"/>
        </w:rPr>
      </w:pPr>
      <w:r w:rsidRPr="00B329D2">
        <w:rPr>
          <w:color w:val="000000"/>
          <w:shd w:val="clear" w:color="auto" w:fill="FFFFFF"/>
          <w:lang w:eastAsia="cs-CZ"/>
        </w:rPr>
        <w:t xml:space="preserve">(Forschungsförderungesellschaft, FFG – www.ffg.at) </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Jedna z největších evropských agentur pro</w:t>
      </w:r>
      <w:r>
        <w:rPr>
          <w:color w:val="000000"/>
          <w:shd w:val="clear" w:color="auto" w:fill="FFFFFF"/>
          <w:lang w:eastAsia="cs-CZ"/>
        </w:rPr>
        <w:t xml:space="preserve"> podporu aplikovaného výzkumu a </w:t>
      </w:r>
      <w:r w:rsidRPr="00B329D2">
        <w:rPr>
          <w:color w:val="000000"/>
          <w:shd w:val="clear" w:color="auto" w:fill="FFFFFF"/>
          <w:lang w:eastAsia="cs-CZ"/>
        </w:rPr>
        <w:t>experimentálního vývoje. Ročně FFG poskytuje přes 400 mil. €. Společnost je financována z rozpočtové kapitoly Spolkového ministerstva pro dopravu, inovace a technologie.</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Společnost byla založena v roce 2004 zákonem, sloučen</w:t>
      </w:r>
      <w:r>
        <w:rPr>
          <w:color w:val="000000"/>
          <w:shd w:val="clear" w:color="auto" w:fill="FFFFFF"/>
          <w:lang w:eastAsia="cs-CZ"/>
        </w:rPr>
        <w:t>ím tří dřívějších institucí pro </w:t>
      </w:r>
      <w:r w:rsidRPr="00B329D2">
        <w:rPr>
          <w:color w:val="000000"/>
          <w:shd w:val="clear" w:color="auto" w:fill="FFFFFF"/>
          <w:lang w:eastAsia="cs-CZ"/>
        </w:rPr>
        <w:t>podporu VaV. Společnost obdobně jako Austrian Institute of Technology (AIT) řídí dva ředitelé. Společnost má tři velké a pět menších organizačních a správních útvarů (jedním z nich je Oddělení pro strategie a analýzy dat). Společnost má dále 6 operativních útvarů: Základní programy; Strategické programy; Tematické programy; Evropské a mezinárodní programy; Agentura pro letectví a kosmonautiku; Projectcontrolling a audit. Společnost má 15člennou dozorčí, 11 členů jmenují „společníci“ BMVIT a BMWFW, 4 členy společnost FFG z externích odborníků. O velikosti FFG si lze udělat před</w:t>
      </w:r>
      <w:r>
        <w:rPr>
          <w:color w:val="000000"/>
          <w:shd w:val="clear" w:color="auto" w:fill="FFFFFF"/>
          <w:lang w:eastAsia="cs-CZ"/>
        </w:rPr>
        <w:t>stavu, vezme-li se do úvahy, že </w:t>
      </w:r>
      <w:r w:rsidRPr="00B329D2">
        <w:rPr>
          <w:color w:val="000000"/>
          <w:shd w:val="clear" w:color="auto" w:fill="FFFFFF"/>
          <w:lang w:eastAsia="cs-CZ"/>
        </w:rPr>
        <w:t>operativní útvar „Tematické programy“ má 49 pracovníků a útvar „Strukturální programy“ 43</w:t>
      </w:r>
      <w:r>
        <w:t xml:space="preserve"> </w:t>
      </w:r>
      <w:r w:rsidRPr="00B329D2">
        <w:rPr>
          <w:color w:val="000000"/>
          <w:shd w:val="clear" w:color="auto" w:fill="FFFFFF"/>
          <w:lang w:eastAsia="cs-CZ"/>
        </w:rPr>
        <w:t xml:space="preserve">pracovníků. V posledních dvou letech (2014 </w:t>
      </w:r>
      <w:r>
        <w:rPr>
          <w:color w:val="000000"/>
          <w:shd w:val="clear" w:color="auto" w:fill="FFFFFF"/>
          <w:lang w:eastAsia="cs-CZ"/>
        </w:rPr>
        <w:t>a 2015) měla společnost cca 260 </w:t>
      </w:r>
      <w:r w:rsidRPr="00B329D2">
        <w:rPr>
          <w:color w:val="000000"/>
          <w:shd w:val="clear" w:color="auto" w:fill="FFFFFF"/>
          <w:lang w:eastAsia="cs-CZ"/>
        </w:rPr>
        <w:t>pracovníků.</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K podpoře FFG využívá dvě desítky nástrojů uspořádaných do čtyř skupin: Základní programy (8 dílčích programů); Strukturální programy (5 dílčích programů); Tematické programy (6 dílčích programů). Tematické programy FFG sledují cíl posílit národní tematické priority a zlepšit mezinárodní spolupráci. Tím má být dosaženo, že témata, která mají strategický význam pro ekonomiku a společnost, budou realizována větším počtem projektů. Kromě toho má být mezinárodními iniciativami a výzvami posílena spolupráce v oblasti výzkumu a inovací v Evropském výzkumném prostoru.</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Dílčími tematickými programy, v kterých je obsažen i výzkum životního prostředí jsou program KLIEN (Klima a energie) a Město budoucnosti.</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FFG ve svých výročních zprávách uvádí podíly prostředků poskytnutých na devět témat. Podíly poskytnuté na tři vybrané témata jsou uvedena v Tab. č. 7.</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p>
    <w:p w:rsidR="005A63D9" w:rsidRPr="00B329D2" w:rsidRDefault="005A63D9" w:rsidP="00B329D2">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7</w:t>
      </w:r>
      <w:r w:rsidRPr="00B329D2">
        <w:rPr>
          <w:b/>
          <w:color w:val="000000"/>
          <w:shd w:val="clear" w:color="auto" w:fill="FFFFFF"/>
          <w:lang w:eastAsia="cs-CZ"/>
        </w:rPr>
        <w:t xml:space="preserve"> </w:t>
      </w:r>
      <w:r w:rsidRPr="00B329D2">
        <w:rPr>
          <w:color w:val="000000"/>
          <w:shd w:val="clear" w:color="auto" w:fill="FFFFFF"/>
          <w:lang w:eastAsia="cs-CZ"/>
        </w:rPr>
        <w:t>Podíly celkové podpory poskytované FFG na vybraná témata</w:t>
      </w:r>
    </w:p>
    <w:tbl>
      <w:tblPr>
        <w:tblW w:w="5000" w:type="pct"/>
        <w:tblLook w:val="00A0"/>
      </w:tblPr>
      <w:tblGrid>
        <w:gridCol w:w="4685"/>
        <w:gridCol w:w="1534"/>
        <w:gridCol w:w="1534"/>
        <w:gridCol w:w="1534"/>
      </w:tblGrid>
      <w:tr w:rsidR="005A63D9" w:rsidRPr="00E27ED8" w:rsidTr="00707D04">
        <w:tc>
          <w:tcPr>
            <w:tcW w:w="2522" w:type="pct"/>
            <w:tcBorders>
              <w:top w:val="single" w:sz="12" w:space="0" w:color="auto"/>
              <w:left w:val="single" w:sz="12" w:space="0" w:color="auto"/>
              <w:bottom w:val="double" w:sz="4" w:space="0" w:color="auto"/>
              <w:right w:val="single" w:sz="4" w:space="0" w:color="auto"/>
            </w:tcBorders>
            <w:shd w:val="clear" w:color="auto" w:fill="BFBFBF"/>
          </w:tcPr>
          <w:p w:rsidR="005A63D9" w:rsidRPr="00E27ED8" w:rsidRDefault="005A63D9" w:rsidP="0008405A">
            <w:pPr>
              <w:autoSpaceDE w:val="0"/>
              <w:autoSpaceDN w:val="0"/>
              <w:adjustRightInd w:val="0"/>
              <w:spacing w:after="144"/>
              <w:jc w:val="both"/>
              <w:rPr>
                <w:rFonts w:cs="MetaCorr"/>
                <w:b/>
                <w:color w:val="000000"/>
                <w:sz w:val="18"/>
                <w:szCs w:val="18"/>
              </w:rPr>
            </w:pPr>
          </w:p>
        </w:tc>
        <w:tc>
          <w:tcPr>
            <w:tcW w:w="826"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2012</w:t>
            </w:r>
          </w:p>
        </w:tc>
        <w:tc>
          <w:tcPr>
            <w:tcW w:w="826"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2013</w:t>
            </w:r>
          </w:p>
        </w:tc>
        <w:tc>
          <w:tcPr>
            <w:tcW w:w="826" w:type="pct"/>
            <w:tcBorders>
              <w:top w:val="single" w:sz="12" w:space="0" w:color="auto"/>
              <w:left w:val="single" w:sz="4" w:space="0" w:color="auto"/>
              <w:bottom w:val="double" w:sz="4" w:space="0" w:color="auto"/>
              <w:right w:val="single" w:sz="12" w:space="0" w:color="auto"/>
            </w:tcBorders>
            <w:shd w:val="clear" w:color="auto" w:fill="BFBFBF"/>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2014</w:t>
            </w:r>
          </w:p>
        </w:tc>
      </w:tr>
      <w:tr w:rsidR="005A63D9" w:rsidRPr="00E27ED8" w:rsidTr="003F18E9">
        <w:tc>
          <w:tcPr>
            <w:tcW w:w="2522"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Celkem poskytnutá podpora (mil. €)</w:t>
            </w:r>
          </w:p>
        </w:tc>
        <w:tc>
          <w:tcPr>
            <w:tcW w:w="826" w:type="pct"/>
            <w:tcBorders>
              <w:top w:val="double" w:sz="4" w:space="0" w:color="auto"/>
              <w:left w:val="single" w:sz="4" w:space="0" w:color="auto"/>
              <w:bottom w:val="single" w:sz="12"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426,6</w:t>
            </w:r>
          </w:p>
        </w:tc>
        <w:tc>
          <w:tcPr>
            <w:tcW w:w="826" w:type="pct"/>
            <w:tcBorders>
              <w:top w:val="double" w:sz="4" w:space="0" w:color="auto"/>
              <w:left w:val="single" w:sz="4" w:space="0" w:color="auto"/>
              <w:bottom w:val="single" w:sz="12"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436,7</w:t>
            </w:r>
          </w:p>
        </w:tc>
        <w:tc>
          <w:tcPr>
            <w:tcW w:w="826" w:type="pct"/>
            <w:tcBorders>
              <w:top w:val="double" w:sz="4" w:space="0" w:color="auto"/>
              <w:left w:val="single" w:sz="4" w:space="0" w:color="auto"/>
              <w:bottom w:val="single" w:sz="12" w:space="0" w:color="auto"/>
              <w:right w:val="single" w:sz="12" w:space="0" w:color="auto"/>
            </w:tcBorders>
            <w:vAlign w:val="center"/>
          </w:tcPr>
          <w:p w:rsidR="005A63D9" w:rsidRPr="00E27ED8" w:rsidRDefault="005A63D9" w:rsidP="0008405A">
            <w:pPr>
              <w:autoSpaceDE w:val="0"/>
              <w:autoSpaceDN w:val="0"/>
              <w:adjustRightInd w:val="0"/>
              <w:spacing w:after="144"/>
              <w:jc w:val="both"/>
              <w:rPr>
                <w:rFonts w:cs="MetaCorr"/>
                <w:b/>
                <w:color w:val="000000"/>
                <w:sz w:val="18"/>
                <w:szCs w:val="18"/>
              </w:rPr>
            </w:pPr>
            <w:r w:rsidRPr="00E27ED8">
              <w:rPr>
                <w:rFonts w:cs="MetaCorr"/>
                <w:b/>
                <w:color w:val="000000"/>
                <w:sz w:val="18"/>
                <w:szCs w:val="18"/>
              </w:rPr>
              <w:t>459,6</w:t>
            </w:r>
          </w:p>
        </w:tc>
      </w:tr>
      <w:tr w:rsidR="005A63D9" w:rsidRPr="00E27ED8" w:rsidTr="003F18E9">
        <w:tc>
          <w:tcPr>
            <w:tcW w:w="252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Energie / životní prostředí (%)</w:t>
            </w:r>
          </w:p>
        </w:tc>
        <w:tc>
          <w:tcPr>
            <w:tcW w:w="826" w:type="pct"/>
            <w:tcBorders>
              <w:top w:val="single" w:sz="12" w:space="0" w:color="auto"/>
              <w:left w:val="single" w:sz="4"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12,0</w:t>
            </w:r>
          </w:p>
        </w:tc>
        <w:tc>
          <w:tcPr>
            <w:tcW w:w="826" w:type="pct"/>
            <w:tcBorders>
              <w:top w:val="single" w:sz="12" w:space="0" w:color="auto"/>
              <w:left w:val="single" w:sz="4"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15,6</w:t>
            </w:r>
          </w:p>
        </w:tc>
        <w:tc>
          <w:tcPr>
            <w:tcW w:w="826" w:type="pct"/>
            <w:tcBorders>
              <w:top w:val="single" w:sz="12" w:space="0" w:color="auto"/>
              <w:left w:val="single" w:sz="4" w:space="0" w:color="auto"/>
              <w:bottom w:val="single" w:sz="4" w:space="0" w:color="auto"/>
              <w:right w:val="single" w:sz="12"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16,5</w:t>
            </w:r>
          </w:p>
        </w:tc>
      </w:tr>
      <w:tr w:rsidR="005A63D9" w:rsidRPr="00E27ED8" w:rsidTr="003F18E9">
        <w:tc>
          <w:tcPr>
            <w:tcW w:w="252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Produkce (%)</w:t>
            </w:r>
          </w:p>
        </w:tc>
        <w:tc>
          <w:tcPr>
            <w:tcW w:w="826"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27,0</w:t>
            </w:r>
          </w:p>
        </w:tc>
        <w:tc>
          <w:tcPr>
            <w:tcW w:w="826"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18,7</w:t>
            </w:r>
          </w:p>
        </w:tc>
        <w:tc>
          <w:tcPr>
            <w:tcW w:w="82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26,2</w:t>
            </w:r>
          </w:p>
        </w:tc>
      </w:tr>
      <w:tr w:rsidR="005A63D9" w:rsidRPr="00E27ED8" w:rsidTr="003F18E9">
        <w:tc>
          <w:tcPr>
            <w:tcW w:w="2522"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Mobilita (%)</w:t>
            </w:r>
          </w:p>
        </w:tc>
        <w:tc>
          <w:tcPr>
            <w:tcW w:w="826" w:type="pct"/>
            <w:tcBorders>
              <w:top w:val="single" w:sz="4" w:space="0" w:color="auto"/>
              <w:left w:val="single" w:sz="4" w:space="0" w:color="auto"/>
              <w:bottom w:val="single" w:sz="12"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14,0</w:t>
            </w:r>
          </w:p>
        </w:tc>
        <w:tc>
          <w:tcPr>
            <w:tcW w:w="826" w:type="pct"/>
            <w:tcBorders>
              <w:top w:val="single" w:sz="4" w:space="0" w:color="auto"/>
              <w:left w:val="single" w:sz="4" w:space="0" w:color="auto"/>
              <w:bottom w:val="single" w:sz="12" w:space="0" w:color="auto"/>
              <w:right w:val="single" w:sz="4"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9,0</w:t>
            </w:r>
          </w:p>
        </w:tc>
        <w:tc>
          <w:tcPr>
            <w:tcW w:w="826"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08405A">
            <w:pPr>
              <w:autoSpaceDE w:val="0"/>
              <w:autoSpaceDN w:val="0"/>
              <w:adjustRightInd w:val="0"/>
              <w:spacing w:after="144"/>
              <w:jc w:val="both"/>
              <w:rPr>
                <w:rFonts w:cs="MetaCorr"/>
                <w:color w:val="000000"/>
                <w:sz w:val="18"/>
                <w:szCs w:val="18"/>
              </w:rPr>
            </w:pPr>
            <w:r w:rsidRPr="00E27ED8">
              <w:rPr>
                <w:rFonts w:cs="MetaCorr"/>
                <w:color w:val="000000"/>
                <w:sz w:val="18"/>
                <w:szCs w:val="18"/>
              </w:rPr>
              <w:t>8,7</w:t>
            </w:r>
          </w:p>
        </w:tc>
      </w:tr>
    </w:tbl>
    <w:p w:rsidR="005A63D9" w:rsidRPr="00CB2805" w:rsidRDefault="005A63D9" w:rsidP="0008405A">
      <w:pPr>
        <w:pStyle w:val="ZDROJovan"/>
        <w:spacing w:after="144" w:line="288" w:lineRule="auto"/>
        <w:jc w:val="both"/>
      </w:pPr>
      <w:r w:rsidRPr="00C77C67">
        <w:t>Zdroj: FFG, Jahresbericht 2102, 2013, 2014</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Činnost FFG se řídí víceletými programy. Současný program na období 2015–2017 s názvem „Next Steps to Innovation Leader“</w:t>
      </w:r>
      <w:r w:rsidRPr="00B329D2">
        <w:rPr>
          <w:color w:val="000000"/>
          <w:shd w:val="clear" w:color="auto" w:fill="FFFFFF"/>
          <w:vertAlign w:val="superscript"/>
          <w:lang w:eastAsia="cs-CZ"/>
        </w:rPr>
        <w:footnoteReference w:id="12"/>
      </w:r>
      <w:r w:rsidRPr="00B329D2">
        <w:rPr>
          <w:color w:val="000000"/>
          <w:shd w:val="clear" w:color="auto" w:fill="FFFFFF"/>
          <w:lang w:eastAsia="cs-CZ"/>
        </w:rPr>
        <w:t xml:space="preserve"> uvádí osm priorit: Inovace ve službách; Produkce; Energie a životní prostředí; Mobilita; Informační a komunikační technologie; Life Science; Kosmonautika; Bezpečnost. Program uvádí i finanční prostředky toto období.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p>
    <w:p w:rsidR="005A63D9" w:rsidRPr="00B329D2" w:rsidRDefault="005A63D9" w:rsidP="00B329D2">
      <w:pPr>
        <w:widowControl w:val="0"/>
        <w:adjustRightInd w:val="0"/>
        <w:spacing w:afterLines="0"/>
        <w:contextualSpacing w:val="0"/>
        <w:jc w:val="both"/>
        <w:textAlignment w:val="baseline"/>
        <w:rPr>
          <w:b/>
          <w:color w:val="000000"/>
          <w:shd w:val="clear" w:color="auto" w:fill="FFFFFF"/>
          <w:lang w:eastAsia="cs-CZ"/>
        </w:rPr>
      </w:pPr>
      <w:r w:rsidRPr="00B329D2">
        <w:rPr>
          <w:b/>
          <w:color w:val="000000"/>
          <w:shd w:val="clear" w:color="auto" w:fill="FFFFFF"/>
          <w:lang w:eastAsia="cs-CZ"/>
        </w:rPr>
        <w:t xml:space="preserve">Tab. č. 8 </w:t>
      </w:r>
      <w:r w:rsidRPr="00B329D2">
        <w:rPr>
          <w:color w:val="000000"/>
          <w:shd w:val="clear" w:color="auto" w:fill="FFFFFF"/>
          <w:lang w:eastAsia="cs-CZ"/>
        </w:rPr>
        <w:t>Finanční prostředky na vybrané aktivity FFG v období 2015–2017</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937"/>
        <w:gridCol w:w="1059"/>
        <w:gridCol w:w="1059"/>
        <w:gridCol w:w="1059"/>
        <w:gridCol w:w="1059"/>
        <w:gridCol w:w="1059"/>
        <w:gridCol w:w="1055"/>
      </w:tblGrid>
      <w:tr w:rsidR="005A63D9" w:rsidRPr="00E27ED8" w:rsidTr="00510C04">
        <w:tc>
          <w:tcPr>
            <w:tcW w:w="1582"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rPr>
            </w:pPr>
          </w:p>
        </w:tc>
        <w:tc>
          <w:tcPr>
            <w:tcW w:w="1139"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2015</w:t>
            </w:r>
          </w:p>
        </w:tc>
        <w:tc>
          <w:tcPr>
            <w:tcW w:w="1139"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2016</w:t>
            </w:r>
          </w:p>
        </w:tc>
        <w:tc>
          <w:tcPr>
            <w:tcW w:w="1139" w:type="pct"/>
            <w:gridSpan w:val="2"/>
            <w:tcBorders>
              <w:top w:val="single" w:sz="12" w:space="0" w:color="auto"/>
              <w:left w:val="single" w:sz="12"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2017</w:t>
            </w:r>
          </w:p>
        </w:tc>
      </w:tr>
      <w:tr w:rsidR="005A63D9" w:rsidRPr="00E27ED8" w:rsidTr="00510C04">
        <w:tc>
          <w:tcPr>
            <w:tcW w:w="1582"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b/>
              </w:rPr>
            </w:pP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(mil. €)</w:t>
            </w:r>
          </w:p>
        </w:tc>
        <w:tc>
          <w:tcPr>
            <w:tcW w:w="570" w:type="pct"/>
            <w:tcBorders>
              <w:bottom w:val="double" w:sz="4" w:space="0" w:color="auto"/>
              <w:right w:val="single" w:sz="12"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w:t>
            </w: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(mil. €)</w:t>
            </w:r>
          </w:p>
        </w:tc>
        <w:tc>
          <w:tcPr>
            <w:tcW w:w="570" w:type="pct"/>
            <w:tcBorders>
              <w:bottom w:val="double" w:sz="4" w:space="0" w:color="auto"/>
              <w:right w:val="single" w:sz="12"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w:t>
            </w: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(mil. €)</w:t>
            </w:r>
          </w:p>
        </w:tc>
        <w:tc>
          <w:tcPr>
            <w:tcW w:w="570" w:type="pct"/>
            <w:tcBorders>
              <w:bottom w:val="double" w:sz="4" w:space="0" w:color="auto"/>
            </w:tcBorders>
            <w:shd w:val="clear" w:color="auto" w:fill="BFBFBF"/>
            <w:vAlign w:val="center"/>
          </w:tcPr>
          <w:p w:rsidR="005A63D9" w:rsidRPr="00E27ED8" w:rsidRDefault="005A63D9" w:rsidP="0008405A">
            <w:pPr>
              <w:spacing w:after="144"/>
              <w:jc w:val="both"/>
              <w:rPr>
                <w:sz w:val="18"/>
                <w:szCs w:val="18"/>
              </w:rPr>
            </w:pPr>
            <w:r w:rsidRPr="00E27ED8">
              <w:rPr>
                <w:sz w:val="18"/>
                <w:szCs w:val="18"/>
              </w:rPr>
              <w:t>(%)</w:t>
            </w:r>
          </w:p>
        </w:tc>
      </w:tr>
      <w:tr w:rsidR="005A63D9" w:rsidRPr="00E27ED8" w:rsidTr="00510C04">
        <w:trPr>
          <w:trHeight w:val="227"/>
        </w:trPr>
        <w:tc>
          <w:tcPr>
            <w:tcW w:w="1582" w:type="pct"/>
            <w:tcBorders>
              <w:top w:val="double" w:sz="4"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Základní programy (BP)</w:t>
            </w:r>
          </w:p>
        </w:tc>
        <w:tc>
          <w:tcPr>
            <w:tcW w:w="570" w:type="pct"/>
            <w:tcBorders>
              <w:top w:val="double" w:sz="4" w:space="0" w:color="auto"/>
              <w:left w:val="single" w:sz="12" w:space="0" w:color="auto"/>
            </w:tcBorders>
            <w:vAlign w:val="center"/>
          </w:tcPr>
          <w:p w:rsidR="005A63D9" w:rsidRPr="00E27ED8" w:rsidRDefault="005A63D9" w:rsidP="0008405A">
            <w:pPr>
              <w:spacing w:after="144"/>
              <w:jc w:val="both"/>
            </w:pPr>
            <w:r w:rsidRPr="00E27ED8">
              <w:t>278,0</w:t>
            </w:r>
          </w:p>
        </w:tc>
        <w:tc>
          <w:tcPr>
            <w:tcW w:w="570" w:type="pct"/>
            <w:tcBorders>
              <w:top w:val="double" w:sz="4" w:space="0" w:color="auto"/>
              <w:right w:val="single" w:sz="12" w:space="0" w:color="auto"/>
            </w:tcBorders>
            <w:vAlign w:val="center"/>
          </w:tcPr>
          <w:p w:rsidR="005A63D9" w:rsidRPr="00E27ED8" w:rsidRDefault="005A63D9" w:rsidP="0008405A">
            <w:pPr>
              <w:spacing w:after="144"/>
              <w:jc w:val="both"/>
            </w:pPr>
            <w:r w:rsidRPr="00E27ED8">
              <w:t>55,4</w:t>
            </w:r>
          </w:p>
        </w:tc>
        <w:tc>
          <w:tcPr>
            <w:tcW w:w="570" w:type="pct"/>
            <w:tcBorders>
              <w:top w:val="double" w:sz="4" w:space="0" w:color="auto"/>
              <w:left w:val="single" w:sz="12" w:space="0" w:color="auto"/>
            </w:tcBorders>
            <w:vAlign w:val="center"/>
          </w:tcPr>
          <w:p w:rsidR="005A63D9" w:rsidRPr="00E27ED8" w:rsidRDefault="005A63D9" w:rsidP="0008405A">
            <w:pPr>
              <w:spacing w:after="144"/>
              <w:jc w:val="both"/>
            </w:pPr>
            <w:r w:rsidRPr="00E27ED8">
              <w:t>281,0</w:t>
            </w:r>
          </w:p>
        </w:tc>
        <w:tc>
          <w:tcPr>
            <w:tcW w:w="570" w:type="pct"/>
            <w:tcBorders>
              <w:top w:val="double" w:sz="4" w:space="0" w:color="auto"/>
              <w:right w:val="single" w:sz="12" w:space="0" w:color="auto"/>
            </w:tcBorders>
            <w:vAlign w:val="center"/>
          </w:tcPr>
          <w:p w:rsidR="005A63D9" w:rsidRPr="00E27ED8" w:rsidRDefault="005A63D9" w:rsidP="0008405A">
            <w:pPr>
              <w:spacing w:after="144"/>
              <w:jc w:val="both"/>
            </w:pPr>
            <w:r w:rsidRPr="00E27ED8">
              <w:t>52,4</w:t>
            </w:r>
          </w:p>
        </w:tc>
        <w:tc>
          <w:tcPr>
            <w:tcW w:w="570" w:type="pct"/>
            <w:tcBorders>
              <w:top w:val="double" w:sz="4" w:space="0" w:color="auto"/>
              <w:left w:val="single" w:sz="12" w:space="0" w:color="auto"/>
            </w:tcBorders>
            <w:vAlign w:val="center"/>
          </w:tcPr>
          <w:p w:rsidR="005A63D9" w:rsidRPr="00E27ED8" w:rsidRDefault="005A63D9" w:rsidP="0008405A">
            <w:pPr>
              <w:spacing w:after="144"/>
              <w:jc w:val="both"/>
            </w:pPr>
            <w:r w:rsidRPr="00E27ED8">
              <w:t>283,0</w:t>
            </w:r>
          </w:p>
        </w:tc>
        <w:tc>
          <w:tcPr>
            <w:tcW w:w="570" w:type="pct"/>
            <w:tcBorders>
              <w:top w:val="double" w:sz="4" w:space="0" w:color="auto"/>
            </w:tcBorders>
            <w:vAlign w:val="center"/>
          </w:tcPr>
          <w:p w:rsidR="005A63D9" w:rsidRPr="00E27ED8" w:rsidRDefault="005A63D9" w:rsidP="0008405A">
            <w:pPr>
              <w:spacing w:after="144"/>
              <w:jc w:val="both"/>
            </w:pPr>
            <w:r w:rsidRPr="00E27ED8">
              <w:t>60,1</w:t>
            </w:r>
          </w:p>
        </w:tc>
      </w:tr>
      <w:tr w:rsidR="005A63D9" w:rsidRPr="00E27ED8" w:rsidTr="00510C04">
        <w:trPr>
          <w:trHeight w:val="227"/>
        </w:trPr>
        <w:tc>
          <w:tcPr>
            <w:tcW w:w="1582"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Tematické programy (TP)</w:t>
            </w:r>
          </w:p>
        </w:tc>
        <w:tc>
          <w:tcPr>
            <w:tcW w:w="570" w:type="pct"/>
            <w:tcBorders>
              <w:left w:val="single" w:sz="12" w:space="0" w:color="auto"/>
            </w:tcBorders>
            <w:vAlign w:val="center"/>
          </w:tcPr>
          <w:p w:rsidR="005A63D9" w:rsidRPr="00E27ED8" w:rsidRDefault="005A63D9" w:rsidP="0008405A">
            <w:pPr>
              <w:spacing w:after="144"/>
              <w:jc w:val="both"/>
            </w:pPr>
            <w:r w:rsidRPr="00E27ED8">
              <w:t>145,0</w:t>
            </w:r>
          </w:p>
        </w:tc>
        <w:tc>
          <w:tcPr>
            <w:tcW w:w="570" w:type="pct"/>
            <w:tcBorders>
              <w:right w:val="single" w:sz="12" w:space="0" w:color="auto"/>
            </w:tcBorders>
            <w:vAlign w:val="center"/>
          </w:tcPr>
          <w:p w:rsidR="005A63D9" w:rsidRPr="00E27ED8" w:rsidRDefault="005A63D9" w:rsidP="0008405A">
            <w:pPr>
              <w:spacing w:after="144"/>
              <w:jc w:val="both"/>
            </w:pPr>
            <w:r w:rsidRPr="00E27ED8">
              <w:t>28,9</w:t>
            </w:r>
          </w:p>
        </w:tc>
        <w:tc>
          <w:tcPr>
            <w:tcW w:w="570" w:type="pct"/>
            <w:tcBorders>
              <w:left w:val="single" w:sz="12" w:space="0" w:color="auto"/>
            </w:tcBorders>
            <w:vAlign w:val="center"/>
          </w:tcPr>
          <w:p w:rsidR="005A63D9" w:rsidRPr="00E27ED8" w:rsidRDefault="005A63D9" w:rsidP="0008405A">
            <w:pPr>
              <w:spacing w:after="144"/>
              <w:jc w:val="both"/>
            </w:pPr>
            <w:r w:rsidRPr="00E27ED8">
              <w:t>148,0</w:t>
            </w:r>
          </w:p>
        </w:tc>
        <w:tc>
          <w:tcPr>
            <w:tcW w:w="570" w:type="pct"/>
            <w:tcBorders>
              <w:right w:val="single" w:sz="12" w:space="0" w:color="auto"/>
            </w:tcBorders>
            <w:vAlign w:val="center"/>
          </w:tcPr>
          <w:p w:rsidR="005A63D9" w:rsidRPr="00E27ED8" w:rsidRDefault="005A63D9" w:rsidP="0008405A">
            <w:pPr>
              <w:spacing w:after="144"/>
              <w:jc w:val="both"/>
            </w:pPr>
            <w:r w:rsidRPr="00E27ED8">
              <w:t>27,5</w:t>
            </w:r>
          </w:p>
        </w:tc>
        <w:tc>
          <w:tcPr>
            <w:tcW w:w="570" w:type="pct"/>
            <w:tcBorders>
              <w:left w:val="single" w:sz="12" w:space="0" w:color="auto"/>
            </w:tcBorders>
            <w:vAlign w:val="center"/>
          </w:tcPr>
          <w:p w:rsidR="005A63D9" w:rsidRPr="00E27ED8" w:rsidRDefault="005A63D9" w:rsidP="0008405A">
            <w:pPr>
              <w:spacing w:after="144"/>
              <w:jc w:val="both"/>
            </w:pPr>
            <w:r w:rsidRPr="00E27ED8">
              <w:t>143,0</w:t>
            </w:r>
          </w:p>
        </w:tc>
        <w:tc>
          <w:tcPr>
            <w:tcW w:w="570" w:type="pct"/>
            <w:vAlign w:val="center"/>
          </w:tcPr>
          <w:p w:rsidR="005A63D9" w:rsidRPr="00E27ED8" w:rsidRDefault="005A63D9" w:rsidP="0008405A">
            <w:pPr>
              <w:spacing w:after="144"/>
              <w:jc w:val="both"/>
            </w:pPr>
            <w:r w:rsidRPr="00E27ED8">
              <w:t>30,4</w:t>
            </w:r>
          </w:p>
        </w:tc>
      </w:tr>
      <w:tr w:rsidR="005A63D9" w:rsidRPr="00E27ED8" w:rsidTr="00510C04">
        <w:trPr>
          <w:trHeight w:val="227"/>
        </w:trPr>
        <w:tc>
          <w:tcPr>
            <w:tcW w:w="1582" w:type="pct"/>
            <w:tcBorders>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Strukturální programy (SP)</w:t>
            </w:r>
          </w:p>
        </w:tc>
        <w:tc>
          <w:tcPr>
            <w:tcW w:w="570" w:type="pct"/>
            <w:tcBorders>
              <w:left w:val="single" w:sz="12" w:space="0" w:color="auto"/>
              <w:bottom w:val="single" w:sz="12" w:space="0" w:color="auto"/>
            </w:tcBorders>
            <w:vAlign w:val="center"/>
          </w:tcPr>
          <w:p w:rsidR="005A63D9" w:rsidRPr="00E27ED8" w:rsidRDefault="005A63D9" w:rsidP="0008405A">
            <w:pPr>
              <w:spacing w:after="144"/>
              <w:jc w:val="both"/>
            </w:pPr>
            <w:r w:rsidRPr="00E27ED8">
              <w:t>70,2</w:t>
            </w:r>
          </w:p>
        </w:tc>
        <w:tc>
          <w:tcPr>
            <w:tcW w:w="570" w:type="pct"/>
            <w:tcBorders>
              <w:bottom w:val="single" w:sz="12" w:space="0" w:color="auto"/>
              <w:right w:val="single" w:sz="12" w:space="0" w:color="auto"/>
            </w:tcBorders>
            <w:vAlign w:val="center"/>
          </w:tcPr>
          <w:p w:rsidR="005A63D9" w:rsidRPr="00E27ED8" w:rsidRDefault="005A63D9" w:rsidP="0008405A">
            <w:pPr>
              <w:spacing w:after="144"/>
              <w:jc w:val="both"/>
            </w:pPr>
            <w:r w:rsidRPr="00E27ED8">
              <w:t>14,0</w:t>
            </w:r>
          </w:p>
        </w:tc>
        <w:tc>
          <w:tcPr>
            <w:tcW w:w="570" w:type="pct"/>
            <w:tcBorders>
              <w:left w:val="single" w:sz="12" w:space="0" w:color="auto"/>
              <w:bottom w:val="single" w:sz="12" w:space="0" w:color="auto"/>
            </w:tcBorders>
            <w:vAlign w:val="center"/>
          </w:tcPr>
          <w:p w:rsidR="005A63D9" w:rsidRPr="00E27ED8" w:rsidRDefault="005A63D9" w:rsidP="0008405A">
            <w:pPr>
              <w:spacing w:after="144"/>
              <w:jc w:val="both"/>
            </w:pPr>
            <w:r w:rsidRPr="00E27ED8">
              <w:t>99,7</w:t>
            </w:r>
          </w:p>
        </w:tc>
        <w:tc>
          <w:tcPr>
            <w:tcW w:w="570" w:type="pct"/>
            <w:tcBorders>
              <w:bottom w:val="single" w:sz="12" w:space="0" w:color="auto"/>
              <w:right w:val="single" w:sz="12" w:space="0" w:color="auto"/>
            </w:tcBorders>
            <w:vAlign w:val="center"/>
          </w:tcPr>
          <w:p w:rsidR="005A63D9" w:rsidRPr="00E27ED8" w:rsidRDefault="005A63D9" w:rsidP="0008405A">
            <w:pPr>
              <w:spacing w:after="144"/>
              <w:jc w:val="both"/>
            </w:pPr>
            <w:r w:rsidRPr="00E27ED8">
              <w:t>18,5</w:t>
            </w:r>
          </w:p>
        </w:tc>
        <w:tc>
          <w:tcPr>
            <w:tcW w:w="570" w:type="pct"/>
            <w:tcBorders>
              <w:left w:val="single" w:sz="12" w:space="0" w:color="auto"/>
              <w:bottom w:val="single" w:sz="12" w:space="0" w:color="auto"/>
            </w:tcBorders>
            <w:vAlign w:val="center"/>
          </w:tcPr>
          <w:p w:rsidR="005A63D9" w:rsidRPr="00E27ED8" w:rsidRDefault="005A63D9" w:rsidP="0008405A">
            <w:pPr>
              <w:spacing w:after="144"/>
              <w:jc w:val="both"/>
            </w:pPr>
            <w:r w:rsidRPr="00E27ED8">
              <w:t>36,2</w:t>
            </w:r>
          </w:p>
        </w:tc>
        <w:tc>
          <w:tcPr>
            <w:tcW w:w="570" w:type="pct"/>
            <w:tcBorders>
              <w:bottom w:val="single" w:sz="12" w:space="0" w:color="auto"/>
            </w:tcBorders>
            <w:vAlign w:val="center"/>
          </w:tcPr>
          <w:p w:rsidR="005A63D9" w:rsidRPr="00E27ED8" w:rsidRDefault="005A63D9" w:rsidP="0008405A">
            <w:pPr>
              <w:spacing w:after="144"/>
              <w:jc w:val="both"/>
            </w:pPr>
            <w:r w:rsidRPr="00E27ED8">
              <w:t>7,7</w:t>
            </w:r>
          </w:p>
        </w:tc>
      </w:tr>
      <w:tr w:rsidR="005A63D9" w:rsidRPr="00E27ED8" w:rsidTr="00510C04">
        <w:trPr>
          <w:trHeight w:val="227"/>
        </w:trPr>
        <w:tc>
          <w:tcPr>
            <w:tcW w:w="1582" w:type="pct"/>
            <w:tcBorders>
              <w:top w:val="single" w:sz="12" w:space="0" w:color="auto"/>
              <w:bottom w:val="single" w:sz="12" w:space="0" w:color="auto"/>
              <w:right w:val="single" w:sz="12" w:space="0" w:color="auto"/>
            </w:tcBorders>
          </w:tcPr>
          <w:p w:rsidR="005A63D9" w:rsidRPr="00E27ED8" w:rsidRDefault="005A63D9" w:rsidP="0008405A">
            <w:pPr>
              <w:spacing w:after="144"/>
              <w:jc w:val="both"/>
              <w:rPr>
                <w:b/>
                <w:sz w:val="18"/>
                <w:szCs w:val="18"/>
              </w:rPr>
            </w:pPr>
            <w:r w:rsidRPr="00E27ED8">
              <w:rPr>
                <w:b/>
                <w:sz w:val="18"/>
                <w:szCs w:val="18"/>
              </w:rPr>
              <w:t>CELKEM</w:t>
            </w:r>
          </w:p>
        </w:tc>
        <w:tc>
          <w:tcPr>
            <w:tcW w:w="570" w:type="pct"/>
            <w:tcBorders>
              <w:top w:val="single" w:sz="12" w:space="0" w:color="auto"/>
              <w:left w:val="single" w:sz="12" w:space="0" w:color="auto"/>
              <w:bottom w:val="single" w:sz="12" w:space="0" w:color="auto"/>
            </w:tcBorders>
            <w:vAlign w:val="center"/>
          </w:tcPr>
          <w:p w:rsidR="005A63D9" w:rsidRPr="00E27ED8" w:rsidRDefault="005A63D9" w:rsidP="0008405A">
            <w:pPr>
              <w:spacing w:after="144"/>
              <w:jc w:val="both"/>
              <w:rPr>
                <w:b/>
              </w:rPr>
            </w:pPr>
            <w:r w:rsidRPr="00E27ED8">
              <w:rPr>
                <w:b/>
              </w:rPr>
              <w:t>502,0</w:t>
            </w:r>
          </w:p>
        </w:tc>
        <w:tc>
          <w:tcPr>
            <w:tcW w:w="570"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b/>
              </w:rPr>
            </w:pPr>
            <w:r w:rsidRPr="00E27ED8">
              <w:rPr>
                <w:b/>
              </w:rPr>
              <w:t>100</w:t>
            </w:r>
          </w:p>
        </w:tc>
        <w:tc>
          <w:tcPr>
            <w:tcW w:w="570" w:type="pct"/>
            <w:tcBorders>
              <w:top w:val="single" w:sz="12" w:space="0" w:color="auto"/>
              <w:left w:val="single" w:sz="12" w:space="0" w:color="auto"/>
              <w:bottom w:val="single" w:sz="12" w:space="0" w:color="auto"/>
            </w:tcBorders>
            <w:vAlign w:val="center"/>
          </w:tcPr>
          <w:p w:rsidR="005A63D9" w:rsidRPr="00E27ED8" w:rsidRDefault="005A63D9" w:rsidP="0008405A">
            <w:pPr>
              <w:spacing w:after="144"/>
              <w:jc w:val="both"/>
              <w:rPr>
                <w:b/>
              </w:rPr>
            </w:pPr>
            <w:r w:rsidRPr="00E27ED8">
              <w:rPr>
                <w:b/>
              </w:rPr>
              <w:t>537,5</w:t>
            </w:r>
          </w:p>
        </w:tc>
        <w:tc>
          <w:tcPr>
            <w:tcW w:w="570"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b/>
              </w:rPr>
            </w:pPr>
            <w:r w:rsidRPr="00E27ED8">
              <w:rPr>
                <w:b/>
              </w:rPr>
              <w:t>100</w:t>
            </w:r>
          </w:p>
        </w:tc>
        <w:tc>
          <w:tcPr>
            <w:tcW w:w="570" w:type="pct"/>
            <w:tcBorders>
              <w:top w:val="single" w:sz="12" w:space="0" w:color="auto"/>
              <w:left w:val="single" w:sz="12" w:space="0" w:color="auto"/>
              <w:bottom w:val="single" w:sz="12" w:space="0" w:color="auto"/>
            </w:tcBorders>
            <w:vAlign w:val="center"/>
          </w:tcPr>
          <w:p w:rsidR="005A63D9" w:rsidRPr="00E27ED8" w:rsidRDefault="005A63D9" w:rsidP="0008405A">
            <w:pPr>
              <w:spacing w:after="144"/>
              <w:jc w:val="both"/>
              <w:rPr>
                <w:b/>
              </w:rPr>
            </w:pPr>
            <w:r w:rsidRPr="00E27ED8">
              <w:rPr>
                <w:b/>
              </w:rPr>
              <w:t>471,0</w:t>
            </w:r>
          </w:p>
        </w:tc>
        <w:tc>
          <w:tcPr>
            <w:tcW w:w="570" w:type="pct"/>
            <w:tcBorders>
              <w:top w:val="single" w:sz="12" w:space="0" w:color="auto"/>
              <w:bottom w:val="single" w:sz="12" w:space="0" w:color="auto"/>
            </w:tcBorders>
            <w:vAlign w:val="center"/>
          </w:tcPr>
          <w:p w:rsidR="005A63D9" w:rsidRPr="00E27ED8" w:rsidRDefault="005A63D9" w:rsidP="0008405A">
            <w:pPr>
              <w:spacing w:after="144"/>
              <w:jc w:val="both"/>
              <w:rPr>
                <w:b/>
              </w:rPr>
            </w:pPr>
            <w:r w:rsidRPr="00E27ED8">
              <w:rPr>
                <w:b/>
              </w:rPr>
              <w:t>100</w:t>
            </w:r>
          </w:p>
        </w:tc>
      </w:tr>
    </w:tbl>
    <w:p w:rsidR="005A63D9" w:rsidRDefault="005A63D9" w:rsidP="0008405A">
      <w:pPr>
        <w:spacing w:before="60" w:after="144"/>
        <w:jc w:val="both"/>
        <w:rPr>
          <w:sz w:val="20"/>
          <w:szCs w:val="20"/>
        </w:rPr>
      </w:pPr>
      <w:r w:rsidRPr="00C77C67">
        <w:rPr>
          <w:rStyle w:val="ZDROJovanChar"/>
          <w:iCs/>
          <w:sz w:val="18"/>
          <w:szCs w:val="20"/>
          <w:lang w:val="cs-CZ"/>
        </w:rPr>
        <w:t xml:space="preserve">Zdroj: Das Mehrjahresprogramm FFG 2015–2017, FFG. </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Do skupiny základních programů patří: Basisprogram – bottom-up, BILAT-Izrael; Vzácná onemocnění; Hightech Start up a 3 další.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Do skupiny tematických programů patří: Energie budoucnosti; IKT budoucnosti; Mobilita budoucnost</w:t>
      </w:r>
      <w:r>
        <w:rPr>
          <w:color w:val="000000"/>
          <w:shd w:val="clear" w:color="auto" w:fill="FFFFFF"/>
          <w:lang w:eastAsia="cs-CZ"/>
        </w:rPr>
        <w:t>,</w:t>
      </w:r>
      <w:r w:rsidRPr="00B329D2">
        <w:rPr>
          <w:color w:val="000000"/>
          <w:shd w:val="clear" w:color="auto" w:fill="FFFFFF"/>
          <w:lang w:eastAsia="cs-CZ"/>
        </w:rPr>
        <w:t xml:space="preserve"> Pr</w:t>
      </w:r>
      <w:r>
        <w:rPr>
          <w:color w:val="000000"/>
          <w:shd w:val="clear" w:color="auto" w:fill="FFFFFF"/>
          <w:lang w:eastAsia="cs-CZ"/>
        </w:rPr>
        <w:t>o</w:t>
      </w:r>
      <w:r w:rsidRPr="00B329D2">
        <w:rPr>
          <w:color w:val="000000"/>
          <w:shd w:val="clear" w:color="auto" w:fill="FFFFFF"/>
          <w:lang w:eastAsia="cs-CZ"/>
        </w:rPr>
        <w:t>gram KLIEN (Klima a energie) a 3 další.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Do skupiny strukturálních programů patří: Výzkumné kompetence pro ekonomiku; Výzkumná partnerství; Talenty a 3 další.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Relativně významný pokles finančních prostředků v roce 2017 není v dokumentu vysvětlen.</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p>
    <w:p w:rsidR="005A63D9" w:rsidRPr="00F51ADE" w:rsidRDefault="005A63D9" w:rsidP="00F51ADE">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66" w:name="_Toc440897409"/>
      <w:bookmarkStart w:id="67" w:name="_Toc441760811"/>
      <w:bookmarkStart w:id="68" w:name="_Toc441849474"/>
      <w:r>
        <w:rPr>
          <w:rFonts w:cs="Arial"/>
          <w:bCs/>
          <w:iCs/>
          <w:color w:val="000000"/>
          <w:shd w:val="clear" w:color="auto" w:fill="FFFFFF"/>
          <w:lang/>
        </w:rPr>
        <w:t xml:space="preserve">2.3 </w:t>
      </w:r>
      <w:r w:rsidRPr="00F51ADE">
        <w:rPr>
          <w:rFonts w:cs="Arial"/>
          <w:bCs/>
          <w:iCs/>
          <w:color w:val="000000"/>
          <w:shd w:val="clear" w:color="auto" w:fill="FFFFFF"/>
          <w:lang/>
        </w:rPr>
        <w:t>Instituce a organizace zabývající se VaVaI v oblasti životního prostředí</w:t>
      </w:r>
      <w:bookmarkEnd w:id="66"/>
      <w:bookmarkEnd w:id="67"/>
      <w:bookmarkEnd w:id="68"/>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Především jsou to instituce a organizace v působnosti tří výše uvedených ministerstev. V působnosti Spolkového ministra pro vědu, výzkum a hospodářství (BMWFW) jsou to především vysoké školy. Z 22 rakouských univerzit má jen jedn</w:t>
      </w:r>
      <w:r>
        <w:rPr>
          <w:color w:val="000000"/>
          <w:shd w:val="clear" w:color="auto" w:fill="FFFFFF"/>
          <w:lang w:eastAsia="cs-CZ"/>
        </w:rPr>
        <w:t>a</w:t>
      </w:r>
      <w:r w:rsidRPr="00B329D2">
        <w:rPr>
          <w:color w:val="000000"/>
          <w:shd w:val="clear" w:color="auto" w:fill="FFFFFF"/>
          <w:lang w:eastAsia="cs-CZ"/>
        </w:rPr>
        <w:t xml:space="preserve"> fakultu pro životní prostředí. Je jí univerzita v Grazu s Fakultou věd o životním prostředí, regionálním rozvoji a vzdělávání.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 xml:space="preserve">Resortní výzkum v působnosti Spolkového ministerstva pro zemědělství, lesnictví, životní prostředí a vodní hospodářství (BMLWUW) provádějí 3 z jeho 9 institucí (spolkových úřadů, spolkových zařízení aj.). Výzkumné práce se provádějí podle jednoročních plánů schvalovaných ministerstvem. Podíly výzkumných prací na </w:t>
      </w:r>
      <w:r>
        <w:rPr>
          <w:color w:val="000000"/>
          <w:shd w:val="clear" w:color="auto" w:fill="FFFFFF"/>
          <w:lang w:eastAsia="cs-CZ"/>
        </w:rPr>
        <w:t>celkových výkonech institucí se </w:t>
      </w:r>
      <w:r w:rsidRPr="00B329D2">
        <w:rPr>
          <w:color w:val="000000"/>
          <w:shd w:val="clear" w:color="auto" w:fill="FFFFFF"/>
          <w:lang w:eastAsia="cs-CZ"/>
        </w:rPr>
        <w:t xml:space="preserve">pohybují v rozsahu 30 až 90 %. </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VaV se zabývají především 3 instituce:</w:t>
      </w:r>
    </w:p>
    <w:p w:rsidR="005A63D9" w:rsidRPr="00B329D2" w:rsidRDefault="005A63D9" w:rsidP="00B329D2">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29D2">
        <w:rPr>
          <w:b/>
          <w:color w:val="000000"/>
          <w:shd w:val="clear" w:color="auto" w:fill="FFFFFF"/>
          <w:lang w:eastAsia="cs-CZ"/>
        </w:rPr>
        <w:t>Spolkový úřad pro vodní hospodářství</w:t>
      </w:r>
      <w:r w:rsidRPr="00B329D2">
        <w:rPr>
          <w:color w:val="000000"/>
          <w:shd w:val="clear" w:color="auto" w:fill="FFFFFF"/>
          <w:lang w:eastAsia="cs-CZ"/>
        </w:rPr>
        <w:t xml:space="preserve"> (www.baw.at), který má 4 ústavy. Z nich</w:t>
      </w:r>
      <w:r>
        <w:rPr>
          <w:color w:val="000000"/>
          <w:shd w:val="clear" w:color="auto" w:fill="FFFFFF"/>
          <w:lang w:eastAsia="cs-CZ"/>
        </w:rPr>
        <w:t> </w:t>
      </w:r>
      <w:r w:rsidRPr="00B329D2">
        <w:rPr>
          <w:color w:val="000000"/>
          <w:shd w:val="clear" w:color="auto" w:fill="FFFFFF"/>
          <w:lang w:eastAsia="cs-CZ"/>
        </w:rPr>
        <w:t>se VaV zabývá Ústav pro techniku prostředí a bilance spodních vod. Ústav je zaměřen na metody a opatření pro snížení zátěže spodních a povrchových vod škodlivinami a půdní erozí.</w:t>
      </w:r>
    </w:p>
    <w:p w:rsidR="005A63D9" w:rsidRPr="00B329D2" w:rsidRDefault="005A63D9" w:rsidP="00B329D2">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29D2">
        <w:rPr>
          <w:b/>
          <w:color w:val="000000"/>
          <w:shd w:val="clear" w:color="auto" w:fill="FFFFFF"/>
          <w:lang w:eastAsia="cs-CZ"/>
        </w:rPr>
        <w:t>Spolkový úřad pro ekonomiku zemědělství</w:t>
      </w:r>
      <w:r w:rsidRPr="00B329D2">
        <w:rPr>
          <w:color w:val="000000"/>
          <w:shd w:val="clear" w:color="auto" w:fill="FFFFFF"/>
          <w:lang w:eastAsia="cs-CZ"/>
        </w:rPr>
        <w:t xml:space="preserve"> (www.agraekonomik.at). VaV je zaměřen na ochranu přírody a životního prostředí, podnikovou ekonomiku, ekonomiku zemědělského trhu, územní plánování a</w:t>
      </w:r>
      <w:r>
        <w:rPr>
          <w:color w:val="000000"/>
          <w:shd w:val="clear" w:color="auto" w:fill="FFFFFF"/>
          <w:lang w:eastAsia="cs-CZ"/>
        </w:rPr>
        <w:t>j. V současné době řeší ústav 4 </w:t>
      </w:r>
      <w:r w:rsidRPr="00B329D2">
        <w:rPr>
          <w:color w:val="000000"/>
          <w:shd w:val="clear" w:color="auto" w:fill="FFFFFF"/>
          <w:lang w:eastAsia="cs-CZ"/>
        </w:rPr>
        <w:t>standardní projekty výzkumu a 14 dlouhodobých výzkumných projektů.</w:t>
      </w:r>
    </w:p>
    <w:p w:rsidR="005A63D9" w:rsidRPr="00B329D2" w:rsidRDefault="005A63D9" w:rsidP="00B329D2">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29D2">
        <w:rPr>
          <w:b/>
          <w:color w:val="000000"/>
          <w:shd w:val="clear" w:color="auto" w:fill="FFFFFF"/>
          <w:lang w:eastAsia="cs-CZ"/>
        </w:rPr>
        <w:t>Spolkové zařízení pro vyšší vzdělávání</w:t>
      </w:r>
      <w:r w:rsidRPr="00B329D2">
        <w:rPr>
          <w:color w:val="000000"/>
          <w:shd w:val="clear" w:color="auto" w:fill="FFFFFF"/>
          <w:vertAlign w:val="superscript"/>
          <w:lang w:eastAsia="cs-CZ"/>
        </w:rPr>
        <w:footnoteReference w:id="13"/>
      </w:r>
      <w:r w:rsidRPr="00B329D2">
        <w:rPr>
          <w:color w:val="000000"/>
          <w:shd w:val="clear" w:color="auto" w:fill="FFFFFF"/>
          <w:lang w:eastAsia="cs-CZ"/>
        </w:rPr>
        <w:t xml:space="preserve"> a výzkum v oblasti zemědělství (www.raumberg-gumpenstein.at) se zabývá výzkumem problematik zemědělství, potravinářství a životního prostředí.</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 xml:space="preserve">Spolkové ministerstvo pro dopravu, inovace a technologii má řadu podřízených institucí, zejména v oblastech komunikací a dopravy. Výzkumem a vývojem se však nezabývá žádná z nich. Řadu prací v oblasti životního prostředí provádí Rakouská společnost pro vodní cesty (Österreichische Wasserstraßen-Gesellschaft – www.viadonau.org). Práce jsou zaměřeny na: Ekologické vodní stavby; Management přírodního prostředí; Lodní dopravu bez nepříznivých dopadů na životní prostředí; Odpady z lodní dopravy. Společnost kompetitivním způsobem zabezpečuje program inovací v lodní dopravě „Lodě pro říční plavbu (Binnenschiff)“. VaV v oblasti </w:t>
      </w:r>
      <w:r>
        <w:rPr>
          <w:color w:val="000000"/>
          <w:shd w:val="clear" w:color="auto" w:fill="FFFFFF"/>
          <w:lang w:eastAsia="cs-CZ"/>
        </w:rPr>
        <w:t>životní prostředí se zabývají i </w:t>
      </w:r>
      <w:r w:rsidRPr="00B329D2">
        <w:rPr>
          <w:color w:val="000000"/>
          <w:shd w:val="clear" w:color="auto" w:fill="FFFFFF"/>
          <w:lang w:eastAsia="cs-CZ"/>
        </w:rPr>
        <w:t>dva velké, vysoce renomované výzkumné ústavy.</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69" w:name="_Toc440897410"/>
      <w:bookmarkStart w:id="70" w:name="_Toc441760812"/>
      <w:bookmarkStart w:id="71" w:name="_Toc441849475"/>
      <w:r w:rsidRPr="00442A0C">
        <w:rPr>
          <w:bCs/>
          <w:shd w:val="clear" w:color="auto" w:fill="FFFFFF"/>
          <w:lang/>
        </w:rPr>
        <w:t>Rakouský technologický institut</w:t>
      </w:r>
      <w:bookmarkEnd w:id="69"/>
      <w:bookmarkEnd w:id="70"/>
      <w:bookmarkEnd w:id="71"/>
    </w:p>
    <w:p w:rsidR="005A63D9" w:rsidRPr="00B329D2" w:rsidRDefault="005A63D9" w:rsidP="00B329D2">
      <w:pPr>
        <w:widowControl w:val="0"/>
        <w:adjustRightInd w:val="0"/>
        <w:spacing w:afterLines="0"/>
        <w:contextualSpacing w:val="0"/>
        <w:jc w:val="both"/>
        <w:textAlignment w:val="baseline"/>
        <w:rPr>
          <w:color w:val="000000"/>
          <w:shd w:val="clear" w:color="auto" w:fill="FFFFFF"/>
          <w:lang w:eastAsia="cs-CZ"/>
        </w:rPr>
      </w:pPr>
      <w:r w:rsidRPr="00B329D2">
        <w:rPr>
          <w:color w:val="000000"/>
          <w:shd w:val="clear" w:color="auto" w:fill="FFFFFF"/>
          <w:lang w:eastAsia="cs-CZ"/>
        </w:rPr>
        <w:t>(Austrian Institute of Technology, AIT – www.ait.ac.at)</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AIT je největším mimouniverzitním výzkumným zařízením v Rakousku a je zaměřen na hlavní infrastrukturní problémy budoucnosti. Jde o společnost s ručením omezeným, jejímiž společníky jsou rakouský stát, zastupovaný Ministerstvem pro dopravu, inovace a</w:t>
      </w:r>
      <w:r>
        <w:rPr>
          <w:color w:val="000000"/>
          <w:shd w:val="clear" w:color="auto" w:fill="FFFFFF"/>
          <w:lang w:eastAsia="cs-CZ"/>
        </w:rPr>
        <w:t> </w:t>
      </w:r>
      <w:r w:rsidRPr="00B329D2">
        <w:rPr>
          <w:color w:val="000000"/>
          <w:shd w:val="clear" w:color="auto" w:fill="FFFFFF"/>
          <w:lang w:eastAsia="cs-CZ"/>
        </w:rPr>
        <w:t>technologie (BMVIT) s podílem 50,46 %, a Sdružením pro podporu výzkumu a inovací s podílem 49,54 %. Institut získává částečnou institucionální podporu od BMVIT, účelovou podporu z nejrůznějších rakouských i zahraničních veřejných zdrojů a další finanční prostředky ze zakázkového výzkumu a služeb.</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Institut má cca 1 260 pracovníků v několika lokalitách ve Wien Tech Gate, Seibersdorfu</w:t>
      </w:r>
      <w:r w:rsidRPr="00B329D2">
        <w:rPr>
          <w:color w:val="000000"/>
          <w:shd w:val="clear" w:color="auto" w:fill="FFFFFF"/>
          <w:vertAlign w:val="superscript"/>
          <w:lang w:eastAsia="cs-CZ"/>
        </w:rPr>
        <w:footnoteReference w:id="14"/>
      </w:r>
      <w:r w:rsidRPr="00B329D2">
        <w:rPr>
          <w:color w:val="000000"/>
          <w:shd w:val="clear" w:color="auto" w:fill="FFFFFF"/>
          <w:lang w:eastAsia="cs-CZ"/>
        </w:rPr>
        <w:t>. a dalších. Ústav je zaměřen na vývoj nástrojů, technologií a řešení pro</w:t>
      </w:r>
      <w:r>
        <w:rPr>
          <w:color w:val="000000"/>
          <w:shd w:val="clear" w:color="auto" w:fill="FFFFFF"/>
          <w:lang w:eastAsia="cs-CZ"/>
        </w:rPr>
        <w:t> </w:t>
      </w:r>
      <w:r w:rsidRPr="00B329D2">
        <w:rPr>
          <w:color w:val="000000"/>
          <w:shd w:val="clear" w:color="auto" w:fill="FFFFFF"/>
          <w:lang w:eastAsia="cs-CZ"/>
        </w:rPr>
        <w:t>rakouskou ekonomiku podle zásady „Tomorrow Today“, udržovat se v kondici pro</w:t>
      </w:r>
      <w:r>
        <w:rPr>
          <w:color w:val="000000"/>
          <w:shd w:val="clear" w:color="auto" w:fill="FFFFFF"/>
          <w:lang w:eastAsia="cs-CZ"/>
        </w:rPr>
        <w:t> </w:t>
      </w:r>
      <w:r w:rsidRPr="00B329D2">
        <w:rPr>
          <w:color w:val="000000"/>
          <w:shd w:val="clear" w:color="auto" w:fill="FFFFFF"/>
          <w:lang w:eastAsia="cs-CZ"/>
        </w:rPr>
        <w:t>budoucnost.</w:t>
      </w:r>
    </w:p>
    <w:p w:rsidR="005A63D9" w:rsidRPr="00B329D2" w:rsidRDefault="005A63D9" w:rsidP="00B329D2">
      <w:pPr>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 xml:space="preserve">Institut má dva ředitele, 5 organizačně správních útvarů a 5 tematických sekcí: Energie; Zdraví a životní prostředí, Digitální bezpečnost; Mobilita; Inovační systémy. </w:t>
      </w:r>
    </w:p>
    <w:p w:rsidR="005A63D9" w:rsidRPr="00B329D2" w:rsidRDefault="005A63D9" w:rsidP="00A378DF">
      <w:pPr>
        <w:keepNext/>
        <w:widowControl w:val="0"/>
        <w:adjustRightInd w:val="0"/>
        <w:spacing w:afterLines="0"/>
        <w:ind w:firstLine="539"/>
        <w:contextualSpacing w:val="0"/>
        <w:jc w:val="both"/>
        <w:textAlignment w:val="baseline"/>
        <w:rPr>
          <w:color w:val="000000"/>
          <w:shd w:val="clear" w:color="auto" w:fill="FFFFFF"/>
          <w:lang w:eastAsia="cs-CZ"/>
        </w:rPr>
      </w:pPr>
      <w:r w:rsidRPr="00B329D2">
        <w:rPr>
          <w:color w:val="000000"/>
          <w:shd w:val="clear" w:color="auto" w:fill="FFFFFF"/>
          <w:lang w:eastAsia="cs-CZ"/>
        </w:rPr>
        <w:t>Sekce zdraví a životní prostředí má čtyři oddělení:</w:t>
      </w:r>
    </w:p>
    <w:p w:rsidR="005A63D9" w:rsidRPr="00C7018C" w:rsidRDefault="005A63D9" w:rsidP="00C7018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7018C">
        <w:rPr>
          <w:color w:val="000000"/>
          <w:shd w:val="clear" w:color="auto" w:fill="FFFFFF"/>
          <w:lang w:eastAsia="cs-CZ"/>
        </w:rPr>
        <w:t>Environmentální zdroje a technologie (8 pracovníků)</w:t>
      </w:r>
    </w:p>
    <w:p w:rsidR="005A63D9" w:rsidRPr="00C7018C" w:rsidRDefault="005A63D9" w:rsidP="00C7018C">
      <w:pPr>
        <w:widowControl w:val="0"/>
        <w:adjustRightInd w:val="0"/>
        <w:spacing w:afterLines="0"/>
        <w:ind w:left="851"/>
        <w:contextualSpacing w:val="0"/>
        <w:jc w:val="both"/>
        <w:textAlignment w:val="baseline"/>
        <w:rPr>
          <w:i/>
          <w:color w:val="000000"/>
          <w:shd w:val="clear" w:color="auto" w:fill="FFFFFF"/>
          <w:lang w:eastAsia="cs-CZ"/>
        </w:rPr>
      </w:pPr>
      <w:r w:rsidRPr="00C7018C">
        <w:rPr>
          <w:i/>
          <w:color w:val="000000"/>
          <w:shd w:val="clear" w:color="auto" w:fill="FFFFFF"/>
          <w:lang w:eastAsia="cs-CZ"/>
        </w:rPr>
        <w:t>Oddělení se zaměřuje na výzkum vzájemných účinků v systému půda</w:t>
      </w:r>
      <w:r>
        <w:rPr>
          <w:i/>
          <w:color w:val="000000"/>
          <w:shd w:val="clear" w:color="auto" w:fill="FFFFFF"/>
          <w:lang w:eastAsia="cs-CZ"/>
        </w:rPr>
        <w:t xml:space="preserve"> </w:t>
      </w:r>
      <w:r w:rsidRPr="00C7018C">
        <w:rPr>
          <w:i/>
          <w:color w:val="000000"/>
          <w:shd w:val="clear" w:color="auto" w:fill="FFFFFF"/>
          <w:lang w:eastAsia="cs-CZ"/>
        </w:rPr>
        <w:t>–</w:t>
      </w:r>
      <w:r>
        <w:rPr>
          <w:i/>
          <w:color w:val="000000"/>
          <w:shd w:val="clear" w:color="auto" w:fill="FFFFFF"/>
          <w:lang w:eastAsia="cs-CZ"/>
        </w:rPr>
        <w:t xml:space="preserve"> </w:t>
      </w:r>
      <w:r w:rsidRPr="00C7018C">
        <w:rPr>
          <w:i/>
          <w:color w:val="000000"/>
          <w:shd w:val="clear" w:color="auto" w:fill="FFFFFF"/>
          <w:lang w:eastAsia="cs-CZ"/>
        </w:rPr>
        <w:t>voda</w:t>
      </w:r>
      <w:r>
        <w:rPr>
          <w:i/>
          <w:color w:val="000000"/>
          <w:shd w:val="clear" w:color="auto" w:fill="FFFFFF"/>
          <w:lang w:eastAsia="cs-CZ"/>
        </w:rPr>
        <w:t xml:space="preserve"> </w:t>
      </w:r>
      <w:r w:rsidRPr="00C7018C">
        <w:rPr>
          <w:i/>
          <w:color w:val="000000"/>
          <w:shd w:val="clear" w:color="auto" w:fill="FFFFFF"/>
          <w:lang w:eastAsia="cs-CZ"/>
        </w:rPr>
        <w:t>–rostliny</w:t>
      </w:r>
      <w:r>
        <w:rPr>
          <w:i/>
          <w:color w:val="000000"/>
          <w:shd w:val="clear" w:color="auto" w:fill="FFFFFF"/>
          <w:lang w:eastAsia="cs-CZ"/>
        </w:rPr>
        <w:t xml:space="preserve"> </w:t>
      </w:r>
      <w:r w:rsidRPr="00C7018C">
        <w:rPr>
          <w:i/>
          <w:color w:val="000000"/>
          <w:shd w:val="clear" w:color="auto" w:fill="FFFFFF"/>
          <w:lang w:eastAsia="cs-CZ"/>
        </w:rPr>
        <w:t>–</w:t>
      </w:r>
      <w:r>
        <w:rPr>
          <w:i/>
          <w:color w:val="000000"/>
          <w:shd w:val="clear" w:color="auto" w:fill="FFFFFF"/>
          <w:lang w:eastAsia="cs-CZ"/>
        </w:rPr>
        <w:t xml:space="preserve"> </w:t>
      </w:r>
      <w:r w:rsidRPr="00C7018C">
        <w:rPr>
          <w:i/>
          <w:color w:val="000000"/>
          <w:shd w:val="clear" w:color="auto" w:fill="FFFFFF"/>
          <w:lang w:eastAsia="cs-CZ"/>
        </w:rPr>
        <w:t>vzduch a na vývoj technologií s respektováním budoucích změn a scénářů udržitelnosti.</w:t>
      </w:r>
    </w:p>
    <w:p w:rsidR="005A63D9" w:rsidRPr="00C7018C" w:rsidRDefault="005A63D9" w:rsidP="00C7018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7018C">
        <w:rPr>
          <w:color w:val="000000"/>
          <w:shd w:val="clear" w:color="auto" w:fill="FFFFFF"/>
          <w:lang w:eastAsia="cs-CZ"/>
        </w:rPr>
        <w:t>Bio-zdroje (10 pracovníků)</w:t>
      </w:r>
    </w:p>
    <w:p w:rsidR="005A63D9" w:rsidRPr="00C7018C" w:rsidRDefault="005A63D9" w:rsidP="00C7018C">
      <w:pPr>
        <w:widowControl w:val="0"/>
        <w:adjustRightInd w:val="0"/>
        <w:spacing w:afterLines="0"/>
        <w:ind w:left="851"/>
        <w:contextualSpacing w:val="0"/>
        <w:jc w:val="both"/>
        <w:textAlignment w:val="baseline"/>
        <w:rPr>
          <w:i/>
          <w:color w:val="000000"/>
          <w:shd w:val="clear" w:color="auto" w:fill="FFFFFF"/>
          <w:lang w:eastAsia="cs-CZ"/>
        </w:rPr>
      </w:pPr>
      <w:r w:rsidRPr="00C7018C">
        <w:rPr>
          <w:i/>
          <w:color w:val="000000"/>
          <w:shd w:val="clear" w:color="auto" w:fill="FFFFFF"/>
          <w:lang w:eastAsia="cs-CZ"/>
        </w:rPr>
        <w:t>Oddělení se zaměřuje na vývoj nových technologií pro využití rostlinných a</w:t>
      </w:r>
      <w:r>
        <w:rPr>
          <w:i/>
          <w:color w:val="000000"/>
          <w:shd w:val="clear" w:color="auto" w:fill="FFFFFF"/>
          <w:lang w:eastAsia="cs-CZ"/>
        </w:rPr>
        <w:t> </w:t>
      </w:r>
      <w:r w:rsidRPr="00C7018C">
        <w:rPr>
          <w:i/>
          <w:color w:val="000000"/>
          <w:shd w:val="clear" w:color="auto" w:fill="FFFFFF"/>
          <w:lang w:eastAsia="cs-CZ"/>
        </w:rPr>
        <w:t>mikrobiálních zdrojů a na efektivnější zjišťování patogenů životního prostředí.</w:t>
      </w:r>
    </w:p>
    <w:p w:rsidR="005A63D9" w:rsidRPr="00C7018C" w:rsidRDefault="005A63D9" w:rsidP="00C7018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7018C">
        <w:rPr>
          <w:color w:val="000000"/>
          <w:shd w:val="clear" w:color="auto" w:fill="FFFFFF"/>
          <w:lang w:eastAsia="cs-CZ"/>
        </w:rPr>
        <w:t>Molekulární diagnostika</w:t>
      </w:r>
    </w:p>
    <w:p w:rsidR="005A63D9" w:rsidRPr="00C7018C" w:rsidRDefault="005A63D9" w:rsidP="00C7018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C7018C">
        <w:rPr>
          <w:color w:val="000000"/>
          <w:shd w:val="clear" w:color="auto" w:fill="FFFFFF"/>
          <w:lang w:eastAsia="cs-CZ"/>
        </w:rPr>
        <w:t>Biomedicínské systémy</w:t>
      </w:r>
    </w:p>
    <w:p w:rsidR="005A63D9"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C7018C">
        <w:rPr>
          <w:color w:val="000000"/>
          <w:shd w:val="clear" w:color="auto" w:fill="FFFFFF"/>
          <w:lang w:eastAsia="cs-CZ"/>
        </w:rPr>
        <w:t>Ústav má 11 člennou dozorčí radu. Poradním orgánem institutu je Strategic Advisory Board (SRAB). Hlavním úkolem této rady jsou stanoviska a doporučení ke strategickému zaměření institutu a jeho čtyřletým programům výzkumu</w:t>
      </w:r>
      <w:r>
        <w:rPr>
          <w:color w:val="000000"/>
          <w:shd w:val="clear" w:color="auto" w:fill="FFFFFF"/>
          <w:lang w:eastAsia="cs-CZ"/>
        </w:rPr>
        <w:t>.</w:t>
      </w:r>
      <w:r w:rsidRPr="00C7018C">
        <w:rPr>
          <w:color w:val="000000"/>
          <w:shd w:val="clear" w:color="auto" w:fill="FFFFFF"/>
          <w:lang w:eastAsia="cs-CZ"/>
        </w:rPr>
        <w:t xml:space="preserve"> Rada má pět členů, vesměs mezinárodně uznávaných vědeckých pracovníků. V současné době jsou kromě jiných členy rady prezident Helmholtzova společenství (Německo) Jürgen Mlynek a Helga Nowotny, dřívější předsedkyně Evropské rady pro výzkum ERC.</w:t>
      </w:r>
    </w:p>
    <w:p w:rsidR="005A63D9" w:rsidRDefault="005A63D9" w:rsidP="004E54E7">
      <w:pPr>
        <w:widowControl w:val="0"/>
        <w:adjustRightInd w:val="0"/>
        <w:spacing w:afterLines="0"/>
        <w:ind w:firstLine="539"/>
        <w:contextualSpacing w:val="0"/>
        <w:jc w:val="both"/>
        <w:textAlignment w:val="baseline"/>
      </w:pPr>
    </w:p>
    <w:p w:rsidR="005A63D9" w:rsidRPr="004E54E7" w:rsidRDefault="005A63D9" w:rsidP="004E54E7">
      <w:pPr>
        <w:widowControl w:val="0"/>
        <w:adjustRightInd w:val="0"/>
        <w:spacing w:afterLines="0"/>
        <w:contextualSpacing w:val="0"/>
        <w:jc w:val="both"/>
        <w:textAlignment w:val="baseline"/>
        <w:rPr>
          <w:b/>
          <w:color w:val="000000"/>
          <w:shd w:val="clear" w:color="auto" w:fill="FFFFFF"/>
          <w:lang w:eastAsia="cs-CZ"/>
        </w:rPr>
      </w:pPr>
      <w:r w:rsidRPr="004E54E7">
        <w:rPr>
          <w:b/>
          <w:color w:val="000000"/>
          <w:shd w:val="clear" w:color="auto" w:fill="FFFFFF"/>
          <w:lang w:eastAsia="cs-CZ"/>
        </w:rPr>
        <w:t xml:space="preserve">Tab. č. 9 </w:t>
      </w:r>
      <w:r w:rsidRPr="004E54E7">
        <w:rPr>
          <w:color w:val="000000"/>
          <w:shd w:val="clear" w:color="auto" w:fill="FFFFFF"/>
          <w:lang w:eastAsia="cs-CZ"/>
        </w:rPr>
        <w:t>Základní ukazatele AIT</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tblPr>
      <w:tblGrid>
        <w:gridCol w:w="3785"/>
        <w:gridCol w:w="1376"/>
        <w:gridCol w:w="1376"/>
        <w:gridCol w:w="1376"/>
        <w:gridCol w:w="1374"/>
      </w:tblGrid>
      <w:tr w:rsidR="005A63D9" w:rsidRPr="00E27ED8" w:rsidTr="00F70EA4">
        <w:tc>
          <w:tcPr>
            <w:tcW w:w="2037" w:type="pct"/>
            <w:tcBorders>
              <w:top w:val="single" w:sz="12" w:space="0" w:color="auto"/>
              <w:left w:val="single" w:sz="12" w:space="0" w:color="auto"/>
              <w:bottom w:val="double" w:sz="4" w:space="0" w:color="auto"/>
              <w:right w:val="single" w:sz="12" w:space="0" w:color="auto"/>
            </w:tcBorders>
            <w:shd w:val="clear" w:color="auto" w:fill="BFBFBF"/>
          </w:tcPr>
          <w:p w:rsidR="005A63D9" w:rsidRPr="00E27ED8" w:rsidRDefault="005A63D9" w:rsidP="0008405A">
            <w:pPr>
              <w:spacing w:after="144"/>
              <w:jc w:val="both"/>
              <w:rPr>
                <w:b/>
                <w:sz w:val="18"/>
                <w:szCs w:val="18"/>
              </w:rPr>
            </w:pPr>
          </w:p>
        </w:tc>
        <w:tc>
          <w:tcPr>
            <w:tcW w:w="741"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C77C67">
            <w:pPr>
              <w:spacing w:after="144"/>
              <w:jc w:val="center"/>
              <w:rPr>
                <w:b/>
                <w:sz w:val="18"/>
                <w:szCs w:val="18"/>
              </w:rPr>
            </w:pPr>
            <w:r w:rsidRPr="00E27ED8">
              <w:rPr>
                <w:b/>
                <w:sz w:val="18"/>
                <w:szCs w:val="18"/>
              </w:rPr>
              <w:t>2010</w:t>
            </w:r>
          </w:p>
        </w:tc>
        <w:tc>
          <w:tcPr>
            <w:tcW w:w="741" w:type="pct"/>
            <w:tcBorders>
              <w:top w:val="single" w:sz="12" w:space="0" w:color="auto"/>
              <w:bottom w:val="double" w:sz="4" w:space="0" w:color="auto"/>
            </w:tcBorders>
            <w:shd w:val="clear" w:color="auto" w:fill="BFBFBF"/>
            <w:vAlign w:val="center"/>
          </w:tcPr>
          <w:p w:rsidR="005A63D9" w:rsidRPr="00E27ED8" w:rsidRDefault="005A63D9" w:rsidP="00C77C67">
            <w:pPr>
              <w:spacing w:after="144"/>
              <w:jc w:val="center"/>
              <w:rPr>
                <w:b/>
                <w:sz w:val="18"/>
                <w:szCs w:val="18"/>
              </w:rPr>
            </w:pPr>
            <w:r w:rsidRPr="00E27ED8">
              <w:rPr>
                <w:b/>
                <w:sz w:val="18"/>
                <w:szCs w:val="18"/>
              </w:rPr>
              <w:t>2011</w:t>
            </w:r>
          </w:p>
        </w:tc>
        <w:tc>
          <w:tcPr>
            <w:tcW w:w="741" w:type="pct"/>
            <w:tcBorders>
              <w:top w:val="single" w:sz="12" w:space="0" w:color="auto"/>
              <w:bottom w:val="double" w:sz="4" w:space="0" w:color="auto"/>
            </w:tcBorders>
            <w:shd w:val="clear" w:color="auto" w:fill="BFBFBF"/>
            <w:vAlign w:val="center"/>
          </w:tcPr>
          <w:p w:rsidR="005A63D9" w:rsidRPr="00E27ED8" w:rsidRDefault="005A63D9" w:rsidP="00C77C67">
            <w:pPr>
              <w:spacing w:after="144"/>
              <w:jc w:val="center"/>
              <w:rPr>
                <w:b/>
                <w:sz w:val="18"/>
                <w:szCs w:val="18"/>
              </w:rPr>
            </w:pPr>
            <w:r w:rsidRPr="00E27ED8">
              <w:rPr>
                <w:b/>
                <w:sz w:val="18"/>
                <w:szCs w:val="18"/>
              </w:rPr>
              <w:t>2012</w:t>
            </w:r>
          </w:p>
        </w:tc>
        <w:tc>
          <w:tcPr>
            <w:tcW w:w="741"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C77C67">
            <w:pPr>
              <w:spacing w:after="144"/>
              <w:jc w:val="center"/>
              <w:rPr>
                <w:b/>
                <w:sz w:val="18"/>
                <w:szCs w:val="18"/>
              </w:rPr>
            </w:pPr>
            <w:r w:rsidRPr="00E27ED8">
              <w:rPr>
                <w:b/>
                <w:sz w:val="18"/>
                <w:szCs w:val="18"/>
              </w:rPr>
              <w:t>2013</w:t>
            </w:r>
          </w:p>
        </w:tc>
      </w:tr>
      <w:tr w:rsidR="005A63D9" w:rsidRPr="00E27ED8" w:rsidTr="00F70EA4">
        <w:tc>
          <w:tcPr>
            <w:tcW w:w="2037" w:type="pct"/>
            <w:tcBorders>
              <w:top w:val="double" w:sz="4" w:space="0" w:color="auto"/>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Počet pracovníků (FTE)</w:t>
            </w:r>
          </w:p>
        </w:tc>
        <w:tc>
          <w:tcPr>
            <w:tcW w:w="741" w:type="pct"/>
            <w:tcBorders>
              <w:top w:val="double" w:sz="4" w:space="0" w:color="auto"/>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649,4</w:t>
            </w:r>
          </w:p>
        </w:tc>
        <w:tc>
          <w:tcPr>
            <w:tcW w:w="741" w:type="pct"/>
            <w:tcBorders>
              <w:top w:val="double" w:sz="4" w:space="0" w:color="auto"/>
            </w:tcBorders>
            <w:vAlign w:val="center"/>
          </w:tcPr>
          <w:p w:rsidR="005A63D9" w:rsidRPr="00E27ED8" w:rsidRDefault="005A63D9" w:rsidP="00C77C67">
            <w:pPr>
              <w:spacing w:after="144"/>
              <w:jc w:val="center"/>
              <w:rPr>
                <w:sz w:val="18"/>
                <w:szCs w:val="18"/>
              </w:rPr>
            </w:pPr>
            <w:r w:rsidRPr="00E27ED8">
              <w:rPr>
                <w:sz w:val="18"/>
                <w:szCs w:val="18"/>
              </w:rPr>
              <w:t>664,8</w:t>
            </w:r>
          </w:p>
        </w:tc>
        <w:tc>
          <w:tcPr>
            <w:tcW w:w="741" w:type="pct"/>
            <w:tcBorders>
              <w:top w:val="double" w:sz="4" w:space="0" w:color="auto"/>
            </w:tcBorders>
            <w:vAlign w:val="center"/>
          </w:tcPr>
          <w:p w:rsidR="005A63D9" w:rsidRPr="00E27ED8" w:rsidRDefault="005A63D9" w:rsidP="00C77C67">
            <w:pPr>
              <w:spacing w:after="144"/>
              <w:jc w:val="center"/>
              <w:rPr>
                <w:sz w:val="18"/>
                <w:szCs w:val="18"/>
              </w:rPr>
            </w:pPr>
            <w:r w:rsidRPr="00E27ED8">
              <w:rPr>
                <w:sz w:val="18"/>
                <w:szCs w:val="18"/>
              </w:rPr>
              <w:t>683,5</w:t>
            </w:r>
          </w:p>
        </w:tc>
        <w:tc>
          <w:tcPr>
            <w:tcW w:w="741" w:type="pct"/>
            <w:tcBorders>
              <w:top w:val="double" w:sz="4" w:space="0" w:color="auto"/>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715,1</w:t>
            </w:r>
          </w:p>
        </w:tc>
      </w:tr>
      <w:tr w:rsidR="005A63D9" w:rsidRPr="00E27ED8" w:rsidTr="00F70EA4">
        <w:tc>
          <w:tcPr>
            <w:tcW w:w="2037" w:type="pct"/>
            <w:tcBorders>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Podíl žen (%)</w:t>
            </w:r>
          </w:p>
        </w:tc>
        <w:tc>
          <w:tcPr>
            <w:tcW w:w="741" w:type="pct"/>
            <w:tcBorders>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24,1</w:t>
            </w:r>
          </w:p>
        </w:tc>
        <w:tc>
          <w:tcPr>
            <w:tcW w:w="741" w:type="pct"/>
            <w:vAlign w:val="center"/>
          </w:tcPr>
          <w:p w:rsidR="005A63D9" w:rsidRPr="00E27ED8" w:rsidRDefault="005A63D9" w:rsidP="00C77C67">
            <w:pPr>
              <w:spacing w:after="144"/>
              <w:jc w:val="center"/>
              <w:rPr>
                <w:sz w:val="18"/>
                <w:szCs w:val="18"/>
              </w:rPr>
            </w:pPr>
            <w:r w:rsidRPr="00E27ED8">
              <w:rPr>
                <w:sz w:val="18"/>
                <w:szCs w:val="18"/>
              </w:rPr>
              <w:t>24,4</w:t>
            </w:r>
          </w:p>
        </w:tc>
        <w:tc>
          <w:tcPr>
            <w:tcW w:w="741" w:type="pct"/>
            <w:vAlign w:val="center"/>
          </w:tcPr>
          <w:p w:rsidR="005A63D9" w:rsidRPr="00E27ED8" w:rsidRDefault="005A63D9" w:rsidP="00C77C67">
            <w:pPr>
              <w:spacing w:after="144"/>
              <w:jc w:val="center"/>
              <w:rPr>
                <w:sz w:val="18"/>
                <w:szCs w:val="18"/>
              </w:rPr>
            </w:pPr>
            <w:r w:rsidRPr="00E27ED8">
              <w:rPr>
                <w:sz w:val="18"/>
                <w:szCs w:val="18"/>
              </w:rPr>
              <w:t>26,1</w:t>
            </w:r>
          </w:p>
        </w:tc>
        <w:tc>
          <w:tcPr>
            <w:tcW w:w="741" w:type="pct"/>
            <w:tcBorders>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27,2</w:t>
            </w:r>
          </w:p>
        </w:tc>
      </w:tr>
      <w:tr w:rsidR="005A63D9" w:rsidRPr="00E27ED8" w:rsidTr="00F70EA4">
        <w:tc>
          <w:tcPr>
            <w:tcW w:w="2037" w:type="pct"/>
            <w:tcBorders>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Podíl výzkumných pracovníků – (%)</w:t>
            </w:r>
          </w:p>
        </w:tc>
        <w:tc>
          <w:tcPr>
            <w:tcW w:w="741" w:type="pct"/>
            <w:tcBorders>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427</w:t>
            </w:r>
          </w:p>
        </w:tc>
        <w:tc>
          <w:tcPr>
            <w:tcW w:w="741" w:type="pct"/>
            <w:vAlign w:val="center"/>
          </w:tcPr>
          <w:p w:rsidR="005A63D9" w:rsidRPr="00E27ED8" w:rsidRDefault="005A63D9" w:rsidP="00C77C67">
            <w:pPr>
              <w:spacing w:after="144"/>
              <w:jc w:val="center"/>
              <w:rPr>
                <w:sz w:val="18"/>
                <w:szCs w:val="18"/>
              </w:rPr>
            </w:pPr>
            <w:r w:rsidRPr="00E27ED8">
              <w:rPr>
                <w:sz w:val="18"/>
                <w:szCs w:val="18"/>
              </w:rPr>
              <w:t>434</w:t>
            </w:r>
          </w:p>
        </w:tc>
        <w:tc>
          <w:tcPr>
            <w:tcW w:w="741" w:type="pct"/>
            <w:vAlign w:val="center"/>
          </w:tcPr>
          <w:p w:rsidR="005A63D9" w:rsidRPr="00E27ED8" w:rsidRDefault="005A63D9" w:rsidP="00C77C67">
            <w:pPr>
              <w:spacing w:after="144"/>
              <w:jc w:val="center"/>
              <w:rPr>
                <w:sz w:val="18"/>
                <w:szCs w:val="18"/>
              </w:rPr>
            </w:pPr>
            <w:r w:rsidRPr="00E27ED8">
              <w:rPr>
                <w:sz w:val="18"/>
                <w:szCs w:val="18"/>
              </w:rPr>
              <w:t>448</w:t>
            </w:r>
          </w:p>
        </w:tc>
        <w:tc>
          <w:tcPr>
            <w:tcW w:w="741" w:type="pct"/>
            <w:tcBorders>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482</w:t>
            </w:r>
          </w:p>
        </w:tc>
      </w:tr>
      <w:tr w:rsidR="005A63D9" w:rsidRPr="00E27ED8" w:rsidTr="00F70EA4">
        <w:tc>
          <w:tcPr>
            <w:tcW w:w="2037" w:type="pct"/>
            <w:tcBorders>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Počet zahraničních výzkumných pracovníků</w:t>
            </w:r>
          </w:p>
        </w:tc>
        <w:tc>
          <w:tcPr>
            <w:tcW w:w="741" w:type="pct"/>
            <w:tcBorders>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103</w:t>
            </w:r>
          </w:p>
        </w:tc>
        <w:tc>
          <w:tcPr>
            <w:tcW w:w="741" w:type="pct"/>
            <w:vAlign w:val="center"/>
          </w:tcPr>
          <w:p w:rsidR="005A63D9" w:rsidRPr="00E27ED8" w:rsidRDefault="005A63D9" w:rsidP="00C77C67">
            <w:pPr>
              <w:spacing w:after="144"/>
              <w:jc w:val="center"/>
              <w:rPr>
                <w:sz w:val="18"/>
                <w:szCs w:val="18"/>
              </w:rPr>
            </w:pPr>
            <w:r w:rsidRPr="00E27ED8">
              <w:rPr>
                <w:sz w:val="18"/>
                <w:szCs w:val="18"/>
              </w:rPr>
              <w:t>103</w:t>
            </w:r>
          </w:p>
        </w:tc>
        <w:tc>
          <w:tcPr>
            <w:tcW w:w="741" w:type="pct"/>
            <w:vAlign w:val="center"/>
          </w:tcPr>
          <w:p w:rsidR="005A63D9" w:rsidRPr="00E27ED8" w:rsidRDefault="005A63D9" w:rsidP="00C77C67">
            <w:pPr>
              <w:spacing w:after="144"/>
              <w:jc w:val="center"/>
              <w:rPr>
                <w:sz w:val="18"/>
                <w:szCs w:val="18"/>
              </w:rPr>
            </w:pPr>
            <w:r w:rsidRPr="00E27ED8">
              <w:rPr>
                <w:sz w:val="18"/>
                <w:szCs w:val="18"/>
              </w:rPr>
              <w:t>113</w:t>
            </w:r>
          </w:p>
        </w:tc>
        <w:tc>
          <w:tcPr>
            <w:tcW w:w="741" w:type="pct"/>
            <w:tcBorders>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125</w:t>
            </w:r>
          </w:p>
        </w:tc>
      </w:tr>
      <w:tr w:rsidR="005A63D9" w:rsidRPr="00E27ED8" w:rsidTr="00F70EA4">
        <w:tc>
          <w:tcPr>
            <w:tcW w:w="2037" w:type="pct"/>
            <w:tcBorders>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Celkové příjmy AIT (mil. €)</w:t>
            </w:r>
          </w:p>
        </w:tc>
        <w:tc>
          <w:tcPr>
            <w:tcW w:w="741" w:type="pct"/>
            <w:tcBorders>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75,8</w:t>
            </w:r>
          </w:p>
        </w:tc>
        <w:tc>
          <w:tcPr>
            <w:tcW w:w="741" w:type="pct"/>
            <w:vAlign w:val="center"/>
          </w:tcPr>
          <w:p w:rsidR="005A63D9" w:rsidRPr="00E27ED8" w:rsidRDefault="005A63D9" w:rsidP="00C77C67">
            <w:pPr>
              <w:spacing w:after="144"/>
              <w:jc w:val="center"/>
              <w:rPr>
                <w:sz w:val="18"/>
                <w:szCs w:val="18"/>
              </w:rPr>
            </w:pPr>
            <w:r w:rsidRPr="00E27ED8">
              <w:rPr>
                <w:sz w:val="18"/>
                <w:szCs w:val="18"/>
              </w:rPr>
              <w:t>77,3</w:t>
            </w:r>
          </w:p>
        </w:tc>
        <w:tc>
          <w:tcPr>
            <w:tcW w:w="741" w:type="pct"/>
            <w:vAlign w:val="center"/>
          </w:tcPr>
          <w:p w:rsidR="005A63D9" w:rsidRPr="00E27ED8" w:rsidRDefault="005A63D9" w:rsidP="00C77C67">
            <w:pPr>
              <w:spacing w:after="144"/>
              <w:jc w:val="center"/>
              <w:rPr>
                <w:sz w:val="18"/>
                <w:szCs w:val="18"/>
              </w:rPr>
            </w:pPr>
            <w:r w:rsidRPr="00E27ED8">
              <w:rPr>
                <w:sz w:val="18"/>
                <w:szCs w:val="18"/>
              </w:rPr>
              <w:t>82,3</w:t>
            </w:r>
          </w:p>
        </w:tc>
        <w:tc>
          <w:tcPr>
            <w:tcW w:w="741" w:type="pct"/>
            <w:tcBorders>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79,2</w:t>
            </w:r>
          </w:p>
        </w:tc>
      </w:tr>
      <w:tr w:rsidR="005A63D9" w:rsidRPr="00E27ED8" w:rsidTr="00F70EA4">
        <w:tc>
          <w:tcPr>
            <w:tcW w:w="2037" w:type="pct"/>
            <w:tcBorders>
              <w:left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Publikace v časopisech s impakt faktorem</w:t>
            </w:r>
          </w:p>
        </w:tc>
        <w:tc>
          <w:tcPr>
            <w:tcW w:w="741" w:type="pct"/>
            <w:tcBorders>
              <w:lef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138</w:t>
            </w:r>
          </w:p>
        </w:tc>
        <w:tc>
          <w:tcPr>
            <w:tcW w:w="741" w:type="pct"/>
            <w:vAlign w:val="center"/>
          </w:tcPr>
          <w:p w:rsidR="005A63D9" w:rsidRPr="00E27ED8" w:rsidRDefault="005A63D9" w:rsidP="00C77C67">
            <w:pPr>
              <w:spacing w:after="144"/>
              <w:jc w:val="center"/>
              <w:rPr>
                <w:sz w:val="18"/>
                <w:szCs w:val="18"/>
              </w:rPr>
            </w:pPr>
            <w:r w:rsidRPr="00E27ED8">
              <w:rPr>
                <w:sz w:val="18"/>
                <w:szCs w:val="18"/>
              </w:rPr>
              <w:t>143</w:t>
            </w:r>
          </w:p>
        </w:tc>
        <w:tc>
          <w:tcPr>
            <w:tcW w:w="741" w:type="pct"/>
            <w:vAlign w:val="center"/>
          </w:tcPr>
          <w:p w:rsidR="005A63D9" w:rsidRPr="00E27ED8" w:rsidRDefault="005A63D9" w:rsidP="00C77C67">
            <w:pPr>
              <w:spacing w:after="144"/>
              <w:jc w:val="center"/>
              <w:rPr>
                <w:sz w:val="18"/>
                <w:szCs w:val="18"/>
              </w:rPr>
            </w:pPr>
            <w:r w:rsidRPr="00E27ED8">
              <w:rPr>
                <w:sz w:val="18"/>
                <w:szCs w:val="18"/>
              </w:rPr>
              <w:t>143</w:t>
            </w:r>
          </w:p>
        </w:tc>
        <w:tc>
          <w:tcPr>
            <w:tcW w:w="741" w:type="pct"/>
            <w:tcBorders>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183</w:t>
            </w:r>
          </w:p>
        </w:tc>
      </w:tr>
      <w:tr w:rsidR="005A63D9" w:rsidRPr="00E27ED8" w:rsidTr="00F70EA4">
        <w:tc>
          <w:tcPr>
            <w:tcW w:w="2037" w:type="pct"/>
            <w:tcBorders>
              <w:left w:val="single" w:sz="12" w:space="0" w:color="auto"/>
              <w:bottom w:val="single" w:sz="12" w:space="0" w:color="auto"/>
              <w:right w:val="single" w:sz="12" w:space="0" w:color="auto"/>
            </w:tcBorders>
            <w:vAlign w:val="center"/>
          </w:tcPr>
          <w:p w:rsidR="005A63D9" w:rsidRPr="00E27ED8" w:rsidRDefault="005A63D9">
            <w:pPr>
              <w:spacing w:after="144"/>
              <w:rPr>
                <w:sz w:val="20"/>
                <w:szCs w:val="20"/>
              </w:rPr>
            </w:pPr>
            <w:r w:rsidRPr="00E27ED8">
              <w:rPr>
                <w:sz w:val="20"/>
                <w:szCs w:val="20"/>
              </w:rPr>
              <w:t>Počet udělených patentů</w:t>
            </w:r>
          </w:p>
        </w:tc>
        <w:tc>
          <w:tcPr>
            <w:tcW w:w="741" w:type="pct"/>
            <w:tcBorders>
              <w:left w:val="single" w:sz="12" w:space="0" w:color="auto"/>
              <w:bottom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16</w:t>
            </w:r>
          </w:p>
        </w:tc>
        <w:tc>
          <w:tcPr>
            <w:tcW w:w="741" w:type="pct"/>
            <w:tcBorders>
              <w:bottom w:val="single" w:sz="12" w:space="0" w:color="auto"/>
            </w:tcBorders>
            <w:vAlign w:val="center"/>
          </w:tcPr>
          <w:p w:rsidR="005A63D9" w:rsidRPr="00E27ED8" w:rsidRDefault="005A63D9" w:rsidP="00C77C67">
            <w:pPr>
              <w:spacing w:after="144"/>
              <w:jc w:val="center"/>
              <w:rPr>
                <w:sz w:val="18"/>
                <w:szCs w:val="18"/>
              </w:rPr>
            </w:pPr>
            <w:r w:rsidRPr="00E27ED8">
              <w:rPr>
                <w:sz w:val="18"/>
                <w:szCs w:val="18"/>
              </w:rPr>
              <w:t>15</w:t>
            </w:r>
          </w:p>
        </w:tc>
        <w:tc>
          <w:tcPr>
            <w:tcW w:w="741" w:type="pct"/>
            <w:tcBorders>
              <w:bottom w:val="single" w:sz="12" w:space="0" w:color="auto"/>
            </w:tcBorders>
            <w:vAlign w:val="center"/>
          </w:tcPr>
          <w:p w:rsidR="005A63D9" w:rsidRPr="00E27ED8" w:rsidRDefault="005A63D9" w:rsidP="00C77C67">
            <w:pPr>
              <w:spacing w:after="144"/>
              <w:jc w:val="center"/>
              <w:rPr>
                <w:sz w:val="18"/>
                <w:szCs w:val="18"/>
              </w:rPr>
            </w:pPr>
            <w:r w:rsidRPr="00E27ED8">
              <w:rPr>
                <w:sz w:val="18"/>
                <w:szCs w:val="18"/>
              </w:rPr>
              <w:t>20</w:t>
            </w:r>
          </w:p>
        </w:tc>
        <w:tc>
          <w:tcPr>
            <w:tcW w:w="741" w:type="pct"/>
            <w:tcBorders>
              <w:bottom w:val="single" w:sz="12" w:space="0" w:color="auto"/>
              <w:right w:val="single" w:sz="12" w:space="0" w:color="auto"/>
            </w:tcBorders>
            <w:vAlign w:val="center"/>
          </w:tcPr>
          <w:p w:rsidR="005A63D9" w:rsidRPr="00E27ED8" w:rsidRDefault="005A63D9" w:rsidP="00C77C67">
            <w:pPr>
              <w:spacing w:after="144"/>
              <w:jc w:val="center"/>
              <w:rPr>
                <w:sz w:val="18"/>
                <w:szCs w:val="18"/>
              </w:rPr>
            </w:pPr>
            <w:r w:rsidRPr="00E27ED8">
              <w:rPr>
                <w:sz w:val="18"/>
                <w:szCs w:val="18"/>
              </w:rPr>
              <w:t>22</w:t>
            </w:r>
          </w:p>
        </w:tc>
      </w:tr>
    </w:tbl>
    <w:p w:rsidR="005A63D9" w:rsidRDefault="005A63D9" w:rsidP="0008405A">
      <w:pPr>
        <w:pStyle w:val="ZDROJovan"/>
        <w:spacing w:after="144" w:line="288" w:lineRule="auto"/>
        <w:jc w:val="both"/>
      </w:pPr>
      <w:r w:rsidRPr="00C77C67">
        <w:t>Zdroj:AIT, Intellectual Capital Indicators 2013.</w:t>
      </w:r>
    </w:p>
    <w:p w:rsidR="005A63D9" w:rsidRPr="004E54E7"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4E54E7">
        <w:rPr>
          <w:color w:val="000000"/>
          <w:shd w:val="clear" w:color="auto" w:fill="FFFFFF"/>
          <w:lang w:eastAsia="cs-CZ"/>
        </w:rPr>
        <w:t>Podíl zahraničních výzkumných pracovníků na celkovém počtu výzkumných pracovníků se ve sledovaném období pohybuje kolem jedné třetiny. Bohužel z dokumentů AIT nelze zjistit, čím jsou zahraniční výzkumní pracovníci motivováni k práci v AIT. Z předcházející tabulky vyplývá vysoká úroveň dosahovaných výsledků (publikace, patenty).</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72" w:name="_Toc440897411"/>
      <w:bookmarkStart w:id="73" w:name="_Toc441760813"/>
      <w:bookmarkStart w:id="74" w:name="_Toc441849476"/>
      <w:r w:rsidRPr="00442A0C">
        <w:rPr>
          <w:bCs/>
          <w:shd w:val="clear" w:color="auto" w:fill="FFFFFF"/>
          <w:lang/>
        </w:rPr>
        <w:t>Společnost Joanneum Research</w:t>
      </w:r>
      <w:bookmarkEnd w:id="72"/>
      <w:bookmarkEnd w:id="73"/>
      <w:bookmarkEnd w:id="74"/>
    </w:p>
    <w:p w:rsidR="005A63D9" w:rsidRPr="004E54E7" w:rsidRDefault="005A63D9" w:rsidP="004E54E7">
      <w:pPr>
        <w:widowControl w:val="0"/>
        <w:adjustRightInd w:val="0"/>
        <w:spacing w:afterLines="0"/>
        <w:contextualSpacing w:val="0"/>
        <w:jc w:val="both"/>
        <w:textAlignment w:val="baseline"/>
        <w:rPr>
          <w:color w:val="000000"/>
          <w:shd w:val="clear" w:color="auto" w:fill="FFFFFF"/>
          <w:lang w:eastAsia="cs-CZ"/>
        </w:rPr>
      </w:pPr>
      <w:r w:rsidRPr="004E54E7">
        <w:rPr>
          <w:color w:val="000000"/>
          <w:shd w:val="clear" w:color="auto" w:fill="FFFFFF"/>
          <w:lang w:eastAsia="cs-CZ"/>
        </w:rPr>
        <w:t>(Joanneum Research Gesellschaft – www.joanneum.at)</w:t>
      </w:r>
    </w:p>
    <w:p w:rsidR="005A63D9" w:rsidRPr="004E54E7"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4E54E7">
        <w:rPr>
          <w:color w:val="000000"/>
          <w:shd w:val="clear" w:color="auto" w:fill="FFFFFF"/>
          <w:lang w:eastAsia="cs-CZ"/>
        </w:rPr>
        <w:t>Velká, rovněž vysoce renomovaná instituce</w:t>
      </w:r>
      <w:r w:rsidRPr="004E54E7">
        <w:rPr>
          <w:color w:val="000000"/>
          <w:shd w:val="clear" w:color="auto" w:fill="FFFFFF"/>
          <w:vertAlign w:val="superscript"/>
          <w:lang w:eastAsia="cs-CZ"/>
        </w:rPr>
        <w:footnoteReference w:id="15"/>
      </w:r>
      <w:r w:rsidRPr="004E54E7">
        <w:rPr>
          <w:color w:val="000000"/>
          <w:shd w:val="clear" w:color="auto" w:fill="FFFFFF"/>
          <w:lang w:eastAsia="cs-CZ"/>
        </w:rPr>
        <w:t xml:space="preserve"> se 6 výzkumnými ústavy a jedním centrem. Společnost má dva zakladatele (vlastníky), Spolkovou zemi Štýrsko (75 %) a firmu BABEG (15%).</w:t>
      </w:r>
    </w:p>
    <w:p w:rsidR="005A63D9" w:rsidRPr="004E54E7"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4E54E7">
        <w:rPr>
          <w:color w:val="000000"/>
          <w:shd w:val="clear" w:color="auto" w:fill="FFFFFF"/>
          <w:lang w:eastAsia="cs-CZ"/>
        </w:rPr>
        <w:t>Zabývá se širokým spektrem prací od základního výzkumu, přes výzkum aplikovaný, vývoj až po transfer poznatků a technologií. Společnost vede ředitel s tříčlenným sekretariátem a třemi prokuristy. Společnost má 6 štábních útvarů a 7 centrálních oddělení (Strategické plánování, Management a marketing inovací a další). Podle výroční zprávy 2014/2015 měla společnost 450 pracovníků. Investiční podpora od BMVIT činila 7,5 mil. €, prostředky od EU 4,5 mil. €. Společnost 75 % ročních nákladů hradila z vlastních zdrojů.</w:t>
      </w:r>
    </w:p>
    <w:p w:rsidR="005A63D9" w:rsidRPr="004E54E7"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4E54E7">
        <w:rPr>
          <w:color w:val="000000"/>
          <w:shd w:val="clear" w:color="auto" w:fill="FFFFFF"/>
          <w:lang w:eastAsia="cs-CZ"/>
        </w:rPr>
        <w:t>Struktura společnosti:</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MATERIALS – Ústav pro technologie povrchů a fotoniku</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HEALTH – Ústav pro biomedicínu a zdravotnické vědy</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DIGITAL – Ústav pro informační a komunikační technologie</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RESOURCES – Ústav pro vodu, energie a udržitelnost</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POLICIES – Ústav pro výzkum hospodářství a inovací</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ROBOTICS – Ústav pro robotiku a mechanotroniku</w:t>
      </w:r>
    </w:p>
    <w:p w:rsidR="005A63D9" w:rsidRPr="004E54E7" w:rsidRDefault="005A63D9" w:rsidP="004E54E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54E7">
        <w:rPr>
          <w:color w:val="000000"/>
          <w:shd w:val="clear" w:color="auto" w:fill="FFFFFF"/>
          <w:lang w:eastAsia="cs-CZ"/>
        </w:rPr>
        <w:t>LIFE – Centrum pro klima, energii a společnost</w:t>
      </w:r>
    </w:p>
    <w:p w:rsidR="005A63D9" w:rsidRPr="004E54E7" w:rsidRDefault="005A63D9" w:rsidP="004E54E7">
      <w:pPr>
        <w:widowControl w:val="0"/>
        <w:adjustRightInd w:val="0"/>
        <w:spacing w:afterLines="0"/>
        <w:contextualSpacing w:val="0"/>
        <w:jc w:val="both"/>
        <w:textAlignment w:val="baseline"/>
        <w:rPr>
          <w:color w:val="000000"/>
          <w:shd w:val="clear" w:color="auto" w:fill="FFFFFF"/>
          <w:lang w:eastAsia="cs-CZ"/>
        </w:rPr>
      </w:pPr>
      <w:r w:rsidRPr="004E54E7">
        <w:rPr>
          <w:color w:val="000000"/>
          <w:shd w:val="clear" w:color="auto" w:fill="FFFFFF"/>
          <w:lang w:eastAsia="cs-CZ"/>
        </w:rPr>
        <w:t>VaV v oblasti životního prostředí se zabývají:</w:t>
      </w:r>
    </w:p>
    <w:p w:rsidR="005A63D9" w:rsidRPr="004E54E7" w:rsidRDefault="005A63D9" w:rsidP="004E54E7">
      <w:pPr>
        <w:widowControl w:val="0"/>
        <w:adjustRightInd w:val="0"/>
        <w:spacing w:afterLines="0"/>
        <w:contextualSpacing w:val="0"/>
        <w:jc w:val="both"/>
        <w:textAlignment w:val="baseline"/>
        <w:rPr>
          <w:color w:val="000000"/>
          <w:shd w:val="clear" w:color="auto" w:fill="FFFFFF"/>
          <w:lang w:eastAsia="cs-CZ"/>
        </w:rPr>
      </w:pPr>
      <w:r w:rsidRPr="004E54E7">
        <w:rPr>
          <w:color w:val="000000"/>
          <w:u w:val="single"/>
          <w:shd w:val="clear" w:color="auto" w:fill="FFFFFF"/>
          <w:lang w:eastAsia="cs-CZ"/>
        </w:rPr>
        <w:t>Ústav pro vodu, energie a udržitelnost</w:t>
      </w:r>
      <w:r w:rsidRPr="004E54E7">
        <w:rPr>
          <w:color w:val="000000"/>
          <w:shd w:val="clear" w:color="auto" w:fill="FFFFFF"/>
          <w:lang w:eastAsia="cs-CZ"/>
        </w:rPr>
        <w:t xml:space="preserve"> (www.joanneum.at/resources.html) má šestičlenné vedení a jednu výzkumnou skupinu „Vodní zdroje a analytika životního prostředí“. Skupina se zabývá managementem zdrojů, Smart Technologies,</w:t>
      </w:r>
      <w:r>
        <w:rPr>
          <w:color w:val="000000"/>
          <w:shd w:val="clear" w:color="auto" w:fill="FFFFFF"/>
          <w:lang w:eastAsia="cs-CZ"/>
        </w:rPr>
        <w:t xml:space="preserve"> kvalitou životního prostředí a </w:t>
      </w:r>
      <w:r w:rsidRPr="004E54E7">
        <w:rPr>
          <w:color w:val="000000"/>
          <w:shd w:val="clear" w:color="auto" w:fill="FFFFFF"/>
          <w:lang w:eastAsia="cs-CZ"/>
        </w:rPr>
        <w:t>záležitostmi Best Practice and Solutions. Ústav má 41 pracovníků.</w:t>
      </w:r>
    </w:p>
    <w:p w:rsidR="005A63D9" w:rsidRPr="004E54E7" w:rsidRDefault="005A63D9" w:rsidP="004E54E7">
      <w:pPr>
        <w:widowControl w:val="0"/>
        <w:adjustRightInd w:val="0"/>
        <w:spacing w:afterLines="0"/>
        <w:contextualSpacing w:val="0"/>
        <w:jc w:val="both"/>
        <w:textAlignment w:val="baseline"/>
        <w:rPr>
          <w:color w:val="000000"/>
          <w:shd w:val="clear" w:color="auto" w:fill="FFFFFF"/>
          <w:lang w:eastAsia="cs-CZ"/>
        </w:rPr>
      </w:pPr>
      <w:r w:rsidRPr="004E54E7">
        <w:rPr>
          <w:color w:val="000000"/>
          <w:u w:val="single"/>
          <w:shd w:val="clear" w:color="auto" w:fill="FFFFFF"/>
          <w:lang w:eastAsia="cs-CZ"/>
        </w:rPr>
        <w:t>Centrum pro klima, energii a společnost</w:t>
      </w:r>
      <w:r w:rsidRPr="004E54E7">
        <w:rPr>
          <w:color w:val="000000"/>
          <w:shd w:val="clear" w:color="auto" w:fill="FFFFFF"/>
          <w:lang w:eastAsia="cs-CZ"/>
        </w:rPr>
        <w:t xml:space="preserve"> (www.joanneum.at/li</w:t>
      </w:r>
      <w:r>
        <w:rPr>
          <w:color w:val="000000"/>
          <w:shd w:val="clear" w:color="auto" w:fill="FFFFFF"/>
          <w:lang w:eastAsia="cs-CZ"/>
        </w:rPr>
        <w:t>ve.html) má čtyřčlenné vedení a </w:t>
      </w:r>
      <w:r w:rsidRPr="004E54E7">
        <w:rPr>
          <w:color w:val="000000"/>
          <w:shd w:val="clear" w:color="auto" w:fill="FFFFFF"/>
          <w:lang w:eastAsia="cs-CZ"/>
        </w:rPr>
        <w:t>tři výzkumné skupiny</w:t>
      </w:r>
      <w:r w:rsidRPr="00431A40">
        <w:rPr>
          <w:color w:val="000000"/>
          <w:shd w:val="clear" w:color="auto" w:fill="FFFFFF"/>
          <w:vertAlign w:val="superscript"/>
          <w:lang w:eastAsia="cs-CZ"/>
        </w:rPr>
        <w:footnoteReference w:id="16"/>
      </w:r>
      <w:r w:rsidRPr="004E54E7">
        <w:rPr>
          <w:color w:val="000000"/>
          <w:shd w:val="clear" w:color="auto" w:fill="FFFFFF"/>
          <w:lang w:eastAsia="cs-CZ"/>
        </w:rPr>
        <w:t>:</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Management rizik počasí a změn klimatu;</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Budoucí energetické systémy a způsoby života;</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Mezinárodní politika a ekonomika klimatu.</w:t>
      </w:r>
    </w:p>
    <w:p w:rsidR="005A63D9" w:rsidRPr="004E54E7" w:rsidRDefault="005A63D9" w:rsidP="004E54E7">
      <w:pPr>
        <w:widowControl w:val="0"/>
        <w:adjustRightInd w:val="0"/>
        <w:spacing w:afterLines="0"/>
        <w:ind w:firstLine="539"/>
        <w:contextualSpacing w:val="0"/>
        <w:jc w:val="both"/>
        <w:textAlignment w:val="baseline"/>
        <w:rPr>
          <w:color w:val="000000"/>
          <w:shd w:val="clear" w:color="auto" w:fill="FFFFFF"/>
          <w:lang w:eastAsia="cs-CZ"/>
        </w:rPr>
      </w:pPr>
      <w:r w:rsidRPr="004E54E7">
        <w:rPr>
          <w:color w:val="000000"/>
          <w:shd w:val="clear" w:color="auto" w:fill="FFFFFF"/>
          <w:lang w:eastAsia="cs-CZ"/>
        </w:rPr>
        <w:t>Cílem prací centra je posílení odolnosti proti rizikům klimatu a počasí a přechod k nízkouhlíkaté ekonomice a společnosti. Centrum úzce spolupracuje s Ústavem pro vodu, energie a udržitelnost. Společně usilují o synergické efekty.</w:t>
      </w:r>
    </w:p>
    <w:p w:rsidR="005A63D9" w:rsidRDefault="005A63D9" w:rsidP="0008405A">
      <w:pPr>
        <w:spacing w:after="144"/>
        <w:jc w:val="both"/>
      </w:pPr>
      <w:r>
        <w:br w:type="page"/>
      </w:r>
    </w:p>
    <w:p w:rsidR="005A63D9" w:rsidRPr="00C51316" w:rsidRDefault="005A63D9" w:rsidP="00C51316">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75" w:name="_Toc440897412"/>
      <w:bookmarkStart w:id="76" w:name="_Toc441760814"/>
      <w:bookmarkStart w:id="77" w:name="_Toc441849477"/>
      <w:r>
        <w:rPr>
          <w:rFonts w:cs="Arial"/>
          <w:bCs/>
          <w:color w:val="000000"/>
          <w:kern w:val="32"/>
          <w:szCs w:val="32"/>
          <w:shd w:val="clear" w:color="auto" w:fill="FFFFFF"/>
          <w:lang/>
        </w:rPr>
        <w:t xml:space="preserve">3. </w:t>
      </w:r>
      <w:r w:rsidRPr="00C51316">
        <w:rPr>
          <w:rFonts w:cs="Arial"/>
          <w:bCs/>
          <w:color w:val="000000"/>
          <w:kern w:val="32"/>
          <w:szCs w:val="32"/>
          <w:shd w:val="clear" w:color="auto" w:fill="FFFFFF"/>
          <w:lang/>
        </w:rPr>
        <w:t>Švýcarsko</w:t>
      </w:r>
      <w:bookmarkEnd w:id="75"/>
      <w:bookmarkEnd w:id="76"/>
      <w:bookmarkEnd w:id="77"/>
    </w:p>
    <w:p w:rsidR="005A63D9" w:rsidRPr="00C51316" w:rsidRDefault="005A63D9" w:rsidP="00C51316">
      <w:pPr>
        <w:widowControl w:val="0"/>
        <w:adjustRightInd w:val="0"/>
        <w:spacing w:afterLines="0"/>
        <w:ind w:firstLine="539"/>
        <w:contextualSpacing w:val="0"/>
        <w:jc w:val="both"/>
        <w:textAlignment w:val="baseline"/>
        <w:rPr>
          <w:color w:val="000000"/>
          <w:shd w:val="clear" w:color="auto" w:fill="FFFFFF"/>
          <w:lang w:eastAsia="cs-CZ"/>
        </w:rPr>
      </w:pPr>
      <w:r w:rsidRPr="00C51316">
        <w:rPr>
          <w:color w:val="000000"/>
          <w:shd w:val="clear" w:color="auto" w:fill="FFFFFF"/>
          <w:lang w:eastAsia="cs-CZ"/>
        </w:rPr>
        <w:t xml:space="preserve">Švýcarsko patří k zemím s vysokou úrovní podpory VaV. V následující tabulce jsou uvedeny základní charakteristiky úrovně této podpory. Statistiky VaV jsou ve Švýcarsku velmi podrobné a spolehlivé, jsou však vydávány s větším zpožděním. </w:t>
      </w:r>
    </w:p>
    <w:p w:rsidR="005A63D9" w:rsidRPr="00C51316" w:rsidRDefault="005A63D9" w:rsidP="00C51316">
      <w:pPr>
        <w:widowControl w:val="0"/>
        <w:adjustRightInd w:val="0"/>
        <w:spacing w:afterLines="0"/>
        <w:ind w:firstLine="539"/>
        <w:contextualSpacing w:val="0"/>
        <w:jc w:val="both"/>
        <w:textAlignment w:val="baseline"/>
        <w:rPr>
          <w:color w:val="000000"/>
          <w:shd w:val="clear" w:color="auto" w:fill="FFFFFF"/>
          <w:lang w:eastAsia="cs-CZ"/>
        </w:rPr>
      </w:pPr>
      <w:r w:rsidRPr="00C51316">
        <w:rPr>
          <w:color w:val="000000"/>
          <w:shd w:val="clear" w:color="auto" w:fill="FFFFFF"/>
          <w:lang w:eastAsia="cs-CZ"/>
        </w:rPr>
        <w:t>Spolkový úřad pro statistiku (www.bfs.admin.ch) vydal indikátory VaV zahrnující rok 2012 až v březnu 2015. V listopadu 2015 vydal tento úřad velmi podrobné statistiky veřejných výdajů. Novější data o celkových výdajích na VaV ve Švýcarsku samozřejmě nejsou ani v databázích Eurostatu. V Tab. č. 10. vycházející z</w:t>
      </w:r>
      <w:r>
        <w:rPr>
          <w:color w:val="000000"/>
          <w:shd w:val="clear" w:color="auto" w:fill="FFFFFF"/>
          <w:lang w:eastAsia="cs-CZ"/>
        </w:rPr>
        <w:t xml:space="preserve"> </w:t>
      </w:r>
      <w:r w:rsidRPr="00C51316">
        <w:rPr>
          <w:color w:val="000000"/>
          <w:shd w:val="clear" w:color="auto" w:fill="FFFFFF"/>
          <w:lang w:eastAsia="cs-CZ"/>
        </w:rPr>
        <w:t>dat Eurostatu jsou uvedeny základní charakteristiky vývoje podpory VaV ve Švýcarsku do roku 2012.</w:t>
      </w:r>
    </w:p>
    <w:p w:rsidR="005A63D9" w:rsidRPr="00C51316" w:rsidRDefault="005A63D9" w:rsidP="00C51316">
      <w:pPr>
        <w:widowControl w:val="0"/>
        <w:adjustRightInd w:val="0"/>
        <w:spacing w:afterLines="0"/>
        <w:ind w:firstLine="539"/>
        <w:contextualSpacing w:val="0"/>
        <w:jc w:val="both"/>
        <w:textAlignment w:val="baseline"/>
        <w:rPr>
          <w:color w:val="000000"/>
          <w:shd w:val="clear" w:color="auto" w:fill="FFFFFF"/>
          <w:lang w:eastAsia="cs-CZ"/>
        </w:rPr>
      </w:pPr>
    </w:p>
    <w:p w:rsidR="005A63D9" w:rsidRPr="001462C0" w:rsidRDefault="005A63D9" w:rsidP="001462C0">
      <w:pPr>
        <w:widowControl w:val="0"/>
        <w:adjustRightInd w:val="0"/>
        <w:spacing w:afterLines="0"/>
        <w:contextualSpacing w:val="0"/>
        <w:jc w:val="both"/>
        <w:textAlignment w:val="baseline"/>
        <w:rPr>
          <w:b/>
          <w:color w:val="000000"/>
          <w:shd w:val="clear" w:color="auto" w:fill="FFFFFF"/>
          <w:lang w:eastAsia="cs-CZ"/>
        </w:rPr>
      </w:pPr>
      <w:r w:rsidRPr="001462C0">
        <w:rPr>
          <w:b/>
          <w:color w:val="000000"/>
          <w:shd w:val="clear" w:color="auto" w:fill="FFFFFF"/>
          <w:lang w:eastAsia="cs-CZ"/>
        </w:rPr>
        <w:t xml:space="preserve">Tab. č. 10 </w:t>
      </w:r>
      <w:r w:rsidRPr="00431A40">
        <w:rPr>
          <w:color w:val="000000"/>
          <w:shd w:val="clear" w:color="auto" w:fill="FFFFFF"/>
          <w:lang w:eastAsia="cs-CZ"/>
        </w:rPr>
        <w:t>Základní charakteristiky podpory VaV ve Švýcarsku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981"/>
        <w:gridCol w:w="1327"/>
        <w:gridCol w:w="1327"/>
        <w:gridCol w:w="1326"/>
        <w:gridCol w:w="1326"/>
      </w:tblGrid>
      <w:tr w:rsidR="005A63D9" w:rsidRPr="00E27ED8" w:rsidTr="00510C04">
        <w:tc>
          <w:tcPr>
            <w:tcW w:w="2143"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spacing w:after="144"/>
              <w:jc w:val="both"/>
              <w:rPr>
                <w:color w:val="000000"/>
                <w:sz w:val="20"/>
                <w:szCs w:val="20"/>
              </w:rPr>
            </w:pPr>
          </w:p>
        </w:tc>
        <w:tc>
          <w:tcPr>
            <w:tcW w:w="714"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946055">
            <w:pPr>
              <w:spacing w:after="144"/>
              <w:jc w:val="center"/>
              <w:rPr>
                <w:color w:val="000000"/>
                <w:sz w:val="20"/>
                <w:szCs w:val="20"/>
              </w:rPr>
            </w:pPr>
            <w:r w:rsidRPr="00E27ED8">
              <w:rPr>
                <w:color w:val="000000"/>
                <w:sz w:val="20"/>
                <w:szCs w:val="20"/>
              </w:rPr>
              <w:t>2004</w:t>
            </w:r>
          </w:p>
        </w:tc>
        <w:tc>
          <w:tcPr>
            <w:tcW w:w="714" w:type="pct"/>
            <w:tcBorders>
              <w:top w:val="single" w:sz="12" w:space="0" w:color="auto"/>
              <w:bottom w:val="double" w:sz="4" w:space="0" w:color="auto"/>
            </w:tcBorders>
            <w:shd w:val="clear" w:color="auto" w:fill="BFBFBF"/>
            <w:vAlign w:val="center"/>
          </w:tcPr>
          <w:p w:rsidR="005A63D9" w:rsidRPr="00E27ED8" w:rsidRDefault="005A63D9" w:rsidP="00946055">
            <w:pPr>
              <w:spacing w:after="144"/>
              <w:jc w:val="center"/>
              <w:rPr>
                <w:color w:val="000000"/>
                <w:sz w:val="20"/>
                <w:szCs w:val="20"/>
              </w:rPr>
            </w:pPr>
            <w:r w:rsidRPr="00E27ED8">
              <w:rPr>
                <w:color w:val="000000"/>
                <w:sz w:val="20"/>
                <w:szCs w:val="20"/>
              </w:rPr>
              <w:t>2008</w:t>
            </w:r>
          </w:p>
        </w:tc>
        <w:tc>
          <w:tcPr>
            <w:tcW w:w="714" w:type="pct"/>
            <w:tcBorders>
              <w:top w:val="single" w:sz="12" w:space="0" w:color="auto"/>
              <w:bottom w:val="double" w:sz="4" w:space="0" w:color="auto"/>
            </w:tcBorders>
            <w:shd w:val="clear" w:color="auto" w:fill="BFBFBF"/>
            <w:vAlign w:val="center"/>
          </w:tcPr>
          <w:p w:rsidR="005A63D9" w:rsidRPr="00E27ED8" w:rsidRDefault="005A63D9" w:rsidP="00946055">
            <w:pPr>
              <w:spacing w:after="144"/>
              <w:jc w:val="center"/>
              <w:rPr>
                <w:color w:val="000000"/>
                <w:sz w:val="20"/>
                <w:szCs w:val="20"/>
              </w:rPr>
            </w:pPr>
            <w:r w:rsidRPr="00E27ED8">
              <w:rPr>
                <w:color w:val="000000"/>
                <w:sz w:val="20"/>
                <w:szCs w:val="20"/>
              </w:rPr>
              <w:t>2010</w:t>
            </w:r>
          </w:p>
        </w:tc>
        <w:tc>
          <w:tcPr>
            <w:tcW w:w="714" w:type="pct"/>
            <w:tcBorders>
              <w:top w:val="single" w:sz="12" w:space="0" w:color="auto"/>
              <w:bottom w:val="double" w:sz="4" w:space="0" w:color="auto"/>
            </w:tcBorders>
            <w:shd w:val="clear" w:color="auto" w:fill="BFBFBF"/>
            <w:vAlign w:val="center"/>
          </w:tcPr>
          <w:p w:rsidR="005A63D9" w:rsidRPr="00E27ED8" w:rsidRDefault="005A63D9" w:rsidP="00946055">
            <w:pPr>
              <w:spacing w:after="144"/>
              <w:jc w:val="center"/>
              <w:rPr>
                <w:color w:val="000000"/>
                <w:sz w:val="20"/>
                <w:szCs w:val="20"/>
              </w:rPr>
            </w:pPr>
            <w:r w:rsidRPr="00E27ED8">
              <w:rPr>
                <w:color w:val="000000"/>
                <w:sz w:val="20"/>
                <w:szCs w:val="20"/>
              </w:rPr>
              <w:t>2012</w:t>
            </w:r>
          </w:p>
        </w:tc>
      </w:tr>
      <w:tr w:rsidR="005A63D9" w:rsidRPr="00E27ED8" w:rsidTr="00510C04">
        <w:tc>
          <w:tcPr>
            <w:tcW w:w="2143" w:type="pct"/>
            <w:tcBorders>
              <w:top w:val="double" w:sz="4" w:space="0" w:color="auto"/>
              <w:right w:val="single" w:sz="12" w:space="0" w:color="auto"/>
            </w:tcBorders>
            <w:vAlign w:val="center"/>
          </w:tcPr>
          <w:p w:rsidR="005A63D9" w:rsidRPr="00E27ED8" w:rsidRDefault="005A63D9">
            <w:pPr>
              <w:spacing w:after="144"/>
              <w:rPr>
                <w:color w:val="000000"/>
                <w:sz w:val="20"/>
                <w:szCs w:val="20"/>
              </w:rPr>
            </w:pPr>
            <w:r w:rsidRPr="00E27ED8">
              <w:rPr>
                <w:color w:val="000000"/>
                <w:sz w:val="20"/>
                <w:szCs w:val="20"/>
              </w:rPr>
              <w:t>Výdaje na VaV (% HDP)</w:t>
            </w:r>
          </w:p>
        </w:tc>
        <w:tc>
          <w:tcPr>
            <w:tcW w:w="714" w:type="pct"/>
            <w:tcBorders>
              <w:top w:val="double" w:sz="4" w:space="0" w:color="auto"/>
              <w:left w:val="single" w:sz="12" w:space="0" w:color="auto"/>
            </w:tcBorders>
            <w:vAlign w:val="center"/>
          </w:tcPr>
          <w:p w:rsidR="005A63D9" w:rsidRPr="00E27ED8" w:rsidRDefault="005A63D9" w:rsidP="00946055">
            <w:pPr>
              <w:spacing w:after="144"/>
              <w:jc w:val="center"/>
              <w:rPr>
                <w:color w:val="000000"/>
                <w:sz w:val="20"/>
                <w:szCs w:val="20"/>
              </w:rPr>
            </w:pPr>
          </w:p>
        </w:tc>
        <w:tc>
          <w:tcPr>
            <w:tcW w:w="714" w:type="pct"/>
            <w:tcBorders>
              <w:top w:val="double" w:sz="4" w:space="0" w:color="auto"/>
            </w:tcBorders>
            <w:vAlign w:val="center"/>
          </w:tcPr>
          <w:p w:rsidR="005A63D9" w:rsidRPr="00E27ED8" w:rsidRDefault="005A63D9" w:rsidP="00946055">
            <w:pPr>
              <w:spacing w:after="144"/>
              <w:jc w:val="center"/>
              <w:rPr>
                <w:color w:val="000000"/>
                <w:sz w:val="20"/>
                <w:szCs w:val="20"/>
              </w:rPr>
            </w:pPr>
            <w:r w:rsidRPr="00E27ED8">
              <w:rPr>
                <w:color w:val="000000"/>
                <w:sz w:val="20"/>
                <w:szCs w:val="20"/>
              </w:rPr>
              <w:t>2,23</w:t>
            </w:r>
          </w:p>
        </w:tc>
        <w:tc>
          <w:tcPr>
            <w:tcW w:w="714" w:type="pct"/>
            <w:tcBorders>
              <w:top w:val="double" w:sz="4" w:space="0" w:color="auto"/>
            </w:tcBorders>
            <w:vAlign w:val="center"/>
          </w:tcPr>
          <w:p w:rsidR="005A63D9" w:rsidRPr="00E27ED8" w:rsidRDefault="005A63D9" w:rsidP="00946055">
            <w:pPr>
              <w:spacing w:after="144"/>
              <w:jc w:val="center"/>
              <w:rPr>
                <w:color w:val="000000"/>
                <w:sz w:val="20"/>
                <w:szCs w:val="20"/>
              </w:rPr>
            </w:pPr>
            <w:r w:rsidRPr="00E27ED8">
              <w:rPr>
                <w:color w:val="000000"/>
                <w:sz w:val="20"/>
                <w:szCs w:val="20"/>
              </w:rPr>
              <w:t>2,33</w:t>
            </w:r>
          </w:p>
        </w:tc>
        <w:tc>
          <w:tcPr>
            <w:tcW w:w="714" w:type="pct"/>
            <w:tcBorders>
              <w:top w:val="double" w:sz="4" w:space="0" w:color="auto"/>
            </w:tcBorders>
            <w:vAlign w:val="center"/>
          </w:tcPr>
          <w:p w:rsidR="005A63D9" w:rsidRPr="00E27ED8" w:rsidRDefault="005A63D9" w:rsidP="00946055">
            <w:pPr>
              <w:spacing w:after="144"/>
              <w:jc w:val="center"/>
              <w:rPr>
                <w:color w:val="000000"/>
                <w:sz w:val="20"/>
                <w:szCs w:val="20"/>
              </w:rPr>
            </w:pPr>
            <w:r w:rsidRPr="00E27ED8">
              <w:rPr>
                <w:color w:val="000000"/>
                <w:sz w:val="20"/>
                <w:szCs w:val="20"/>
              </w:rPr>
              <w:t>2,63</w:t>
            </w:r>
          </w:p>
        </w:tc>
      </w:tr>
      <w:tr w:rsidR="005A63D9" w:rsidRPr="00E27ED8" w:rsidTr="00510C04">
        <w:tc>
          <w:tcPr>
            <w:tcW w:w="2143" w:type="pct"/>
            <w:tcBorders>
              <w:right w:val="single" w:sz="12" w:space="0" w:color="auto"/>
            </w:tcBorders>
            <w:vAlign w:val="center"/>
          </w:tcPr>
          <w:p w:rsidR="005A63D9" w:rsidRPr="00E27ED8" w:rsidRDefault="005A63D9">
            <w:pPr>
              <w:spacing w:after="144"/>
              <w:rPr>
                <w:color w:val="000000"/>
                <w:sz w:val="20"/>
                <w:szCs w:val="20"/>
              </w:rPr>
            </w:pPr>
            <w:r w:rsidRPr="00E27ED8">
              <w:rPr>
                <w:color w:val="000000"/>
                <w:sz w:val="20"/>
                <w:szCs w:val="20"/>
              </w:rPr>
              <w:t>Podíl státních výdajů na celkových výdajích na VaV (%)</w:t>
            </w:r>
          </w:p>
        </w:tc>
        <w:tc>
          <w:tcPr>
            <w:tcW w:w="714" w:type="pct"/>
            <w:tcBorders>
              <w:left w:val="single" w:sz="12" w:space="0" w:color="auto"/>
            </w:tcBorders>
            <w:vAlign w:val="center"/>
          </w:tcPr>
          <w:p w:rsidR="005A63D9" w:rsidRPr="00E27ED8" w:rsidRDefault="005A63D9" w:rsidP="00946055">
            <w:pPr>
              <w:spacing w:after="144"/>
              <w:jc w:val="center"/>
              <w:rPr>
                <w:color w:val="000000"/>
                <w:sz w:val="20"/>
                <w:szCs w:val="20"/>
              </w:rPr>
            </w:pPr>
            <w:r w:rsidRPr="00E27ED8">
              <w:rPr>
                <w:color w:val="000000"/>
                <w:sz w:val="20"/>
                <w:szCs w:val="20"/>
              </w:rPr>
              <w:t>22,7</w:t>
            </w:r>
          </w:p>
        </w:tc>
        <w:tc>
          <w:tcPr>
            <w:tcW w:w="714" w:type="pct"/>
            <w:vAlign w:val="center"/>
          </w:tcPr>
          <w:p w:rsidR="005A63D9" w:rsidRPr="00E27ED8" w:rsidRDefault="005A63D9" w:rsidP="00946055">
            <w:pPr>
              <w:spacing w:after="144"/>
              <w:jc w:val="center"/>
              <w:rPr>
                <w:color w:val="000000"/>
                <w:sz w:val="20"/>
                <w:szCs w:val="20"/>
              </w:rPr>
            </w:pPr>
            <w:r w:rsidRPr="00E27ED8">
              <w:rPr>
                <w:color w:val="000000"/>
                <w:sz w:val="20"/>
                <w:szCs w:val="20"/>
              </w:rPr>
              <w:t>22,8</w:t>
            </w:r>
          </w:p>
        </w:tc>
        <w:tc>
          <w:tcPr>
            <w:tcW w:w="714" w:type="pct"/>
            <w:vAlign w:val="center"/>
          </w:tcPr>
          <w:p w:rsidR="005A63D9" w:rsidRPr="00E27ED8" w:rsidRDefault="005A63D9" w:rsidP="00946055">
            <w:pPr>
              <w:spacing w:after="144"/>
              <w:jc w:val="center"/>
              <w:rPr>
                <w:color w:val="000000"/>
                <w:sz w:val="20"/>
                <w:szCs w:val="20"/>
              </w:rPr>
            </w:pPr>
          </w:p>
        </w:tc>
        <w:tc>
          <w:tcPr>
            <w:tcW w:w="714" w:type="pct"/>
            <w:vAlign w:val="center"/>
          </w:tcPr>
          <w:p w:rsidR="005A63D9" w:rsidRPr="00E27ED8" w:rsidRDefault="005A63D9" w:rsidP="00946055">
            <w:pPr>
              <w:spacing w:after="144"/>
              <w:jc w:val="center"/>
              <w:rPr>
                <w:color w:val="000000"/>
                <w:sz w:val="20"/>
                <w:szCs w:val="20"/>
              </w:rPr>
            </w:pPr>
            <w:r w:rsidRPr="00E27ED8">
              <w:rPr>
                <w:color w:val="000000"/>
                <w:sz w:val="20"/>
                <w:szCs w:val="20"/>
              </w:rPr>
              <w:t>25,4</w:t>
            </w:r>
          </w:p>
        </w:tc>
      </w:tr>
      <w:tr w:rsidR="005A63D9" w:rsidRPr="00E27ED8" w:rsidTr="00510C04">
        <w:tc>
          <w:tcPr>
            <w:tcW w:w="2143" w:type="pct"/>
            <w:tcBorders>
              <w:right w:val="single" w:sz="12" w:space="0" w:color="auto"/>
            </w:tcBorders>
            <w:vAlign w:val="center"/>
          </w:tcPr>
          <w:p w:rsidR="005A63D9" w:rsidRPr="00E27ED8" w:rsidRDefault="005A63D9">
            <w:pPr>
              <w:spacing w:after="144"/>
              <w:rPr>
                <w:color w:val="000000"/>
                <w:sz w:val="20"/>
                <w:szCs w:val="20"/>
              </w:rPr>
            </w:pPr>
            <w:r w:rsidRPr="00E27ED8">
              <w:rPr>
                <w:color w:val="000000"/>
                <w:sz w:val="20"/>
                <w:szCs w:val="20"/>
              </w:rPr>
              <w:t>Podíl státních výdajů na VaV na celkových výdajích státu (%)</w:t>
            </w:r>
          </w:p>
        </w:tc>
        <w:tc>
          <w:tcPr>
            <w:tcW w:w="714" w:type="pct"/>
            <w:tcBorders>
              <w:left w:val="single" w:sz="12" w:space="0" w:color="auto"/>
            </w:tcBorders>
            <w:vAlign w:val="center"/>
          </w:tcPr>
          <w:p w:rsidR="005A63D9" w:rsidRPr="00E27ED8" w:rsidRDefault="005A63D9" w:rsidP="00946055">
            <w:pPr>
              <w:spacing w:after="144"/>
              <w:jc w:val="center"/>
              <w:rPr>
                <w:color w:val="000000"/>
                <w:sz w:val="20"/>
                <w:szCs w:val="20"/>
              </w:rPr>
            </w:pPr>
            <w:r w:rsidRPr="00E27ED8">
              <w:rPr>
                <w:color w:val="000000"/>
                <w:sz w:val="20"/>
                <w:szCs w:val="20"/>
              </w:rPr>
              <w:t>1,98</w:t>
            </w:r>
          </w:p>
        </w:tc>
        <w:tc>
          <w:tcPr>
            <w:tcW w:w="714" w:type="pct"/>
            <w:vAlign w:val="center"/>
          </w:tcPr>
          <w:p w:rsidR="005A63D9" w:rsidRPr="00E27ED8" w:rsidRDefault="005A63D9" w:rsidP="00946055">
            <w:pPr>
              <w:spacing w:after="144"/>
              <w:jc w:val="center"/>
              <w:rPr>
                <w:color w:val="000000"/>
                <w:sz w:val="20"/>
                <w:szCs w:val="20"/>
              </w:rPr>
            </w:pPr>
            <w:r w:rsidRPr="00E27ED8">
              <w:rPr>
                <w:color w:val="000000"/>
                <w:sz w:val="20"/>
                <w:szCs w:val="20"/>
              </w:rPr>
              <w:t>2,23</w:t>
            </w:r>
          </w:p>
        </w:tc>
        <w:tc>
          <w:tcPr>
            <w:tcW w:w="714" w:type="pct"/>
            <w:vAlign w:val="center"/>
          </w:tcPr>
          <w:p w:rsidR="005A63D9" w:rsidRPr="00E27ED8" w:rsidRDefault="005A63D9" w:rsidP="00946055">
            <w:pPr>
              <w:spacing w:after="144"/>
              <w:jc w:val="center"/>
              <w:rPr>
                <w:color w:val="000000"/>
                <w:sz w:val="20"/>
                <w:szCs w:val="20"/>
              </w:rPr>
            </w:pPr>
            <w:r w:rsidRPr="00E27ED8">
              <w:rPr>
                <w:color w:val="000000"/>
                <w:sz w:val="20"/>
                <w:szCs w:val="20"/>
              </w:rPr>
              <w:t>2,33</w:t>
            </w:r>
          </w:p>
        </w:tc>
        <w:tc>
          <w:tcPr>
            <w:tcW w:w="714" w:type="pct"/>
            <w:vAlign w:val="center"/>
          </w:tcPr>
          <w:p w:rsidR="005A63D9" w:rsidRPr="00E27ED8" w:rsidRDefault="005A63D9" w:rsidP="00946055">
            <w:pPr>
              <w:spacing w:after="144"/>
              <w:jc w:val="center"/>
              <w:rPr>
                <w:color w:val="000000"/>
                <w:sz w:val="20"/>
                <w:szCs w:val="20"/>
              </w:rPr>
            </w:pPr>
            <w:r w:rsidRPr="00E27ED8">
              <w:rPr>
                <w:color w:val="000000"/>
                <w:sz w:val="20"/>
                <w:szCs w:val="20"/>
              </w:rPr>
              <w:t>2,63</w:t>
            </w:r>
          </w:p>
        </w:tc>
      </w:tr>
      <w:tr w:rsidR="005A63D9" w:rsidRPr="00E27ED8" w:rsidTr="00510C04">
        <w:tc>
          <w:tcPr>
            <w:tcW w:w="2143" w:type="pct"/>
            <w:tcBorders>
              <w:bottom w:val="single" w:sz="12" w:space="0" w:color="auto"/>
              <w:right w:val="single" w:sz="12" w:space="0" w:color="auto"/>
            </w:tcBorders>
            <w:vAlign w:val="center"/>
          </w:tcPr>
          <w:p w:rsidR="005A63D9" w:rsidRPr="00436201" w:rsidRDefault="005A63D9" w:rsidP="00F70EA4">
            <w:pPr>
              <w:pStyle w:val="ZDROJovan"/>
              <w:spacing w:after="144"/>
              <w:rPr>
                <w:rFonts w:cs="Arial"/>
                <w:sz w:val="18"/>
              </w:rPr>
            </w:pPr>
            <w:r w:rsidRPr="00436201">
              <w:rPr>
                <w:rFonts w:cs="Arial"/>
                <w:sz w:val="18"/>
              </w:rPr>
              <w:t>Podíl účelových výdajů státu na VaV na celkových výdajích státu na VaV (%)</w:t>
            </w:r>
          </w:p>
        </w:tc>
        <w:tc>
          <w:tcPr>
            <w:tcW w:w="714" w:type="pct"/>
            <w:tcBorders>
              <w:left w:val="single" w:sz="12" w:space="0" w:color="auto"/>
              <w:bottom w:val="single" w:sz="12" w:space="0" w:color="auto"/>
            </w:tcBorders>
            <w:vAlign w:val="center"/>
          </w:tcPr>
          <w:p w:rsidR="005A63D9" w:rsidRPr="00436201" w:rsidRDefault="005A63D9" w:rsidP="00946055">
            <w:pPr>
              <w:pStyle w:val="ZDROJovan"/>
              <w:spacing w:after="144"/>
              <w:jc w:val="center"/>
              <w:rPr>
                <w:rFonts w:cs="Arial"/>
                <w:sz w:val="18"/>
              </w:rPr>
            </w:pPr>
          </w:p>
        </w:tc>
        <w:tc>
          <w:tcPr>
            <w:tcW w:w="714" w:type="pct"/>
            <w:tcBorders>
              <w:bottom w:val="single" w:sz="12" w:space="0" w:color="auto"/>
            </w:tcBorders>
            <w:vAlign w:val="center"/>
          </w:tcPr>
          <w:p w:rsidR="005A63D9" w:rsidRPr="00436201" w:rsidRDefault="005A63D9" w:rsidP="00946055">
            <w:pPr>
              <w:pStyle w:val="ZDROJovan"/>
              <w:spacing w:after="144"/>
              <w:jc w:val="center"/>
              <w:rPr>
                <w:rFonts w:cs="Arial"/>
                <w:sz w:val="18"/>
              </w:rPr>
            </w:pPr>
          </w:p>
        </w:tc>
        <w:tc>
          <w:tcPr>
            <w:tcW w:w="714" w:type="pct"/>
            <w:tcBorders>
              <w:bottom w:val="single" w:sz="12" w:space="0" w:color="auto"/>
            </w:tcBorders>
            <w:vAlign w:val="center"/>
          </w:tcPr>
          <w:p w:rsidR="005A63D9" w:rsidRPr="00436201" w:rsidRDefault="005A63D9" w:rsidP="00946055">
            <w:pPr>
              <w:pStyle w:val="ZDROJovan"/>
              <w:spacing w:after="144"/>
              <w:jc w:val="center"/>
              <w:rPr>
                <w:rFonts w:cs="Arial"/>
                <w:sz w:val="18"/>
              </w:rPr>
            </w:pPr>
            <w:r w:rsidRPr="00436201">
              <w:rPr>
                <w:rFonts w:cs="Arial"/>
                <w:sz w:val="18"/>
              </w:rPr>
              <w:t>32</w:t>
            </w:r>
          </w:p>
        </w:tc>
        <w:tc>
          <w:tcPr>
            <w:tcW w:w="714" w:type="pct"/>
            <w:tcBorders>
              <w:bottom w:val="single" w:sz="12" w:space="0" w:color="auto"/>
            </w:tcBorders>
            <w:vAlign w:val="center"/>
          </w:tcPr>
          <w:p w:rsidR="005A63D9" w:rsidRPr="00436201" w:rsidRDefault="005A63D9" w:rsidP="00946055">
            <w:pPr>
              <w:pStyle w:val="ZDROJovan"/>
              <w:spacing w:after="144"/>
              <w:jc w:val="center"/>
              <w:rPr>
                <w:rFonts w:cs="Arial"/>
                <w:sz w:val="18"/>
              </w:rPr>
            </w:pPr>
            <w:r w:rsidRPr="00436201">
              <w:rPr>
                <w:rFonts w:cs="Arial"/>
                <w:sz w:val="18"/>
              </w:rPr>
              <w:t>30</w:t>
            </w:r>
          </w:p>
        </w:tc>
      </w:tr>
    </w:tbl>
    <w:p w:rsidR="005A63D9" w:rsidRPr="002A0959" w:rsidRDefault="005A63D9" w:rsidP="00946055">
      <w:pPr>
        <w:pStyle w:val="ZDROJovan"/>
        <w:spacing w:after="144"/>
      </w:pPr>
      <w:r w:rsidRPr="00946055">
        <w:t>Zdroj:</w:t>
      </w:r>
      <w:r w:rsidRPr="00FA77AB">
        <w:t xml:space="preserve"> Eurostat, Databáze VaV</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p>
    <w:p w:rsidR="005A63D9" w:rsidRPr="00431A4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Podíl státních výdajů na celkových výdajích na VaV je poněkud nižší než ve většině států sledovaných Eurostatem (průměr EU 27 v posledních letech se pohybuje kole 32 %). Výrazně vyšší je však podíl státních výdajů na VaV na c</w:t>
      </w:r>
      <w:r>
        <w:rPr>
          <w:color w:val="000000"/>
          <w:shd w:val="clear" w:color="auto" w:fill="FFFFFF"/>
          <w:lang w:eastAsia="cs-CZ"/>
        </w:rPr>
        <w:t>elkových výdajích státu. Jen ve </w:t>
      </w:r>
      <w:r w:rsidRPr="00431A40">
        <w:rPr>
          <w:color w:val="000000"/>
          <w:shd w:val="clear" w:color="auto" w:fill="FFFFFF"/>
          <w:lang w:eastAsia="cs-CZ"/>
        </w:rPr>
        <w:t>čtyřech zemích sledovaných Eurostatem přesahuje tento podíl dvě procenta: J. Korea, Švýcarsko, USA, Estonsko. Většina státních prostředků na VaV směřuje ve Švýcarsku různými cestami na vysoké školy. Podíly vysokých škol n</w:t>
      </w:r>
      <w:r>
        <w:rPr>
          <w:color w:val="000000"/>
          <w:shd w:val="clear" w:color="auto" w:fill="FFFFFF"/>
          <w:lang w:eastAsia="cs-CZ"/>
        </w:rPr>
        <w:t>a celkové státní podpoře VaV ve </w:t>
      </w:r>
      <w:r w:rsidRPr="00431A40">
        <w:rPr>
          <w:color w:val="000000"/>
          <w:shd w:val="clear" w:color="auto" w:fill="FFFFFF"/>
          <w:lang w:eastAsia="cs-CZ"/>
        </w:rPr>
        <w:t>Švýcarsku se pohybují okolo tří čtvrtin výdajů: 2004 – 74</w:t>
      </w:r>
      <w:r>
        <w:rPr>
          <w:color w:val="000000"/>
          <w:shd w:val="clear" w:color="auto" w:fill="FFFFFF"/>
          <w:lang w:eastAsia="cs-CZ"/>
        </w:rPr>
        <w:t>,0 %; 2008 – 75,6 %; 2012 –75,3 </w:t>
      </w:r>
      <w:r w:rsidRPr="00431A40">
        <w:rPr>
          <w:color w:val="000000"/>
          <w:shd w:val="clear" w:color="auto" w:fill="FFFFFF"/>
          <w:lang w:eastAsia="cs-CZ"/>
        </w:rPr>
        <w:t>%.</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Základní dokumenty pro podporu vzdělání výzkumu a inovací na období čtyř let schvaluje parlament. Současně platný dokument na období 2013–2016 „Poselství o podpoře vzdělání, výzkumu a inovací v letech 2013–2016“ z 22.</w:t>
      </w:r>
      <w:r>
        <w:rPr>
          <w:color w:val="000000"/>
          <w:shd w:val="clear" w:color="auto" w:fill="FFFFFF"/>
          <w:lang w:eastAsia="cs-CZ"/>
        </w:rPr>
        <w:t xml:space="preserve"> února 2012 je velmi podrobný a </w:t>
      </w:r>
      <w:r w:rsidRPr="00431A40">
        <w:rPr>
          <w:color w:val="000000"/>
          <w:shd w:val="clear" w:color="auto" w:fill="FFFFFF"/>
          <w:lang w:eastAsia="cs-CZ"/>
        </w:rPr>
        <w:t>konkrétní pro všechny tři oblasti politiky (260 stran). Dokument je dostupný na webu Sekretariátu pro vzdělání, výzkum a inovace (www.sbfi.admin.ch).</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431A40" w:rsidRDefault="005A63D9" w:rsidP="001462C0">
      <w:pPr>
        <w:widowControl w:val="0"/>
        <w:adjustRightInd w:val="0"/>
        <w:spacing w:afterLines="0"/>
        <w:contextualSpacing w:val="0"/>
        <w:jc w:val="both"/>
        <w:textAlignment w:val="baseline"/>
        <w:rPr>
          <w:b/>
          <w:color w:val="000000"/>
          <w:shd w:val="clear" w:color="auto" w:fill="FFFFFF"/>
          <w:lang w:eastAsia="cs-CZ"/>
        </w:rPr>
      </w:pPr>
      <w:r w:rsidRPr="001462C0">
        <w:rPr>
          <w:b/>
          <w:color w:val="000000"/>
          <w:shd w:val="clear" w:color="auto" w:fill="FFFFFF"/>
          <w:lang w:eastAsia="cs-CZ"/>
        </w:rPr>
        <w:t xml:space="preserve">Tab. č. 11 </w:t>
      </w:r>
      <w:r w:rsidRPr="00431A40">
        <w:rPr>
          <w:color w:val="000000"/>
          <w:shd w:val="clear" w:color="auto" w:fill="FFFFFF"/>
          <w:lang w:eastAsia="cs-CZ"/>
        </w:rPr>
        <w:t>Veřejné výdaje na vzdělání, výzkum a inovace (mil. CHF)</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334"/>
        <w:gridCol w:w="851"/>
        <w:gridCol w:w="962"/>
        <w:gridCol w:w="1038"/>
        <w:gridCol w:w="1020"/>
        <w:gridCol w:w="1044"/>
        <w:gridCol w:w="1038"/>
      </w:tblGrid>
      <w:tr w:rsidR="005A63D9" w:rsidRPr="00E27ED8" w:rsidTr="00C77C67">
        <w:tc>
          <w:tcPr>
            <w:tcW w:w="1795" w:type="pct"/>
            <w:vMerge w:val="restart"/>
            <w:tcBorders>
              <w:top w:val="single" w:sz="12" w:space="0" w:color="auto"/>
              <w:right w:val="single" w:sz="12" w:space="0" w:color="auto"/>
            </w:tcBorders>
            <w:shd w:val="clear" w:color="auto" w:fill="BFBFBF"/>
            <w:vAlign w:val="center"/>
          </w:tcPr>
          <w:p w:rsidR="005A63D9" w:rsidRPr="00E27ED8" w:rsidRDefault="005A63D9" w:rsidP="0008405A">
            <w:pPr>
              <w:spacing w:after="144"/>
              <w:jc w:val="both"/>
              <w:rPr>
                <w:b/>
                <w:color w:val="000000"/>
                <w:sz w:val="16"/>
                <w:szCs w:val="18"/>
              </w:rPr>
            </w:pPr>
          </w:p>
        </w:tc>
        <w:tc>
          <w:tcPr>
            <w:tcW w:w="1535" w:type="pct"/>
            <w:gridSpan w:val="3"/>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2008–2011</w:t>
            </w:r>
          </w:p>
        </w:tc>
        <w:tc>
          <w:tcPr>
            <w:tcW w:w="1670" w:type="pct"/>
            <w:gridSpan w:val="3"/>
            <w:tcBorders>
              <w:top w:val="single" w:sz="12" w:space="0" w:color="auto"/>
              <w:left w:val="single" w:sz="12"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2013–2016</w:t>
            </w:r>
          </w:p>
        </w:tc>
      </w:tr>
      <w:tr w:rsidR="005A63D9" w:rsidRPr="00E27ED8" w:rsidTr="00C77C67">
        <w:tc>
          <w:tcPr>
            <w:tcW w:w="1795"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color w:val="000000"/>
                <w:sz w:val="16"/>
                <w:szCs w:val="20"/>
              </w:rPr>
            </w:pPr>
          </w:p>
        </w:tc>
        <w:tc>
          <w:tcPr>
            <w:tcW w:w="458" w:type="pct"/>
            <w:tcBorders>
              <w:left w:val="single" w:sz="12" w:space="0" w:color="auto"/>
              <w:bottom w:val="double" w:sz="4"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Stát</w:t>
            </w:r>
          </w:p>
        </w:tc>
        <w:tc>
          <w:tcPr>
            <w:tcW w:w="518" w:type="pct"/>
            <w:tcBorders>
              <w:bottom w:val="double" w:sz="4"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Kantony</w:t>
            </w:r>
          </w:p>
        </w:tc>
        <w:tc>
          <w:tcPr>
            <w:tcW w:w="559" w:type="pct"/>
            <w:tcBorders>
              <w:bottom w:val="double" w:sz="4" w:space="0" w:color="auto"/>
              <w:right w:val="single" w:sz="12"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Celkem</w:t>
            </w:r>
          </w:p>
        </w:tc>
        <w:tc>
          <w:tcPr>
            <w:tcW w:w="549" w:type="pct"/>
            <w:tcBorders>
              <w:left w:val="single" w:sz="12" w:space="0" w:color="auto"/>
              <w:bottom w:val="double" w:sz="4"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Stát</w:t>
            </w:r>
          </w:p>
        </w:tc>
        <w:tc>
          <w:tcPr>
            <w:tcW w:w="562" w:type="pct"/>
            <w:tcBorders>
              <w:bottom w:val="double" w:sz="4"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Kantony</w:t>
            </w:r>
          </w:p>
        </w:tc>
        <w:tc>
          <w:tcPr>
            <w:tcW w:w="559" w:type="pct"/>
            <w:tcBorders>
              <w:bottom w:val="double" w:sz="4" w:space="0" w:color="auto"/>
            </w:tcBorders>
            <w:shd w:val="clear" w:color="auto" w:fill="BFBFBF"/>
            <w:vAlign w:val="center"/>
          </w:tcPr>
          <w:p w:rsidR="005A63D9" w:rsidRPr="00E27ED8" w:rsidRDefault="005A63D9" w:rsidP="0008405A">
            <w:pPr>
              <w:spacing w:after="144"/>
              <w:jc w:val="center"/>
              <w:rPr>
                <w:b/>
                <w:color w:val="000000"/>
                <w:sz w:val="16"/>
                <w:szCs w:val="18"/>
              </w:rPr>
            </w:pPr>
            <w:r w:rsidRPr="00E27ED8">
              <w:rPr>
                <w:b/>
                <w:color w:val="000000"/>
                <w:sz w:val="16"/>
                <w:szCs w:val="18"/>
              </w:rPr>
              <w:t>Celkem</w:t>
            </w:r>
          </w:p>
        </w:tc>
      </w:tr>
      <w:tr w:rsidR="005A63D9" w:rsidRPr="00E27ED8" w:rsidTr="00C77C67">
        <w:tc>
          <w:tcPr>
            <w:tcW w:w="1795" w:type="pct"/>
            <w:tcBorders>
              <w:top w:val="double" w:sz="4" w:space="0" w:color="auto"/>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Oblast ETH</w:t>
            </w:r>
          </w:p>
        </w:tc>
        <w:tc>
          <w:tcPr>
            <w:tcW w:w="458" w:type="pct"/>
            <w:tcBorders>
              <w:top w:val="double" w:sz="4" w:space="0" w:color="auto"/>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9 462</w:t>
            </w:r>
          </w:p>
        </w:tc>
        <w:tc>
          <w:tcPr>
            <w:tcW w:w="518" w:type="pct"/>
            <w:tcBorders>
              <w:top w:val="double" w:sz="4"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top w:val="double" w:sz="4" w:space="0" w:color="auto"/>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9 462</w:t>
            </w:r>
          </w:p>
        </w:tc>
        <w:tc>
          <w:tcPr>
            <w:tcW w:w="549" w:type="pct"/>
            <w:tcBorders>
              <w:top w:val="double" w:sz="4" w:space="0" w:color="auto"/>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10 877</w:t>
            </w:r>
          </w:p>
        </w:tc>
        <w:tc>
          <w:tcPr>
            <w:tcW w:w="562" w:type="pct"/>
            <w:tcBorders>
              <w:top w:val="double" w:sz="4"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top w:val="double" w:sz="4"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10 887</w:t>
            </w:r>
          </w:p>
        </w:tc>
      </w:tr>
      <w:tr w:rsidR="005A63D9" w:rsidRPr="00E27ED8" w:rsidTr="00C77C67">
        <w:tc>
          <w:tcPr>
            <w:tcW w:w="1795" w:type="pct"/>
            <w:tcBorders>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Univerzity</w:t>
            </w:r>
          </w:p>
        </w:tc>
        <w:tc>
          <w:tcPr>
            <w:tcW w:w="458"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2 652</w:t>
            </w:r>
          </w:p>
        </w:tc>
        <w:tc>
          <w:tcPr>
            <w:tcW w:w="518" w:type="pct"/>
            <w:vAlign w:val="center"/>
          </w:tcPr>
          <w:p w:rsidR="005A63D9" w:rsidRPr="00E27ED8" w:rsidRDefault="005A63D9" w:rsidP="0008405A">
            <w:pPr>
              <w:spacing w:after="144"/>
              <w:jc w:val="center"/>
              <w:rPr>
                <w:color w:val="000000"/>
                <w:sz w:val="16"/>
                <w:szCs w:val="20"/>
              </w:rPr>
            </w:pPr>
            <w:r w:rsidRPr="00E27ED8">
              <w:rPr>
                <w:color w:val="000000"/>
                <w:sz w:val="16"/>
                <w:szCs w:val="20"/>
              </w:rPr>
              <w:t>10 743</w:t>
            </w:r>
          </w:p>
        </w:tc>
        <w:tc>
          <w:tcPr>
            <w:tcW w:w="559" w:type="pct"/>
            <w:tcBorders>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10 396</w:t>
            </w:r>
          </w:p>
        </w:tc>
        <w:tc>
          <w:tcPr>
            <w:tcW w:w="549"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3 071</w:t>
            </w:r>
          </w:p>
        </w:tc>
        <w:tc>
          <w:tcPr>
            <w:tcW w:w="562" w:type="pct"/>
            <w:vAlign w:val="center"/>
          </w:tcPr>
          <w:p w:rsidR="005A63D9" w:rsidRPr="00E27ED8" w:rsidRDefault="005A63D9" w:rsidP="0008405A">
            <w:pPr>
              <w:spacing w:after="144"/>
              <w:jc w:val="center"/>
              <w:rPr>
                <w:color w:val="000000"/>
                <w:sz w:val="16"/>
                <w:szCs w:val="20"/>
              </w:rPr>
            </w:pPr>
            <w:r w:rsidRPr="00E27ED8">
              <w:rPr>
                <w:color w:val="000000"/>
                <w:sz w:val="16"/>
                <w:szCs w:val="20"/>
              </w:rPr>
              <w:t>12 282</w:t>
            </w:r>
          </w:p>
        </w:tc>
        <w:tc>
          <w:tcPr>
            <w:tcW w:w="559" w:type="pct"/>
            <w:vAlign w:val="center"/>
          </w:tcPr>
          <w:p w:rsidR="005A63D9" w:rsidRPr="00E27ED8" w:rsidRDefault="005A63D9" w:rsidP="0008405A">
            <w:pPr>
              <w:spacing w:after="144"/>
              <w:jc w:val="center"/>
              <w:rPr>
                <w:color w:val="000000"/>
                <w:sz w:val="16"/>
                <w:szCs w:val="20"/>
              </w:rPr>
            </w:pPr>
            <w:r w:rsidRPr="00E27ED8">
              <w:rPr>
                <w:color w:val="000000"/>
                <w:sz w:val="16"/>
                <w:szCs w:val="20"/>
              </w:rPr>
              <w:t>15 353</w:t>
            </w:r>
          </w:p>
        </w:tc>
      </w:tr>
      <w:tr w:rsidR="005A63D9" w:rsidRPr="00E27ED8" w:rsidTr="00C77C67">
        <w:tc>
          <w:tcPr>
            <w:tcW w:w="1795" w:type="pct"/>
            <w:tcBorders>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Odborné vysoké školy</w:t>
            </w:r>
          </w:p>
        </w:tc>
        <w:tc>
          <w:tcPr>
            <w:tcW w:w="458"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1 163</w:t>
            </w:r>
          </w:p>
        </w:tc>
        <w:tc>
          <w:tcPr>
            <w:tcW w:w="518" w:type="pct"/>
            <w:vAlign w:val="center"/>
          </w:tcPr>
          <w:p w:rsidR="005A63D9" w:rsidRPr="00E27ED8" w:rsidRDefault="005A63D9" w:rsidP="0008405A">
            <w:pPr>
              <w:spacing w:after="144"/>
              <w:jc w:val="center"/>
              <w:rPr>
                <w:color w:val="000000"/>
                <w:sz w:val="16"/>
                <w:szCs w:val="20"/>
              </w:rPr>
            </w:pPr>
            <w:r w:rsidRPr="00E27ED8">
              <w:rPr>
                <w:color w:val="000000"/>
                <w:sz w:val="16"/>
                <w:szCs w:val="20"/>
              </w:rPr>
              <w:t>5 383</w:t>
            </w:r>
          </w:p>
        </w:tc>
        <w:tc>
          <w:tcPr>
            <w:tcW w:w="559" w:type="pct"/>
            <w:tcBorders>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7 016</w:t>
            </w:r>
          </w:p>
        </w:tc>
        <w:tc>
          <w:tcPr>
            <w:tcW w:w="549"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2 106</w:t>
            </w:r>
          </w:p>
        </w:tc>
        <w:tc>
          <w:tcPr>
            <w:tcW w:w="562" w:type="pct"/>
            <w:vAlign w:val="center"/>
          </w:tcPr>
          <w:p w:rsidR="005A63D9" w:rsidRPr="00E27ED8" w:rsidRDefault="005A63D9" w:rsidP="0008405A">
            <w:pPr>
              <w:spacing w:after="144"/>
              <w:jc w:val="center"/>
              <w:rPr>
                <w:color w:val="000000"/>
                <w:sz w:val="16"/>
                <w:szCs w:val="20"/>
              </w:rPr>
            </w:pPr>
            <w:r w:rsidRPr="00E27ED8">
              <w:rPr>
                <w:color w:val="000000"/>
                <w:sz w:val="16"/>
                <w:szCs w:val="20"/>
              </w:rPr>
              <w:t>6 998</w:t>
            </w:r>
          </w:p>
        </w:tc>
        <w:tc>
          <w:tcPr>
            <w:tcW w:w="559" w:type="pct"/>
            <w:vAlign w:val="center"/>
          </w:tcPr>
          <w:p w:rsidR="005A63D9" w:rsidRPr="00E27ED8" w:rsidRDefault="005A63D9" w:rsidP="0008405A">
            <w:pPr>
              <w:spacing w:after="144"/>
              <w:jc w:val="center"/>
              <w:rPr>
                <w:color w:val="000000"/>
                <w:sz w:val="16"/>
                <w:szCs w:val="20"/>
              </w:rPr>
            </w:pPr>
            <w:r w:rsidRPr="00E27ED8">
              <w:rPr>
                <w:color w:val="000000"/>
                <w:sz w:val="16"/>
                <w:szCs w:val="20"/>
              </w:rPr>
              <w:t>9 094</w:t>
            </w:r>
          </w:p>
        </w:tc>
      </w:tr>
      <w:tr w:rsidR="005A63D9" w:rsidRPr="00E27ED8" w:rsidTr="00C77C67">
        <w:tc>
          <w:tcPr>
            <w:tcW w:w="1795" w:type="pct"/>
            <w:tcBorders>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Státní fond pro podporu vědeckého výzkumu (SNF)</w:t>
            </w:r>
          </w:p>
        </w:tc>
        <w:tc>
          <w:tcPr>
            <w:tcW w:w="458"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2 826</w:t>
            </w:r>
          </w:p>
        </w:tc>
        <w:tc>
          <w:tcPr>
            <w:tcW w:w="518" w:type="pct"/>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2 826</w:t>
            </w:r>
          </w:p>
        </w:tc>
        <w:tc>
          <w:tcPr>
            <w:tcW w:w="549"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3 840</w:t>
            </w:r>
          </w:p>
        </w:tc>
        <w:tc>
          <w:tcPr>
            <w:tcW w:w="562" w:type="pct"/>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vAlign w:val="center"/>
          </w:tcPr>
          <w:p w:rsidR="005A63D9" w:rsidRPr="00E27ED8" w:rsidRDefault="005A63D9" w:rsidP="0008405A">
            <w:pPr>
              <w:spacing w:after="144"/>
              <w:jc w:val="center"/>
              <w:rPr>
                <w:color w:val="000000"/>
                <w:sz w:val="16"/>
                <w:szCs w:val="20"/>
              </w:rPr>
            </w:pPr>
            <w:r w:rsidRPr="00E27ED8">
              <w:rPr>
                <w:color w:val="000000"/>
                <w:sz w:val="16"/>
                <w:szCs w:val="20"/>
              </w:rPr>
              <w:t>3 840</w:t>
            </w:r>
          </w:p>
        </w:tc>
      </w:tr>
      <w:tr w:rsidR="005A63D9" w:rsidRPr="00E27ED8" w:rsidTr="00C77C67">
        <w:tc>
          <w:tcPr>
            <w:tcW w:w="1795" w:type="pct"/>
            <w:tcBorders>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Komise pro technologie a inovace (KTI)</w:t>
            </w:r>
          </w:p>
        </w:tc>
        <w:tc>
          <w:tcPr>
            <w:tcW w:w="458"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607</w:t>
            </w:r>
          </w:p>
        </w:tc>
        <w:tc>
          <w:tcPr>
            <w:tcW w:w="518" w:type="pct"/>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607</w:t>
            </w:r>
          </w:p>
        </w:tc>
        <w:tc>
          <w:tcPr>
            <w:tcW w:w="549" w:type="pct"/>
            <w:tcBorders>
              <w:lef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629</w:t>
            </w:r>
          </w:p>
        </w:tc>
        <w:tc>
          <w:tcPr>
            <w:tcW w:w="562" w:type="pct"/>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vAlign w:val="center"/>
          </w:tcPr>
          <w:p w:rsidR="005A63D9" w:rsidRPr="00E27ED8" w:rsidRDefault="005A63D9" w:rsidP="0008405A">
            <w:pPr>
              <w:spacing w:after="144"/>
              <w:jc w:val="center"/>
              <w:rPr>
                <w:color w:val="000000"/>
                <w:sz w:val="16"/>
                <w:szCs w:val="20"/>
              </w:rPr>
            </w:pPr>
            <w:r w:rsidRPr="00E27ED8">
              <w:rPr>
                <w:color w:val="000000"/>
                <w:sz w:val="16"/>
                <w:szCs w:val="20"/>
              </w:rPr>
              <w:t>629</w:t>
            </w:r>
          </w:p>
        </w:tc>
      </w:tr>
      <w:tr w:rsidR="005A63D9" w:rsidRPr="00E27ED8" w:rsidTr="00C77C67">
        <w:tc>
          <w:tcPr>
            <w:tcW w:w="1795" w:type="pct"/>
            <w:tcBorders>
              <w:bottom w:val="single" w:sz="12" w:space="0" w:color="auto"/>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EU – Rámcové programy</w:t>
            </w:r>
          </w:p>
        </w:tc>
        <w:tc>
          <w:tcPr>
            <w:tcW w:w="458" w:type="pct"/>
            <w:tcBorders>
              <w:left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1 385</w:t>
            </w:r>
          </w:p>
        </w:tc>
        <w:tc>
          <w:tcPr>
            <w:tcW w:w="518" w:type="pct"/>
            <w:tcBorders>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bottom w:val="single" w:sz="12" w:space="0" w:color="auto"/>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1 385</w:t>
            </w:r>
          </w:p>
        </w:tc>
        <w:tc>
          <w:tcPr>
            <w:tcW w:w="549" w:type="pct"/>
            <w:tcBorders>
              <w:left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2 353</w:t>
            </w:r>
          </w:p>
        </w:tc>
        <w:tc>
          <w:tcPr>
            <w:tcW w:w="562" w:type="pct"/>
            <w:tcBorders>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0</w:t>
            </w:r>
          </w:p>
        </w:tc>
        <w:tc>
          <w:tcPr>
            <w:tcW w:w="559" w:type="pct"/>
            <w:tcBorders>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2 353</w:t>
            </w:r>
          </w:p>
        </w:tc>
      </w:tr>
      <w:tr w:rsidR="005A63D9" w:rsidRPr="00E27ED8" w:rsidTr="00C77C67">
        <w:tc>
          <w:tcPr>
            <w:tcW w:w="1795" w:type="pct"/>
            <w:tcBorders>
              <w:top w:val="single" w:sz="12" w:space="0" w:color="auto"/>
              <w:bottom w:val="single" w:sz="12" w:space="0" w:color="auto"/>
              <w:right w:val="single" w:sz="12" w:space="0" w:color="auto"/>
            </w:tcBorders>
            <w:vAlign w:val="center"/>
          </w:tcPr>
          <w:p w:rsidR="005A63D9" w:rsidRPr="00E27ED8" w:rsidRDefault="005A63D9">
            <w:pPr>
              <w:spacing w:after="144"/>
              <w:rPr>
                <w:color w:val="000000"/>
                <w:sz w:val="16"/>
                <w:szCs w:val="18"/>
              </w:rPr>
            </w:pPr>
            <w:r w:rsidRPr="00E27ED8">
              <w:rPr>
                <w:color w:val="000000"/>
                <w:sz w:val="16"/>
                <w:szCs w:val="18"/>
              </w:rPr>
              <w:t>CELKEM</w:t>
            </w:r>
          </w:p>
        </w:tc>
        <w:tc>
          <w:tcPr>
            <w:tcW w:w="458" w:type="pct"/>
            <w:tcBorders>
              <w:top w:val="single" w:sz="12" w:space="0" w:color="auto"/>
              <w:left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22 706</w:t>
            </w:r>
          </w:p>
        </w:tc>
        <w:tc>
          <w:tcPr>
            <w:tcW w:w="518" w:type="pct"/>
            <w:tcBorders>
              <w:top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27 329</w:t>
            </w:r>
          </w:p>
        </w:tc>
        <w:tc>
          <w:tcPr>
            <w:tcW w:w="559"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50 035</w:t>
            </w:r>
          </w:p>
        </w:tc>
        <w:tc>
          <w:tcPr>
            <w:tcW w:w="549" w:type="pct"/>
            <w:tcBorders>
              <w:top w:val="single" w:sz="12" w:space="0" w:color="auto"/>
              <w:left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27 976</w:t>
            </w:r>
          </w:p>
        </w:tc>
        <w:tc>
          <w:tcPr>
            <w:tcW w:w="562" w:type="pct"/>
            <w:tcBorders>
              <w:top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30 416</w:t>
            </w:r>
          </w:p>
        </w:tc>
        <w:tc>
          <w:tcPr>
            <w:tcW w:w="559" w:type="pct"/>
            <w:tcBorders>
              <w:top w:val="single" w:sz="12" w:space="0" w:color="auto"/>
              <w:bottom w:val="single" w:sz="12" w:space="0" w:color="auto"/>
            </w:tcBorders>
            <w:vAlign w:val="center"/>
          </w:tcPr>
          <w:p w:rsidR="005A63D9" w:rsidRPr="00E27ED8" w:rsidRDefault="005A63D9" w:rsidP="0008405A">
            <w:pPr>
              <w:spacing w:after="144"/>
              <w:jc w:val="center"/>
              <w:rPr>
                <w:color w:val="000000"/>
                <w:sz w:val="16"/>
                <w:szCs w:val="20"/>
              </w:rPr>
            </w:pPr>
            <w:r w:rsidRPr="00E27ED8">
              <w:rPr>
                <w:color w:val="000000"/>
                <w:sz w:val="16"/>
                <w:szCs w:val="20"/>
              </w:rPr>
              <w:t>58 392</w:t>
            </w:r>
          </w:p>
        </w:tc>
      </w:tr>
    </w:tbl>
    <w:p w:rsidR="005A63D9" w:rsidRPr="00C77C67" w:rsidRDefault="005A63D9" w:rsidP="0008405A">
      <w:pPr>
        <w:pStyle w:val="ZDROJovan"/>
        <w:spacing w:after="144" w:line="288" w:lineRule="auto"/>
        <w:jc w:val="both"/>
        <w:rPr>
          <w:b/>
        </w:rPr>
      </w:pPr>
      <w:r w:rsidRPr="00C77C67">
        <w:t>Zdroj: Státní sekretariát pro vzdělání, výzkum (SBFI) a inovace, BFI-Finanzierung durch Kantone und Bund.</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1462C0">
        <w:rPr>
          <w:color w:val="000000"/>
          <w:shd w:val="clear" w:color="auto" w:fill="FFFFFF"/>
          <w:lang w:eastAsia="cs-CZ"/>
        </w:rPr>
        <w:t xml:space="preserve">Stát hradí sto procent veřejných výdajů na Oblast </w:t>
      </w:r>
      <w:r>
        <w:rPr>
          <w:color w:val="000000"/>
          <w:shd w:val="clear" w:color="auto" w:fill="FFFFFF"/>
          <w:lang w:eastAsia="cs-CZ"/>
        </w:rPr>
        <w:t>ETH (2 technické univerzity a 5 </w:t>
      </w:r>
      <w:r w:rsidRPr="001462C0">
        <w:rPr>
          <w:color w:val="000000"/>
          <w:shd w:val="clear" w:color="auto" w:fill="FFFFFF"/>
          <w:lang w:eastAsia="cs-CZ"/>
        </w:rPr>
        <w:t>výzkumných ústavů), Státní fond pro vědecký výzkum, Kom</w:t>
      </w:r>
      <w:r>
        <w:rPr>
          <w:color w:val="000000"/>
          <w:shd w:val="clear" w:color="auto" w:fill="FFFFFF"/>
          <w:lang w:eastAsia="cs-CZ"/>
        </w:rPr>
        <w:t>isi pro technologie a inovace a </w:t>
      </w:r>
      <w:r w:rsidRPr="001462C0">
        <w:rPr>
          <w:color w:val="000000"/>
          <w:shd w:val="clear" w:color="auto" w:fill="FFFFFF"/>
          <w:lang w:eastAsia="cs-CZ"/>
        </w:rPr>
        <w:t xml:space="preserve">na účast v rámcových programech EU. Kantony hradí </w:t>
      </w:r>
      <w:r>
        <w:rPr>
          <w:color w:val="000000"/>
          <w:shd w:val="clear" w:color="auto" w:fill="FFFFFF"/>
          <w:lang w:eastAsia="cs-CZ"/>
        </w:rPr>
        <w:t>podstatně větší podíl výdajů na </w:t>
      </w:r>
      <w:r w:rsidRPr="001462C0">
        <w:rPr>
          <w:color w:val="000000"/>
          <w:shd w:val="clear" w:color="auto" w:fill="FFFFFF"/>
          <w:lang w:eastAsia="cs-CZ"/>
        </w:rPr>
        <w:t>ostatní univerzity a odborné vysoké školy.</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p>
    <w:p w:rsidR="005A63D9" w:rsidRPr="001462C0" w:rsidRDefault="005A63D9" w:rsidP="001462C0">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78" w:name="_Toc440897413"/>
      <w:bookmarkStart w:id="79" w:name="_Toc441760815"/>
      <w:bookmarkStart w:id="80" w:name="_Toc441849478"/>
      <w:r w:rsidRPr="001462C0">
        <w:rPr>
          <w:rFonts w:cs="Arial"/>
          <w:bCs/>
          <w:iCs/>
          <w:color w:val="000000"/>
          <w:shd w:val="clear" w:color="auto" w:fill="FFFFFF"/>
          <w:lang/>
        </w:rPr>
        <w:t>3.1. Státní správa v oblastech VaVaI a životního prostředí</w:t>
      </w:r>
      <w:bookmarkEnd w:id="78"/>
      <w:bookmarkEnd w:id="79"/>
      <w:bookmarkEnd w:id="80"/>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1462C0">
        <w:rPr>
          <w:color w:val="000000"/>
          <w:shd w:val="clear" w:color="auto" w:fill="FFFFFF"/>
          <w:lang w:eastAsia="cs-CZ"/>
        </w:rPr>
        <w:t>Ve Švýcarsku došlo od 1. ledna 2013 k významné reformě státní správy v oblasti výzkumu, vysokoškolského vzdělávání a inovaci. Do roku 2012 byl tyto tři oblasti v působnostní tří úřadů s celostátní (spolkovou) půso</w:t>
      </w:r>
      <w:r>
        <w:rPr>
          <w:color w:val="000000"/>
          <w:shd w:val="clear" w:color="auto" w:fill="FFFFFF"/>
          <w:lang w:eastAsia="cs-CZ"/>
        </w:rPr>
        <w:t>bností. Od 1. ledna 2013 bylo z </w:t>
      </w:r>
      <w:r w:rsidRPr="001462C0">
        <w:rPr>
          <w:color w:val="000000"/>
          <w:shd w:val="clear" w:color="auto" w:fill="FFFFFF"/>
          <w:lang w:eastAsia="cs-CZ"/>
        </w:rPr>
        <w:t>dosavadního Ministerstva pro národní hospodářství zřízeno Ministerstvo pro hospodářství, vzdělání a výzkum. Do nového ministerstva byly začleněny s</w:t>
      </w:r>
      <w:r>
        <w:rPr>
          <w:color w:val="000000"/>
          <w:shd w:val="clear" w:color="auto" w:fill="FFFFFF"/>
          <w:lang w:eastAsia="cs-CZ"/>
        </w:rPr>
        <w:t>távající Státní sekretariát pro </w:t>
      </w:r>
      <w:r w:rsidRPr="001462C0">
        <w:rPr>
          <w:color w:val="000000"/>
          <w:shd w:val="clear" w:color="auto" w:fill="FFFFFF"/>
          <w:lang w:eastAsia="cs-CZ"/>
        </w:rPr>
        <w:t>vzdělání a výzkum a Spolkový úřad pro profesní vzdělá</w:t>
      </w:r>
      <w:r>
        <w:rPr>
          <w:color w:val="000000"/>
          <w:shd w:val="clear" w:color="auto" w:fill="FFFFFF"/>
          <w:lang w:eastAsia="cs-CZ"/>
        </w:rPr>
        <w:t>vání a technologie. Uvedené dva </w:t>
      </w:r>
      <w:r w:rsidRPr="001462C0">
        <w:rPr>
          <w:color w:val="000000"/>
          <w:shd w:val="clear" w:color="auto" w:fill="FFFFFF"/>
          <w:lang w:eastAsia="cs-CZ"/>
        </w:rPr>
        <w:t>útvary byly sloučeny do nového Státního sekretariátu pro vzdělání, výzkum a inovace. Tento sekretariát bude mít i působnost pro záležitosti Švýcarských technických vysokých škol (ETH).</w:t>
      </w:r>
      <w:r w:rsidRPr="00431A40">
        <w:rPr>
          <w:color w:val="000000"/>
          <w:shd w:val="clear" w:color="auto" w:fill="FFFFFF"/>
          <w:vertAlign w:val="superscript"/>
          <w:lang w:eastAsia="cs-CZ"/>
        </w:rPr>
        <w:footnoteReference w:id="17"/>
      </w:r>
    </w:p>
    <w:p w:rsidR="005A63D9" w:rsidRPr="00442A0C" w:rsidRDefault="005A63D9" w:rsidP="00442A0C">
      <w:pPr>
        <w:pStyle w:val="Heading3"/>
        <w:keepNext/>
        <w:spacing w:before="240" w:afterLines="0" w:line="240" w:lineRule="auto"/>
        <w:contextualSpacing w:val="0"/>
        <w:rPr>
          <w:bCs/>
          <w:shd w:val="clear" w:color="auto" w:fill="FFFFFF"/>
          <w:lang/>
        </w:rPr>
      </w:pPr>
      <w:bookmarkStart w:id="81" w:name="_Toc440897414"/>
      <w:bookmarkStart w:id="82" w:name="_Toc441760816"/>
      <w:bookmarkStart w:id="83" w:name="_Toc441849479"/>
      <w:r w:rsidRPr="00442A0C">
        <w:rPr>
          <w:bCs/>
          <w:shd w:val="clear" w:color="auto" w:fill="FFFFFF"/>
          <w:lang/>
        </w:rPr>
        <w:t>Švýcarské ministerstvo pro hospodářství, vzdělání a výzkum</w:t>
      </w:r>
      <w:bookmarkEnd w:id="81"/>
      <w:bookmarkEnd w:id="82"/>
      <w:bookmarkEnd w:id="83"/>
    </w:p>
    <w:p w:rsidR="005A63D9" w:rsidRPr="001462C0" w:rsidRDefault="005A63D9" w:rsidP="00431A40">
      <w:pPr>
        <w:widowControl w:val="0"/>
        <w:adjustRightInd w:val="0"/>
        <w:spacing w:afterLines="0"/>
        <w:contextualSpacing w:val="0"/>
        <w:jc w:val="both"/>
        <w:textAlignment w:val="baseline"/>
        <w:rPr>
          <w:color w:val="000000"/>
          <w:shd w:val="clear" w:color="auto" w:fill="FFFFFF"/>
          <w:lang w:eastAsia="cs-CZ"/>
        </w:rPr>
      </w:pPr>
      <w:r w:rsidRPr="001462C0">
        <w:rPr>
          <w:color w:val="000000"/>
          <w:shd w:val="clear" w:color="auto" w:fill="FFFFFF"/>
          <w:lang w:eastAsia="cs-CZ"/>
        </w:rPr>
        <w:t>(Eidgenössischen Department für Wirtschaft, Bildung und Forschung, WBF – www.wbf.admin.ch)</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1462C0">
        <w:rPr>
          <w:color w:val="000000"/>
          <w:shd w:val="clear" w:color="auto" w:fill="FFFFFF"/>
          <w:lang w:eastAsia="cs-CZ"/>
        </w:rPr>
        <w:t>Švýcarská ministerstva mají poněkud odlišnou strukturu než ministerstva většiny členských zemí EU. Vlastní ministerstvo WBF tvoří následující instituce (sekce):</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Státní sekretariát pro hospodářství;</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Státní sekretariát pro vzdělání, výzkum a inovace;</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Spolkový úřad pro zemědělství;</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Spolkový úřad pro venkovní krajinu;</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Spolkový úřad pro bydlení.</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1462C0">
        <w:rPr>
          <w:color w:val="000000"/>
          <w:shd w:val="clear" w:color="auto" w:fill="FFFFFF"/>
          <w:lang w:eastAsia="cs-CZ"/>
        </w:rPr>
        <w:t xml:space="preserve">Do působnosti ministerstva patří pět v podstatě </w:t>
      </w:r>
      <w:r>
        <w:rPr>
          <w:color w:val="000000"/>
          <w:shd w:val="clear" w:color="auto" w:fill="FFFFFF"/>
          <w:lang w:eastAsia="cs-CZ"/>
        </w:rPr>
        <w:t>volněji připojených orgánů. Pro </w:t>
      </w:r>
      <w:r w:rsidRPr="001462C0">
        <w:rPr>
          <w:color w:val="000000"/>
          <w:shd w:val="clear" w:color="auto" w:fill="FFFFFF"/>
          <w:lang w:eastAsia="cs-CZ"/>
        </w:rPr>
        <w:t>záležitosti VaVaI to jsou:</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Komise pro technologie a inovace – www.kti.admin.ch;</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Oblast ETH (Švýcarských technických vysokých škol) – www.ethrat.de.</w:t>
      </w:r>
    </w:p>
    <w:p w:rsidR="005A63D9" w:rsidRPr="001462C0" w:rsidRDefault="005A63D9" w:rsidP="001462C0">
      <w:pPr>
        <w:widowControl w:val="0"/>
        <w:adjustRightInd w:val="0"/>
        <w:spacing w:afterLines="0"/>
        <w:ind w:firstLine="539"/>
        <w:contextualSpacing w:val="0"/>
        <w:jc w:val="both"/>
        <w:textAlignment w:val="baseline"/>
        <w:rPr>
          <w:color w:val="000000"/>
          <w:shd w:val="clear" w:color="auto" w:fill="FFFFFF"/>
          <w:lang w:eastAsia="cs-CZ"/>
        </w:rPr>
      </w:pPr>
      <w:r w:rsidRPr="001462C0">
        <w:rPr>
          <w:color w:val="000000"/>
          <w:shd w:val="clear" w:color="auto" w:fill="FFFFFF"/>
          <w:lang w:eastAsia="cs-CZ"/>
        </w:rPr>
        <w:t>Státní sekretariát pro vzdělání, výzkum a inovace</w:t>
      </w:r>
      <w:r>
        <w:rPr>
          <w:color w:val="000000"/>
          <w:shd w:val="clear" w:color="auto" w:fill="FFFFFF"/>
          <w:lang w:eastAsia="cs-CZ"/>
        </w:rPr>
        <w:t xml:space="preserve"> má 7 odborů, z toho dva pro </w:t>
      </w:r>
      <w:r w:rsidRPr="001462C0">
        <w:rPr>
          <w:color w:val="000000"/>
          <w:shd w:val="clear" w:color="auto" w:fill="FFFFFF"/>
          <w:lang w:eastAsia="cs-CZ"/>
        </w:rPr>
        <w:t>záležitosti výzkumu a inovací: Odbor národního výzkumu a inovací (má 3 oddělení); Odbor mezinárodní spolupráce ve výzkumu a inovacích (má 4 o</w:t>
      </w:r>
      <w:r>
        <w:rPr>
          <w:color w:val="000000"/>
          <w:shd w:val="clear" w:color="auto" w:fill="FFFFFF"/>
          <w:lang w:eastAsia="cs-CZ"/>
        </w:rPr>
        <w:t>ddělení). Při sekretariátu je i </w:t>
      </w:r>
      <w:r w:rsidRPr="001462C0">
        <w:rPr>
          <w:color w:val="000000"/>
          <w:shd w:val="clear" w:color="auto" w:fill="FFFFFF"/>
          <w:lang w:eastAsia="cs-CZ"/>
        </w:rPr>
        <w:t>kancelář Rady pro vědu a inovace, hlavního poradního orgánu ministerstva BFI.</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84" w:name="_Toc440897415"/>
      <w:bookmarkStart w:id="85" w:name="_Toc441760817"/>
      <w:bookmarkStart w:id="86" w:name="_Toc441849480"/>
      <w:r w:rsidRPr="00442A0C">
        <w:rPr>
          <w:bCs/>
          <w:shd w:val="clear" w:color="auto" w:fill="FFFFFF"/>
          <w:lang/>
        </w:rPr>
        <w:t>Švýcarské ministerstvo pro životn</w:t>
      </w:r>
      <w:r>
        <w:rPr>
          <w:bCs/>
          <w:shd w:val="clear" w:color="auto" w:fill="FFFFFF"/>
          <w:lang/>
        </w:rPr>
        <w:t>í prostředí, dopravu, energii a </w:t>
      </w:r>
      <w:r w:rsidRPr="00442A0C">
        <w:rPr>
          <w:bCs/>
          <w:shd w:val="clear" w:color="auto" w:fill="FFFFFF"/>
          <w:lang/>
        </w:rPr>
        <w:t>komunikace</w:t>
      </w:r>
      <w:bookmarkEnd w:id="84"/>
      <w:bookmarkEnd w:id="85"/>
      <w:bookmarkEnd w:id="86"/>
    </w:p>
    <w:p w:rsidR="005A63D9" w:rsidRPr="00431A40" w:rsidRDefault="005A63D9" w:rsidP="00431A40">
      <w:pPr>
        <w:widowControl w:val="0"/>
        <w:adjustRightInd w:val="0"/>
        <w:spacing w:afterLines="0"/>
        <w:contextualSpacing w:val="0"/>
        <w:jc w:val="both"/>
        <w:textAlignment w:val="baseline"/>
        <w:rPr>
          <w:color w:val="000000"/>
          <w:shd w:val="clear" w:color="auto" w:fill="FFFFFF"/>
          <w:lang w:eastAsia="cs-CZ"/>
        </w:rPr>
      </w:pPr>
      <w:r w:rsidRPr="00431A40">
        <w:rPr>
          <w:color w:val="000000"/>
          <w:shd w:val="clear" w:color="auto" w:fill="FFFFFF"/>
          <w:lang w:eastAsia="cs-CZ"/>
        </w:rPr>
        <w:t>(Eidgenössischen Department für Umwelt, Verkehr, Energie und Komunikation, UVEK – www.uvek.admin.ch)</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Vlastní ministerstvo má Generální sekretariát se třemi interními divizemi. Do působnosti ministerstva patří sedm spolkových úřadů (Bundesamt). Pro záležitosti životního prostředí je to Spolkový úřad pro životní prostředí (Bundesamt für Umwelt – www.bafu.admin.ch).</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BAFU zabezpečuje problematiku přírodních zdrojů – půdy, vody, vzduchu a lesů. Úřad odpovídá za ochranu před nebezpečími přírody, chrán</w:t>
      </w:r>
      <w:r>
        <w:rPr>
          <w:color w:val="000000"/>
          <w:shd w:val="clear" w:color="auto" w:fill="FFFFFF"/>
          <w:lang w:eastAsia="cs-CZ"/>
        </w:rPr>
        <w:t>í životní prostředí a lidi před </w:t>
      </w:r>
      <w:r w:rsidRPr="00431A40">
        <w:rPr>
          <w:color w:val="000000"/>
          <w:shd w:val="clear" w:color="auto" w:fill="FFFFFF"/>
          <w:lang w:eastAsia="cs-CZ"/>
        </w:rPr>
        <w:t xml:space="preserve">nadměrnými zatíženími, pečuje o zachování biodiverzity a je garantem Švýcarska v mezinárodní politice životního prostředí. Úřad má šest sekcí (divizí). </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BAFU zabezpečuje nezbytné výzkumné práce pro návrh účinné a efektivní politiky životního prostředí a politiky zdrojů. Výzkum je zaměřen i na včasné rozpoznávání nových problémů životního prostředí a vývoj nových inovativních technologií. BAFU má na každý rok k dispozici pro výzkum v oblasti životního prostředí cca 8 mil. CHF.</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BAFU nemá vlastní výzkumná pracoviště. Disponibilní prostředky (cca 8 mil. CHF ročně) využívá na výzkumné zakázky nejrůznějším výzkumným pracovištím. Relativně často se BAFU finančně spolupodílí na řešení projektů Národn</w:t>
      </w:r>
      <w:r>
        <w:rPr>
          <w:color w:val="000000"/>
          <w:shd w:val="clear" w:color="auto" w:fill="FFFFFF"/>
          <w:lang w:eastAsia="cs-CZ"/>
        </w:rPr>
        <w:t>ích výzkumných programů (NFS) a </w:t>
      </w:r>
      <w:r w:rsidRPr="00431A40">
        <w:rPr>
          <w:color w:val="000000"/>
          <w:shd w:val="clear" w:color="auto" w:fill="FFFFFF"/>
          <w:lang w:eastAsia="cs-CZ"/>
        </w:rPr>
        <w:t>Národních priorit výzkumu, které koordinuje Švýcarský národní fond pro podporu vědeckého výzkumu (NFS).</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 xml:space="preserve">Úřad zabezpečuje výzkum dle Koncepce výzkumu UMWELT na roky 2013–2016. Koncepce má </w:t>
      </w:r>
      <w:r>
        <w:rPr>
          <w:color w:val="000000"/>
          <w:shd w:val="clear" w:color="auto" w:fill="FFFFFF"/>
          <w:lang w:eastAsia="cs-CZ"/>
        </w:rPr>
        <w:t>pět</w:t>
      </w:r>
      <w:r w:rsidRPr="00431A40">
        <w:rPr>
          <w:color w:val="000000"/>
          <w:shd w:val="clear" w:color="auto" w:fill="FFFFFF"/>
          <w:lang w:eastAsia="cs-CZ"/>
        </w:rPr>
        <w:t xml:space="preserve"> strategických priorit a 18 oblastí výzkumu. </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Strategické priority:</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Aktivity pro zachování a utváření životního prostředí</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Ochrana před škodlivinami a zatíženími od ŽP</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Udržitelné využití zdrojů</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Zmírnění a zvládnutí změn klimatu</w:t>
      </w:r>
    </w:p>
    <w:p w:rsidR="005A63D9" w:rsidRPr="00431A40" w:rsidRDefault="005A63D9" w:rsidP="00431A4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31A40">
        <w:rPr>
          <w:color w:val="000000"/>
          <w:shd w:val="clear" w:color="auto" w:fill="FFFFFF"/>
          <w:lang w:eastAsia="cs-CZ"/>
        </w:rPr>
        <w:t>Integrovaný management rizik</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Koncepci zabezpečují nejrůznější výzkumná pracoviště: vysoké školy, resortní ústavy, neziskové výzkumné organizace aj. Výzkum je financován především z prostředků Národního švýcarského fondu (NSF) a z prostředků ministerstva na resortní výzkum. Schéma strategických priorit a oblastí výzkumu je uvedeno v dodatku č. 3 této přílohy.</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p>
    <w:p w:rsidR="005A63D9" w:rsidRPr="00431A40" w:rsidRDefault="005A63D9" w:rsidP="00431A40">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87" w:name="_Toc440897416"/>
      <w:bookmarkStart w:id="88" w:name="_Toc441760818"/>
      <w:bookmarkStart w:id="89" w:name="_Toc441849481"/>
      <w:r w:rsidRPr="00431A40">
        <w:rPr>
          <w:rFonts w:cs="Arial"/>
          <w:bCs/>
          <w:iCs/>
          <w:color w:val="000000"/>
          <w:shd w:val="clear" w:color="auto" w:fill="FFFFFF"/>
          <w:lang/>
        </w:rPr>
        <w:t>3.2. Veřejná podpora VaVaI</w:t>
      </w:r>
      <w:bookmarkEnd w:id="87"/>
      <w:bookmarkEnd w:id="88"/>
      <w:bookmarkEnd w:id="89"/>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Švýcarsko má 7 ministerstev a Spolkovou kancelář (Úřad vlády). V Tab. č. 12. jsou uvedeny výdaje tří největších poskytovatelů podpory VaV v roce 2014. Data za předcházející roky nemá význam uvádět, jsou ovlivněna výraznými změnami v orgánech státní správy</w:t>
      </w:r>
    </w:p>
    <w:p w:rsidR="005A63D9" w:rsidRDefault="005A63D9">
      <w:pPr>
        <w:spacing w:afterLines="0" w:line="259" w:lineRule="auto"/>
        <w:contextualSpacing w:val="0"/>
        <w:rPr>
          <w:color w:val="000000"/>
          <w:shd w:val="clear" w:color="auto" w:fill="FFFFFF"/>
          <w:lang w:eastAsia="cs-CZ"/>
        </w:rPr>
      </w:pPr>
    </w:p>
    <w:p w:rsidR="005A63D9" w:rsidRPr="00431A40" w:rsidRDefault="005A63D9" w:rsidP="00431A40">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12</w:t>
      </w:r>
      <w:r w:rsidRPr="00431A40">
        <w:rPr>
          <w:b/>
          <w:color w:val="000000"/>
          <w:shd w:val="clear" w:color="auto" w:fill="FFFFFF"/>
          <w:lang w:eastAsia="cs-CZ"/>
        </w:rPr>
        <w:t xml:space="preserve"> </w:t>
      </w:r>
      <w:r w:rsidRPr="00431A40">
        <w:rPr>
          <w:color w:val="000000"/>
          <w:shd w:val="clear" w:color="auto" w:fill="FFFFFF"/>
          <w:lang w:eastAsia="cs-CZ"/>
        </w:rPr>
        <w:t>Výdaje vybraných ministerstev na VaV v roce 2014</w:t>
      </w:r>
    </w:p>
    <w:tbl>
      <w:tblPr>
        <w:tblW w:w="5000" w:type="pct"/>
        <w:tblLook w:val="00A0"/>
      </w:tblPr>
      <w:tblGrid>
        <w:gridCol w:w="5529"/>
        <w:gridCol w:w="1878"/>
        <w:gridCol w:w="1880"/>
      </w:tblGrid>
      <w:tr w:rsidR="005A63D9" w:rsidRPr="00E27ED8" w:rsidTr="00707D04">
        <w:tc>
          <w:tcPr>
            <w:tcW w:w="2977" w:type="pct"/>
            <w:vMerge w:val="restart"/>
            <w:tcBorders>
              <w:top w:val="single" w:sz="12" w:space="0" w:color="auto"/>
              <w:left w:val="single" w:sz="12" w:space="0" w:color="auto"/>
              <w:right w:val="single" w:sz="12" w:space="0" w:color="auto"/>
            </w:tcBorders>
            <w:shd w:val="clear" w:color="auto" w:fill="BFBFBF"/>
          </w:tcPr>
          <w:p w:rsidR="005A63D9" w:rsidRPr="00E27ED8" w:rsidRDefault="005A63D9" w:rsidP="0008405A">
            <w:pPr>
              <w:spacing w:after="144"/>
              <w:jc w:val="both"/>
              <w:rPr>
                <w:b/>
                <w:color w:val="000000"/>
                <w:sz w:val="18"/>
                <w:szCs w:val="18"/>
              </w:rPr>
            </w:pPr>
          </w:p>
        </w:tc>
        <w:tc>
          <w:tcPr>
            <w:tcW w:w="2023"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27ED8" w:rsidRDefault="005A63D9" w:rsidP="0008405A">
            <w:pPr>
              <w:spacing w:after="144"/>
              <w:jc w:val="center"/>
              <w:rPr>
                <w:b/>
                <w:color w:val="000000"/>
                <w:sz w:val="18"/>
                <w:szCs w:val="18"/>
              </w:rPr>
            </w:pPr>
            <w:r w:rsidRPr="00E27ED8">
              <w:rPr>
                <w:b/>
                <w:color w:val="000000"/>
                <w:sz w:val="18"/>
                <w:szCs w:val="18"/>
              </w:rPr>
              <w:t>2014</w:t>
            </w:r>
          </w:p>
        </w:tc>
      </w:tr>
      <w:tr w:rsidR="005A63D9" w:rsidRPr="00E27ED8" w:rsidTr="00707D04">
        <w:tc>
          <w:tcPr>
            <w:tcW w:w="2977" w:type="pct"/>
            <w:vMerge/>
            <w:tcBorders>
              <w:left w:val="single" w:sz="12" w:space="0" w:color="auto"/>
              <w:bottom w:val="double" w:sz="4" w:space="0" w:color="auto"/>
              <w:right w:val="single" w:sz="12" w:space="0" w:color="auto"/>
            </w:tcBorders>
            <w:shd w:val="clear" w:color="auto" w:fill="BFBFBF"/>
          </w:tcPr>
          <w:p w:rsidR="005A63D9" w:rsidRPr="00E27ED8" w:rsidRDefault="005A63D9" w:rsidP="0008405A">
            <w:pPr>
              <w:spacing w:after="144"/>
              <w:jc w:val="both"/>
              <w:rPr>
                <w:b/>
                <w:color w:val="000000"/>
                <w:sz w:val="20"/>
                <w:szCs w:val="20"/>
              </w:rPr>
            </w:pPr>
          </w:p>
        </w:tc>
        <w:tc>
          <w:tcPr>
            <w:tcW w:w="1011"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27ED8" w:rsidRDefault="005A63D9" w:rsidP="0008405A">
            <w:pPr>
              <w:spacing w:after="144"/>
              <w:jc w:val="center"/>
              <w:rPr>
                <w:color w:val="000000"/>
              </w:rPr>
            </w:pPr>
            <w:r w:rsidRPr="00E27ED8">
              <w:rPr>
                <w:color w:val="000000"/>
              </w:rPr>
              <w:t>(mil. CHF)</w:t>
            </w:r>
          </w:p>
        </w:tc>
        <w:tc>
          <w:tcPr>
            <w:tcW w:w="1011"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27ED8" w:rsidRDefault="005A63D9" w:rsidP="0008405A">
            <w:pPr>
              <w:spacing w:after="144"/>
              <w:jc w:val="center"/>
              <w:rPr>
                <w:color w:val="000000"/>
              </w:rPr>
            </w:pPr>
            <w:r w:rsidRPr="00E27ED8">
              <w:rPr>
                <w:color w:val="000000"/>
              </w:rPr>
              <w:t>(%)</w:t>
            </w:r>
          </w:p>
        </w:tc>
      </w:tr>
      <w:tr w:rsidR="005A63D9" w:rsidRPr="00E27ED8" w:rsidTr="003F18E9">
        <w:tc>
          <w:tcPr>
            <w:tcW w:w="2977" w:type="pct"/>
            <w:tcBorders>
              <w:top w:val="double" w:sz="4" w:space="0" w:color="auto"/>
              <w:left w:val="single" w:sz="12" w:space="0" w:color="auto"/>
              <w:bottom w:val="single" w:sz="4" w:space="0" w:color="auto"/>
              <w:right w:val="single" w:sz="12" w:space="0" w:color="auto"/>
            </w:tcBorders>
            <w:vAlign w:val="center"/>
          </w:tcPr>
          <w:p w:rsidR="005A63D9" w:rsidRPr="00E27ED8" w:rsidRDefault="005A63D9">
            <w:pPr>
              <w:spacing w:after="144"/>
              <w:rPr>
                <w:color w:val="000000"/>
                <w:sz w:val="18"/>
                <w:szCs w:val="18"/>
              </w:rPr>
            </w:pPr>
            <w:r w:rsidRPr="00E27ED8">
              <w:rPr>
                <w:color w:val="000000"/>
                <w:sz w:val="18"/>
                <w:szCs w:val="18"/>
              </w:rPr>
              <w:t>Švýcarské ministerstvo pro hospodářství, vzdělání a výzkum</w:t>
            </w:r>
          </w:p>
        </w:tc>
        <w:tc>
          <w:tcPr>
            <w:tcW w:w="1011"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1 768,783</w:t>
            </w:r>
          </w:p>
        </w:tc>
        <w:tc>
          <w:tcPr>
            <w:tcW w:w="1011"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90</w:t>
            </w:r>
          </w:p>
        </w:tc>
      </w:tr>
      <w:tr w:rsidR="005A63D9" w:rsidRPr="00E27ED8" w:rsidTr="003F18E9">
        <w:tc>
          <w:tcPr>
            <w:tcW w:w="2977" w:type="pct"/>
            <w:tcBorders>
              <w:top w:val="single" w:sz="4" w:space="0" w:color="auto"/>
              <w:left w:val="single" w:sz="12" w:space="0" w:color="auto"/>
              <w:bottom w:val="single" w:sz="4" w:space="0" w:color="auto"/>
              <w:right w:val="single" w:sz="12" w:space="0" w:color="auto"/>
            </w:tcBorders>
            <w:vAlign w:val="center"/>
          </w:tcPr>
          <w:p w:rsidR="005A63D9" w:rsidRPr="00E27ED8" w:rsidRDefault="005A63D9">
            <w:pPr>
              <w:spacing w:after="144"/>
              <w:rPr>
                <w:color w:val="000000"/>
                <w:sz w:val="18"/>
                <w:szCs w:val="18"/>
              </w:rPr>
            </w:pPr>
            <w:r w:rsidRPr="00E27ED8">
              <w:rPr>
                <w:color w:val="000000"/>
                <w:sz w:val="18"/>
                <w:szCs w:val="18"/>
              </w:rPr>
              <w:t>Švýcarské ministerstvo pro životní prostředí, dopravu, energii a komunikace</w:t>
            </w:r>
          </w:p>
        </w:tc>
        <w:tc>
          <w:tcPr>
            <w:tcW w:w="1011"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57,567</w:t>
            </w:r>
          </w:p>
        </w:tc>
        <w:tc>
          <w:tcPr>
            <w:tcW w:w="1011"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2,9</w:t>
            </w:r>
          </w:p>
        </w:tc>
      </w:tr>
      <w:tr w:rsidR="005A63D9" w:rsidRPr="00E27ED8" w:rsidTr="003F18E9">
        <w:tc>
          <w:tcPr>
            <w:tcW w:w="2977" w:type="pct"/>
            <w:tcBorders>
              <w:top w:val="single" w:sz="4" w:space="0" w:color="auto"/>
              <w:left w:val="single" w:sz="12" w:space="0" w:color="auto"/>
              <w:bottom w:val="single" w:sz="12" w:space="0" w:color="auto"/>
              <w:right w:val="single" w:sz="12" w:space="0" w:color="auto"/>
            </w:tcBorders>
            <w:vAlign w:val="center"/>
          </w:tcPr>
          <w:p w:rsidR="005A63D9" w:rsidRPr="00E27ED8" w:rsidRDefault="005A63D9">
            <w:pPr>
              <w:spacing w:after="144"/>
              <w:rPr>
                <w:color w:val="000000"/>
                <w:sz w:val="18"/>
                <w:szCs w:val="18"/>
              </w:rPr>
            </w:pPr>
            <w:r w:rsidRPr="00E27ED8">
              <w:rPr>
                <w:color w:val="000000"/>
                <w:sz w:val="18"/>
                <w:szCs w:val="18"/>
              </w:rPr>
              <w:t>Švýcarské ministerstvo pro obranu, ochranu obyvatelstva a sport</w:t>
            </w:r>
          </w:p>
        </w:tc>
        <w:tc>
          <w:tcPr>
            <w:tcW w:w="1011"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33,126</w:t>
            </w:r>
          </w:p>
        </w:tc>
        <w:tc>
          <w:tcPr>
            <w:tcW w:w="1011"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08405A">
            <w:pPr>
              <w:spacing w:after="144"/>
              <w:jc w:val="center"/>
              <w:rPr>
                <w:color w:val="000000"/>
                <w:sz w:val="18"/>
                <w:szCs w:val="18"/>
              </w:rPr>
            </w:pPr>
            <w:r w:rsidRPr="00E27ED8">
              <w:rPr>
                <w:color w:val="000000"/>
                <w:sz w:val="18"/>
                <w:szCs w:val="18"/>
              </w:rPr>
              <w:t>1,7</w:t>
            </w:r>
          </w:p>
        </w:tc>
      </w:tr>
      <w:tr w:rsidR="005A63D9" w:rsidRPr="00E27ED8" w:rsidTr="003F18E9">
        <w:tc>
          <w:tcPr>
            <w:tcW w:w="2977" w:type="pct"/>
            <w:tcBorders>
              <w:top w:val="single" w:sz="12" w:space="0" w:color="auto"/>
              <w:left w:val="single" w:sz="12" w:space="0" w:color="auto"/>
              <w:bottom w:val="single" w:sz="12" w:space="0" w:color="auto"/>
              <w:right w:val="single" w:sz="12" w:space="0" w:color="auto"/>
            </w:tcBorders>
            <w:vAlign w:val="center"/>
          </w:tcPr>
          <w:p w:rsidR="005A63D9" w:rsidRPr="00E27ED8" w:rsidRDefault="005A63D9">
            <w:pPr>
              <w:spacing w:after="144"/>
              <w:rPr>
                <w:color w:val="000000"/>
                <w:sz w:val="18"/>
                <w:szCs w:val="18"/>
              </w:rPr>
            </w:pPr>
            <w:r w:rsidRPr="00E27ED8">
              <w:rPr>
                <w:color w:val="000000"/>
                <w:sz w:val="18"/>
                <w:szCs w:val="18"/>
              </w:rPr>
              <w:t>CELKEM</w:t>
            </w:r>
          </w:p>
        </w:tc>
        <w:tc>
          <w:tcPr>
            <w:tcW w:w="1011" w:type="pct"/>
            <w:tcBorders>
              <w:top w:val="single" w:sz="12" w:space="0" w:color="auto"/>
              <w:left w:val="single" w:sz="12" w:space="0" w:color="auto"/>
              <w:bottom w:val="single" w:sz="12" w:space="0" w:color="auto"/>
              <w:right w:val="single" w:sz="4" w:space="0" w:color="auto"/>
            </w:tcBorders>
            <w:vAlign w:val="center"/>
          </w:tcPr>
          <w:p w:rsidR="005A63D9" w:rsidRPr="00E27ED8" w:rsidRDefault="005A63D9" w:rsidP="0008405A">
            <w:pPr>
              <w:spacing w:after="144"/>
              <w:jc w:val="center"/>
              <w:rPr>
                <w:b/>
                <w:color w:val="000000"/>
                <w:sz w:val="18"/>
                <w:szCs w:val="18"/>
              </w:rPr>
            </w:pPr>
            <w:r w:rsidRPr="00E27ED8">
              <w:rPr>
                <w:b/>
                <w:color w:val="000000"/>
                <w:sz w:val="18"/>
                <w:szCs w:val="18"/>
              </w:rPr>
              <w:t>1 966,402</w:t>
            </w:r>
          </w:p>
        </w:tc>
        <w:tc>
          <w:tcPr>
            <w:tcW w:w="1011" w:type="pct"/>
            <w:tcBorders>
              <w:top w:val="single" w:sz="12" w:space="0" w:color="auto"/>
              <w:left w:val="single" w:sz="4" w:space="0" w:color="auto"/>
              <w:bottom w:val="single" w:sz="12" w:space="0" w:color="auto"/>
              <w:right w:val="single" w:sz="12" w:space="0" w:color="auto"/>
            </w:tcBorders>
            <w:vAlign w:val="center"/>
          </w:tcPr>
          <w:p w:rsidR="005A63D9" w:rsidRPr="00E27ED8" w:rsidRDefault="005A63D9" w:rsidP="0008405A">
            <w:pPr>
              <w:spacing w:after="144"/>
              <w:jc w:val="center"/>
              <w:rPr>
                <w:b/>
                <w:color w:val="000000"/>
                <w:sz w:val="18"/>
                <w:szCs w:val="18"/>
              </w:rPr>
            </w:pPr>
            <w:r w:rsidRPr="00E27ED8">
              <w:rPr>
                <w:b/>
                <w:color w:val="000000"/>
                <w:sz w:val="18"/>
                <w:szCs w:val="18"/>
              </w:rPr>
              <w:t>100</w:t>
            </w:r>
          </w:p>
        </w:tc>
      </w:tr>
    </w:tbl>
    <w:p w:rsidR="005A63D9" w:rsidRPr="009B0A4A" w:rsidRDefault="005A63D9" w:rsidP="0008405A">
      <w:pPr>
        <w:pStyle w:val="ZDROJovan"/>
        <w:spacing w:after="144" w:line="288" w:lineRule="auto"/>
        <w:jc w:val="both"/>
      </w:pPr>
      <w:r w:rsidRPr="00C77C67">
        <w:t>Zdroj: Bundesamt für Statistik, Statistik F+E.</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Státní (spolkové) výdaje jsou výrazně soustředěny do rozpočtu Švýcarského ministerstva pro hospodářství, vzdělání a výzkum (90 %). Ministerstvo pro životní prostředí, dopravu, energie a komunikace je sice druhým největším poskytovatelem, má však k dispozici jen necelá 3 % celkových výdajů na VaV.</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Stát na základě zákona o podpoře výzkumu a inovací financuje VaVaI prostřednictvím:</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Švýcarského národního fondu pro vědecký výzkum (SNF) – www.snf.ch</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Komise pro technologie a inovace (KTI) – www.kti.ch</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Svazu švýcarských akademií věd</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Institucí oblasti (skupiny) ETH, včetně financování výuky na dvou technických univerzitách – www.eth.rat.ch. Do oblasti ETH patří dvě vysoké školy a pět výzkumných ústavů:</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Švýcarská (Eidgenössische) technická vysoká škola Curych – www.ethz.ch</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 xml:space="preserve">Švýcarská (Eidgenössische) technická vysoká </w:t>
      </w:r>
      <w:r>
        <w:rPr>
          <w:color w:val="000000"/>
          <w:shd w:val="clear" w:color="auto" w:fill="FFFFFF"/>
          <w:lang w:eastAsia="cs-CZ"/>
        </w:rPr>
        <w:t xml:space="preserve">škola </w:t>
      </w:r>
      <w:r w:rsidRPr="004C6043">
        <w:rPr>
          <w:color w:val="000000"/>
          <w:shd w:val="clear" w:color="auto" w:fill="FFFFFF"/>
          <w:lang w:eastAsia="cs-CZ"/>
        </w:rPr>
        <w:t>Lausanne – www.epfl.ch</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Institut Paul Scherrera – PSI (Technické a přírodní vědy, především jaderná fyzika)</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Švýcarské výzkumné zařízení pro les, sníh a venkovní krajinu (WSL) – www.wsl.ch</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Švýcarské výzkumné a zkušební zařízení pro materiály (EMPA)</w:t>
      </w:r>
    </w:p>
    <w:p w:rsidR="005A63D9" w:rsidRPr="004C6043" w:rsidRDefault="005A63D9" w:rsidP="004C6043">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Švýcarský institut pro zásobování vodou, čištění odpadních vod a ochranu spodních vod – www.eawag.ch.</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některých spolkových ministerstev (resortní výzkum);</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kantonálních vlád (v menším rozsahu, především vysoké školy patřící do jejich působnost).</w:t>
      </w:r>
    </w:p>
    <w:p w:rsidR="005A63D9" w:rsidRDefault="005A63D9">
      <w:pPr>
        <w:spacing w:afterLines="0" w:line="259" w:lineRule="auto"/>
        <w:contextualSpacing w:val="0"/>
        <w:rPr>
          <w:rFonts w:cs="Calibri"/>
          <w:color w:val="000000"/>
        </w:rPr>
      </w:pPr>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b/>
          <w:color w:val="000000"/>
          <w:shd w:val="clear" w:color="auto" w:fill="FFFFFF"/>
          <w:lang w:eastAsia="cs-CZ"/>
        </w:rPr>
        <w:t xml:space="preserve">Tab. č. 13 </w:t>
      </w:r>
      <w:r w:rsidRPr="004C6043">
        <w:rPr>
          <w:color w:val="000000"/>
          <w:shd w:val="clear" w:color="auto" w:fill="FFFFFF"/>
          <w:lang w:eastAsia="cs-CZ"/>
        </w:rPr>
        <w:t>Vývoj státní (spolkové) podpory VaV vybraným příjemcům</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937"/>
        <w:gridCol w:w="1059"/>
        <w:gridCol w:w="1059"/>
        <w:gridCol w:w="1059"/>
        <w:gridCol w:w="1059"/>
        <w:gridCol w:w="1059"/>
        <w:gridCol w:w="1055"/>
      </w:tblGrid>
      <w:tr w:rsidR="005A63D9" w:rsidRPr="00E27ED8" w:rsidTr="00510C04">
        <w:tc>
          <w:tcPr>
            <w:tcW w:w="1582" w:type="pct"/>
            <w:vMerge w:val="restart"/>
            <w:tcBorders>
              <w:top w:val="single" w:sz="12" w:space="0" w:color="auto"/>
              <w:right w:val="single" w:sz="12" w:space="0" w:color="auto"/>
            </w:tcBorders>
            <w:shd w:val="clear" w:color="auto" w:fill="BFBFBF"/>
            <w:vAlign w:val="center"/>
          </w:tcPr>
          <w:p w:rsidR="005A63D9" w:rsidRPr="00E27ED8" w:rsidRDefault="005A63D9" w:rsidP="0008405A">
            <w:pPr>
              <w:suppressAutoHyphens/>
              <w:spacing w:after="144"/>
              <w:jc w:val="both"/>
              <w:rPr>
                <w:rFonts w:cs="Calibri"/>
                <w:b/>
                <w:color w:val="000000"/>
                <w:sz w:val="18"/>
                <w:szCs w:val="18"/>
              </w:rPr>
            </w:pPr>
          </w:p>
        </w:tc>
        <w:tc>
          <w:tcPr>
            <w:tcW w:w="1139"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uppressAutoHyphens/>
              <w:spacing w:after="144"/>
              <w:jc w:val="center"/>
              <w:rPr>
                <w:rFonts w:cs="Calibri"/>
                <w:b/>
                <w:color w:val="000000"/>
                <w:sz w:val="18"/>
                <w:szCs w:val="18"/>
              </w:rPr>
            </w:pPr>
            <w:r w:rsidRPr="00E27ED8">
              <w:rPr>
                <w:rFonts w:cs="Calibri"/>
                <w:b/>
                <w:color w:val="000000"/>
                <w:sz w:val="18"/>
                <w:szCs w:val="18"/>
              </w:rPr>
              <w:t>2010</w:t>
            </w:r>
          </w:p>
        </w:tc>
        <w:tc>
          <w:tcPr>
            <w:tcW w:w="1139"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uppressAutoHyphens/>
              <w:spacing w:after="144"/>
              <w:jc w:val="center"/>
              <w:rPr>
                <w:rFonts w:cs="Calibri"/>
                <w:b/>
                <w:color w:val="000000"/>
                <w:sz w:val="18"/>
                <w:szCs w:val="18"/>
              </w:rPr>
            </w:pPr>
            <w:r w:rsidRPr="00E27ED8">
              <w:rPr>
                <w:rFonts w:cs="Calibri"/>
                <w:b/>
                <w:color w:val="000000"/>
                <w:sz w:val="18"/>
                <w:szCs w:val="18"/>
              </w:rPr>
              <w:t>2012</w:t>
            </w:r>
          </w:p>
        </w:tc>
        <w:tc>
          <w:tcPr>
            <w:tcW w:w="1139" w:type="pct"/>
            <w:gridSpan w:val="2"/>
            <w:tcBorders>
              <w:top w:val="single" w:sz="12" w:space="0" w:color="auto"/>
              <w:left w:val="single" w:sz="12" w:space="0" w:color="auto"/>
            </w:tcBorders>
            <w:shd w:val="clear" w:color="auto" w:fill="BFBFBF"/>
            <w:vAlign w:val="center"/>
          </w:tcPr>
          <w:p w:rsidR="005A63D9" w:rsidRPr="00E27ED8" w:rsidRDefault="005A63D9" w:rsidP="0008405A">
            <w:pPr>
              <w:suppressAutoHyphens/>
              <w:spacing w:after="144"/>
              <w:jc w:val="center"/>
              <w:rPr>
                <w:rFonts w:cs="Calibri"/>
                <w:b/>
                <w:color w:val="000000"/>
                <w:sz w:val="18"/>
                <w:szCs w:val="18"/>
              </w:rPr>
            </w:pPr>
            <w:r w:rsidRPr="00E27ED8">
              <w:rPr>
                <w:rFonts w:cs="Calibri"/>
                <w:b/>
                <w:color w:val="000000"/>
                <w:sz w:val="18"/>
                <w:szCs w:val="18"/>
              </w:rPr>
              <w:t>2014</w:t>
            </w:r>
          </w:p>
        </w:tc>
      </w:tr>
      <w:tr w:rsidR="005A63D9" w:rsidRPr="00E27ED8" w:rsidTr="00510C04">
        <w:tc>
          <w:tcPr>
            <w:tcW w:w="1582" w:type="pct"/>
            <w:vMerge/>
            <w:tcBorders>
              <w:bottom w:val="double" w:sz="4" w:space="0" w:color="auto"/>
              <w:right w:val="single" w:sz="12" w:space="0" w:color="auto"/>
            </w:tcBorders>
            <w:shd w:val="clear" w:color="auto" w:fill="BFBFBF"/>
            <w:vAlign w:val="center"/>
          </w:tcPr>
          <w:p w:rsidR="005A63D9" w:rsidRPr="00E27ED8" w:rsidRDefault="005A63D9" w:rsidP="0008405A">
            <w:pPr>
              <w:suppressAutoHyphens/>
              <w:spacing w:after="144"/>
              <w:jc w:val="both"/>
              <w:rPr>
                <w:rFonts w:cs="Calibri"/>
                <w:color w:val="000000"/>
                <w:sz w:val="18"/>
                <w:szCs w:val="18"/>
              </w:rPr>
            </w:pP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(mil. CHF)</w:t>
            </w:r>
          </w:p>
        </w:tc>
        <w:tc>
          <w:tcPr>
            <w:tcW w:w="570" w:type="pct"/>
            <w:tcBorders>
              <w:bottom w:val="double" w:sz="4" w:space="0" w:color="auto"/>
              <w:right w:val="single" w:sz="12"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w:t>
            </w: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(mil. CHF)</w:t>
            </w:r>
          </w:p>
        </w:tc>
        <w:tc>
          <w:tcPr>
            <w:tcW w:w="570" w:type="pct"/>
            <w:tcBorders>
              <w:bottom w:val="double" w:sz="4" w:space="0" w:color="auto"/>
              <w:right w:val="single" w:sz="12"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w:t>
            </w:r>
          </w:p>
        </w:tc>
        <w:tc>
          <w:tcPr>
            <w:tcW w:w="570" w:type="pct"/>
            <w:tcBorders>
              <w:left w:val="single" w:sz="12" w:space="0" w:color="auto"/>
              <w:bottom w:val="double" w:sz="4"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(mil. CHF)</w:t>
            </w:r>
          </w:p>
        </w:tc>
        <w:tc>
          <w:tcPr>
            <w:tcW w:w="570" w:type="pct"/>
            <w:tcBorders>
              <w:bottom w:val="double" w:sz="4" w:space="0" w:color="auto"/>
            </w:tcBorders>
            <w:shd w:val="clear" w:color="auto" w:fill="BFBFBF"/>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w:t>
            </w:r>
          </w:p>
        </w:tc>
      </w:tr>
      <w:tr w:rsidR="005A63D9" w:rsidRPr="00E27ED8" w:rsidTr="00510C04">
        <w:trPr>
          <w:trHeight w:val="170"/>
        </w:trPr>
        <w:tc>
          <w:tcPr>
            <w:tcW w:w="1582" w:type="pct"/>
            <w:tcBorders>
              <w:top w:val="double" w:sz="4" w:space="0" w:color="auto"/>
              <w:right w:val="single" w:sz="12" w:space="0" w:color="auto"/>
            </w:tcBorders>
            <w:vAlign w:val="center"/>
          </w:tcPr>
          <w:p w:rsidR="005A63D9" w:rsidRPr="00E27ED8" w:rsidRDefault="005A63D9">
            <w:pPr>
              <w:suppressAutoHyphens/>
              <w:spacing w:after="144"/>
              <w:rPr>
                <w:rFonts w:cs="Calibri"/>
                <w:color w:val="000000"/>
                <w:sz w:val="18"/>
                <w:szCs w:val="18"/>
              </w:rPr>
            </w:pPr>
            <w:r w:rsidRPr="00E27ED8">
              <w:rPr>
                <w:rFonts w:cs="Calibri"/>
                <w:color w:val="000000"/>
                <w:sz w:val="18"/>
                <w:szCs w:val="18"/>
              </w:rPr>
              <w:t>Univerzity</w:t>
            </w:r>
          </w:p>
        </w:tc>
        <w:tc>
          <w:tcPr>
            <w:tcW w:w="570" w:type="pct"/>
            <w:tcBorders>
              <w:top w:val="double" w:sz="4" w:space="0" w:color="auto"/>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32,184</w:t>
            </w:r>
          </w:p>
        </w:tc>
        <w:tc>
          <w:tcPr>
            <w:tcW w:w="570" w:type="pct"/>
            <w:tcBorders>
              <w:top w:val="double" w:sz="4" w:space="0" w:color="auto"/>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2,0</w:t>
            </w:r>
          </w:p>
        </w:tc>
        <w:tc>
          <w:tcPr>
            <w:tcW w:w="570" w:type="pct"/>
            <w:tcBorders>
              <w:top w:val="double" w:sz="4" w:space="0" w:color="auto"/>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31,032</w:t>
            </w:r>
          </w:p>
        </w:tc>
        <w:tc>
          <w:tcPr>
            <w:tcW w:w="570" w:type="pct"/>
            <w:tcBorders>
              <w:top w:val="double" w:sz="4" w:space="0" w:color="auto"/>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1,7</w:t>
            </w:r>
          </w:p>
        </w:tc>
        <w:tc>
          <w:tcPr>
            <w:tcW w:w="570" w:type="pct"/>
            <w:tcBorders>
              <w:top w:val="double" w:sz="4" w:space="0" w:color="auto"/>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26,661</w:t>
            </w:r>
          </w:p>
        </w:tc>
        <w:tc>
          <w:tcPr>
            <w:tcW w:w="570" w:type="pct"/>
            <w:tcBorders>
              <w:top w:val="double" w:sz="4"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1,6</w:t>
            </w:r>
          </w:p>
        </w:tc>
      </w:tr>
      <w:tr w:rsidR="005A63D9" w:rsidRPr="00E27ED8" w:rsidTr="00510C04">
        <w:trPr>
          <w:trHeight w:val="170"/>
        </w:trPr>
        <w:tc>
          <w:tcPr>
            <w:tcW w:w="1582" w:type="pct"/>
            <w:tcBorders>
              <w:right w:val="single" w:sz="12" w:space="0" w:color="auto"/>
            </w:tcBorders>
            <w:vAlign w:val="center"/>
          </w:tcPr>
          <w:p w:rsidR="005A63D9" w:rsidRPr="00E27ED8" w:rsidRDefault="005A63D9">
            <w:pPr>
              <w:suppressAutoHyphens/>
              <w:spacing w:after="144"/>
              <w:rPr>
                <w:rFonts w:cs="Calibri"/>
                <w:color w:val="000000"/>
                <w:sz w:val="18"/>
                <w:szCs w:val="18"/>
              </w:rPr>
            </w:pPr>
            <w:r w:rsidRPr="00E27ED8">
              <w:rPr>
                <w:rFonts w:cs="Calibri"/>
                <w:color w:val="000000"/>
                <w:sz w:val="18"/>
                <w:szCs w:val="18"/>
              </w:rPr>
              <w:t>Oblast ETH (2 technické univerzity a 5 výzkumných ústavů)</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53,703</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3,4</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56,096</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3,0</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46,384</w:t>
            </w:r>
          </w:p>
        </w:tc>
        <w:tc>
          <w:tcPr>
            <w:tcW w:w="570" w:type="pct"/>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2,7</w:t>
            </w:r>
          </w:p>
        </w:tc>
      </w:tr>
      <w:tr w:rsidR="005A63D9" w:rsidRPr="00E27ED8" w:rsidTr="00510C04">
        <w:trPr>
          <w:trHeight w:val="170"/>
        </w:trPr>
        <w:tc>
          <w:tcPr>
            <w:tcW w:w="1582" w:type="pct"/>
            <w:tcBorders>
              <w:right w:val="single" w:sz="12" w:space="0" w:color="auto"/>
            </w:tcBorders>
            <w:vAlign w:val="center"/>
          </w:tcPr>
          <w:p w:rsidR="005A63D9" w:rsidRPr="00E27ED8" w:rsidRDefault="005A63D9">
            <w:pPr>
              <w:suppressAutoHyphens/>
              <w:spacing w:after="144"/>
              <w:rPr>
                <w:rFonts w:cs="Calibri"/>
                <w:color w:val="000000"/>
                <w:sz w:val="18"/>
                <w:szCs w:val="18"/>
              </w:rPr>
            </w:pPr>
            <w:r w:rsidRPr="00E27ED8">
              <w:rPr>
                <w:rFonts w:cs="Calibri"/>
                <w:color w:val="000000"/>
                <w:sz w:val="18"/>
                <w:szCs w:val="18"/>
              </w:rPr>
              <w:t>Odborné vysoké školy</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52,850</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3,3</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66,440</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3,5</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61,447</w:t>
            </w:r>
          </w:p>
        </w:tc>
        <w:tc>
          <w:tcPr>
            <w:tcW w:w="570" w:type="pct"/>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3,6</w:t>
            </w:r>
          </w:p>
        </w:tc>
      </w:tr>
      <w:tr w:rsidR="005A63D9" w:rsidRPr="00E27ED8" w:rsidTr="00510C04">
        <w:tc>
          <w:tcPr>
            <w:tcW w:w="1582" w:type="pct"/>
            <w:tcBorders>
              <w:right w:val="single" w:sz="12" w:space="0" w:color="auto"/>
            </w:tcBorders>
            <w:vAlign w:val="center"/>
          </w:tcPr>
          <w:p w:rsidR="005A63D9" w:rsidRPr="00E27ED8" w:rsidRDefault="005A63D9">
            <w:pPr>
              <w:suppressAutoHyphens/>
              <w:spacing w:after="144"/>
              <w:rPr>
                <w:rFonts w:cs="Calibri"/>
                <w:color w:val="000000"/>
                <w:sz w:val="18"/>
                <w:szCs w:val="18"/>
              </w:rPr>
            </w:pPr>
            <w:r w:rsidRPr="00E27ED8">
              <w:rPr>
                <w:rFonts w:cs="Calibri"/>
                <w:color w:val="000000"/>
                <w:sz w:val="18"/>
                <w:szCs w:val="18"/>
              </w:rPr>
              <w:t>Švýcarský národní fond pro podporu základního výzkumu</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772,780</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48,7</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877,923</w:t>
            </w:r>
          </w:p>
        </w:tc>
        <w:tc>
          <w:tcPr>
            <w:tcW w:w="570" w:type="pct"/>
            <w:tcBorders>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46,7</w:t>
            </w:r>
          </w:p>
        </w:tc>
        <w:tc>
          <w:tcPr>
            <w:tcW w:w="570" w:type="pct"/>
            <w:tcBorders>
              <w:lef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1 019,377</w:t>
            </w:r>
          </w:p>
        </w:tc>
        <w:tc>
          <w:tcPr>
            <w:tcW w:w="570" w:type="pct"/>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60,2</w:t>
            </w:r>
          </w:p>
        </w:tc>
      </w:tr>
      <w:tr w:rsidR="005A63D9" w:rsidRPr="00E27ED8" w:rsidTr="00510C04">
        <w:trPr>
          <w:trHeight w:val="227"/>
        </w:trPr>
        <w:tc>
          <w:tcPr>
            <w:tcW w:w="1582" w:type="pct"/>
            <w:tcBorders>
              <w:bottom w:val="single" w:sz="12" w:space="0" w:color="auto"/>
              <w:right w:val="single" w:sz="12" w:space="0" w:color="auto"/>
            </w:tcBorders>
            <w:vAlign w:val="center"/>
          </w:tcPr>
          <w:p w:rsidR="005A63D9" w:rsidRPr="00E27ED8" w:rsidRDefault="005A63D9">
            <w:pPr>
              <w:suppressAutoHyphens/>
              <w:spacing w:after="144"/>
              <w:rPr>
                <w:rFonts w:cs="Calibri"/>
                <w:b/>
                <w:color w:val="000000"/>
                <w:sz w:val="18"/>
                <w:szCs w:val="18"/>
              </w:rPr>
            </w:pPr>
            <w:r w:rsidRPr="00E27ED8">
              <w:rPr>
                <w:rFonts w:cs="Calibri"/>
                <w:b/>
                <w:color w:val="000000"/>
                <w:sz w:val="18"/>
                <w:szCs w:val="18"/>
              </w:rPr>
              <w:t>CELKEM</w:t>
            </w:r>
          </w:p>
        </w:tc>
        <w:tc>
          <w:tcPr>
            <w:tcW w:w="570" w:type="pct"/>
            <w:tcBorders>
              <w:left w:val="single" w:sz="12" w:space="0" w:color="auto"/>
              <w:bottom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1 586,878</w:t>
            </w:r>
          </w:p>
        </w:tc>
        <w:tc>
          <w:tcPr>
            <w:tcW w:w="570" w:type="pct"/>
            <w:tcBorders>
              <w:bottom w:val="single" w:sz="12" w:space="0" w:color="auto"/>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100</w:t>
            </w:r>
          </w:p>
        </w:tc>
        <w:tc>
          <w:tcPr>
            <w:tcW w:w="570" w:type="pct"/>
            <w:tcBorders>
              <w:left w:val="single" w:sz="12" w:space="0" w:color="auto"/>
              <w:bottom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1 879,597</w:t>
            </w:r>
          </w:p>
        </w:tc>
        <w:tc>
          <w:tcPr>
            <w:tcW w:w="570" w:type="pct"/>
            <w:tcBorders>
              <w:bottom w:val="single" w:sz="12" w:space="0" w:color="auto"/>
              <w:right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100</w:t>
            </w:r>
          </w:p>
        </w:tc>
        <w:tc>
          <w:tcPr>
            <w:tcW w:w="570" w:type="pct"/>
            <w:tcBorders>
              <w:left w:val="single" w:sz="12" w:space="0" w:color="auto"/>
              <w:bottom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1 692,954</w:t>
            </w:r>
          </w:p>
        </w:tc>
        <w:tc>
          <w:tcPr>
            <w:tcW w:w="570" w:type="pct"/>
            <w:tcBorders>
              <w:bottom w:val="single" w:sz="12" w:space="0" w:color="auto"/>
            </w:tcBorders>
            <w:vAlign w:val="center"/>
          </w:tcPr>
          <w:p w:rsidR="005A63D9" w:rsidRPr="00E27ED8" w:rsidRDefault="005A63D9" w:rsidP="0008405A">
            <w:pPr>
              <w:suppressAutoHyphens/>
              <w:spacing w:after="144"/>
              <w:jc w:val="center"/>
              <w:rPr>
                <w:rFonts w:cs="Calibri"/>
                <w:color w:val="000000"/>
                <w:sz w:val="18"/>
                <w:szCs w:val="18"/>
              </w:rPr>
            </w:pPr>
            <w:r w:rsidRPr="00E27ED8">
              <w:rPr>
                <w:rFonts w:cs="Calibri"/>
                <w:color w:val="000000"/>
                <w:sz w:val="18"/>
                <w:szCs w:val="18"/>
              </w:rPr>
              <w:t>100</w:t>
            </w:r>
          </w:p>
        </w:tc>
      </w:tr>
    </w:tbl>
    <w:p w:rsidR="005A63D9" w:rsidRPr="00C77C67" w:rsidRDefault="005A63D9" w:rsidP="0008405A">
      <w:pPr>
        <w:pStyle w:val="ZDROJovan"/>
        <w:spacing w:after="144" w:line="288" w:lineRule="auto"/>
        <w:jc w:val="both"/>
      </w:pPr>
      <w:r w:rsidRPr="00C77C67">
        <w:t>Zdroj: Bundesamt für Statistik, Statistik F+E.</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Největším příjemcem je Švýcarský národní fond pro podporu vědeckého výzkumu (NSF), který však prostředky dále rozděluje, jako každá grantová agentura, kompetitivním způsobem. V roce 2014 fond dostává 60 % celkové státní podpory VaV. Je nutné zmínit</w:t>
      </w:r>
      <w:r>
        <w:rPr>
          <w:color w:val="000000"/>
          <w:shd w:val="clear" w:color="auto" w:fill="FFFFFF"/>
          <w:lang w:eastAsia="cs-CZ"/>
        </w:rPr>
        <w:t>, že </w:t>
      </w:r>
      <w:r w:rsidRPr="00431A40">
        <w:rPr>
          <w:color w:val="000000"/>
          <w:shd w:val="clear" w:color="auto" w:fill="FFFFFF"/>
          <w:lang w:eastAsia="cs-CZ"/>
        </w:rPr>
        <w:t>univerzity a odborné vysoké školy dostávají významnou finanční podporu od svých kantonů.</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90" w:name="_Toc440897417"/>
      <w:bookmarkStart w:id="91" w:name="_Toc441760819"/>
      <w:bookmarkStart w:id="92" w:name="_Toc441849482"/>
      <w:r w:rsidRPr="00442A0C">
        <w:rPr>
          <w:bCs/>
          <w:shd w:val="clear" w:color="auto" w:fill="FFFFFF"/>
          <w:lang/>
        </w:rPr>
        <w:t>Švýcarský národní fond pro podporu vědeckého výzkumu</w:t>
      </w:r>
      <w:bookmarkEnd w:id="90"/>
      <w:bookmarkEnd w:id="91"/>
      <w:bookmarkEnd w:id="92"/>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(Schweizerischer Nationalfonds zur Förderund der wissenschaftlichen Forschung, SNF – www.snf.ch)</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Švýcarský národní fond pro podporu vědeckého výzkumu (SNF) je zvláštní „agenturou“ pro podporu výzkumu. Podporuje především základní výzkum formou grantů pro projekty, jejichž témata si volí sami výzkumní pracovníci. SNF však zabezpečuje i veškerou agendu podpory Národních výzkumných programů a Programů náro</w:t>
      </w:r>
      <w:r>
        <w:rPr>
          <w:color w:val="000000"/>
          <w:shd w:val="clear" w:color="auto" w:fill="FFFFFF"/>
          <w:lang w:eastAsia="cs-CZ"/>
        </w:rPr>
        <w:t>dních výzkumných priorit, které </w:t>
      </w:r>
      <w:r w:rsidRPr="00431A40">
        <w:rPr>
          <w:color w:val="000000"/>
          <w:shd w:val="clear" w:color="auto" w:fill="FFFFFF"/>
          <w:lang w:eastAsia="cs-CZ"/>
        </w:rPr>
        <w:t>schvaluje spolková vláda - od vyhlašování soutěží</w:t>
      </w:r>
      <w:r>
        <w:rPr>
          <w:color w:val="000000"/>
          <w:shd w:val="clear" w:color="auto" w:fill="FFFFFF"/>
          <w:lang w:eastAsia="cs-CZ"/>
        </w:rPr>
        <w:t>, přes hodnocení návrhů, jejich </w:t>
      </w:r>
      <w:r w:rsidRPr="00431A40">
        <w:rPr>
          <w:color w:val="000000"/>
          <w:shd w:val="clear" w:color="auto" w:fill="FFFFFF"/>
          <w:lang w:eastAsia="cs-CZ"/>
        </w:rPr>
        <w:t>výběr, uzavírání smluv o podpoře a hodnocení výsledků.</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SNF podporuje projekty: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Standardní projekty nezávislého výzkumu;</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Projekty rozvoje výzkumných kariér;</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Projekty výzkumných programů (Program národních výzkumných priorit, Národní výzkumné programy, Mezinárodní programy, Program Synergia, Zvláštní program biologie a medicína);</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Projekty podpory infrastruktury výzkumu;</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Projekty vědeck</w:t>
      </w:r>
      <w:r>
        <w:rPr>
          <w:color w:val="000000"/>
          <w:shd w:val="clear" w:color="auto" w:fill="FFFFFF"/>
          <w:lang w:eastAsia="cs-CZ"/>
        </w:rPr>
        <w:t>é</w:t>
      </w:r>
      <w:r w:rsidRPr="004C6043">
        <w:rPr>
          <w:color w:val="000000"/>
          <w:shd w:val="clear" w:color="auto" w:fill="FFFFFF"/>
          <w:lang w:eastAsia="cs-CZ"/>
        </w:rPr>
        <w:t xml:space="preserve"> komunikace.</w:t>
      </w:r>
      <w:r w:rsidRPr="004C6043">
        <w:rPr>
          <w:color w:val="000000"/>
          <w:shd w:val="clear" w:color="auto" w:fill="FFFFFF"/>
          <w:vertAlign w:val="superscript"/>
          <w:lang w:eastAsia="cs-CZ"/>
        </w:rPr>
        <w:footnoteReference w:id="18"/>
      </w:r>
      <w:r w:rsidRPr="004C6043">
        <w:rPr>
          <w:color w:val="000000"/>
          <w:shd w:val="clear" w:color="auto" w:fill="FFFFFF"/>
          <w:lang w:eastAsia="cs-CZ"/>
        </w:rPr>
        <w:t xml:space="preserve"> (především projekty mobility).</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r w:rsidRPr="00431A40">
        <w:rPr>
          <w:color w:val="000000"/>
          <w:shd w:val="clear" w:color="auto" w:fill="FFFFFF"/>
          <w:lang w:eastAsia="cs-CZ"/>
        </w:rPr>
        <w:t>Národní programy výzkumu (NFP) ve Švýcarsku jsou v porovnání se zahraniční praxí tematicky užší a výrazně menší. Rozpočty jednotlivých p</w:t>
      </w:r>
      <w:r>
        <w:rPr>
          <w:color w:val="000000"/>
          <w:shd w:val="clear" w:color="auto" w:fill="FFFFFF"/>
          <w:lang w:eastAsia="cs-CZ"/>
        </w:rPr>
        <w:t>rogramů na celou dobu řešení se </w:t>
      </w:r>
      <w:r w:rsidRPr="00431A40">
        <w:rPr>
          <w:color w:val="000000"/>
          <w:shd w:val="clear" w:color="auto" w:fill="FFFFFF"/>
          <w:lang w:eastAsia="cs-CZ"/>
        </w:rPr>
        <w:t>pohybují v rozmezí 10 mil. až 20 mil. CHF. Programy trvají</w:t>
      </w:r>
      <w:r>
        <w:rPr>
          <w:color w:val="000000"/>
          <w:shd w:val="clear" w:color="auto" w:fill="FFFFFF"/>
          <w:lang w:eastAsia="cs-CZ"/>
        </w:rPr>
        <w:t xml:space="preserve"> 6 až 7 let. Návrhy programů se </w:t>
      </w:r>
      <w:r w:rsidRPr="00431A40">
        <w:rPr>
          <w:color w:val="000000"/>
          <w:shd w:val="clear" w:color="auto" w:fill="FFFFFF"/>
          <w:lang w:eastAsia="cs-CZ"/>
        </w:rPr>
        <w:t>připravují způsobem bottom-up. Navrhovatelé je zasílají p</w:t>
      </w:r>
      <w:r>
        <w:rPr>
          <w:color w:val="000000"/>
          <w:shd w:val="clear" w:color="auto" w:fill="FFFFFF"/>
          <w:lang w:eastAsia="cs-CZ"/>
        </w:rPr>
        <w:t>říslušné sekci Ministerstva pro </w:t>
      </w:r>
      <w:r w:rsidRPr="00431A40">
        <w:rPr>
          <w:color w:val="000000"/>
          <w:shd w:val="clear" w:color="auto" w:fill="FFFFFF"/>
          <w:lang w:eastAsia="cs-CZ"/>
        </w:rPr>
        <w:t>hospodářství, vzdělání a výzkum. Po důkladném posouzení vybrané programy předkládá ministerstvo ke schválení vládě. Realizaci programu zabezpečuje SNF. V Tab. č. 14 jsou uvedeny NFP podporované v roce 2015.</w:t>
      </w:r>
    </w:p>
    <w:p w:rsidR="005A63D9" w:rsidRPr="00431A40" w:rsidRDefault="005A63D9" w:rsidP="00431A40">
      <w:pPr>
        <w:widowControl w:val="0"/>
        <w:adjustRightInd w:val="0"/>
        <w:spacing w:afterLines="0"/>
        <w:ind w:firstLine="539"/>
        <w:contextualSpacing w:val="0"/>
        <w:jc w:val="both"/>
        <w:textAlignment w:val="baseline"/>
        <w:rPr>
          <w:color w:val="000000"/>
          <w:shd w:val="clear" w:color="auto" w:fill="FFFFFF"/>
          <w:lang w:eastAsia="cs-CZ"/>
        </w:rPr>
      </w:pPr>
    </w:p>
    <w:p w:rsidR="005A63D9" w:rsidRPr="004C6043" w:rsidRDefault="005A63D9" w:rsidP="004C6043">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14</w:t>
      </w:r>
      <w:r w:rsidRPr="004C6043">
        <w:rPr>
          <w:b/>
          <w:color w:val="000000"/>
          <w:shd w:val="clear" w:color="auto" w:fill="FFFFFF"/>
          <w:lang w:eastAsia="cs-CZ"/>
        </w:rPr>
        <w:t xml:space="preserve"> </w:t>
      </w:r>
      <w:r w:rsidRPr="004C6043">
        <w:rPr>
          <w:color w:val="000000"/>
          <w:shd w:val="clear" w:color="auto" w:fill="FFFFFF"/>
          <w:lang w:eastAsia="cs-CZ"/>
        </w:rPr>
        <w:t>Švýcarské Národní programy výzkumu (NFP) podporované v roce 2013</w:t>
      </w:r>
    </w:p>
    <w:tbl>
      <w:tblPr>
        <w:tblW w:w="5000" w:type="pct"/>
        <w:tblLook w:val="00A0"/>
      </w:tblPr>
      <w:tblGrid>
        <w:gridCol w:w="1731"/>
        <w:gridCol w:w="4978"/>
        <w:gridCol w:w="2578"/>
      </w:tblGrid>
      <w:tr w:rsidR="005A63D9" w:rsidRPr="00E27ED8" w:rsidTr="003F18E9">
        <w:trPr>
          <w:trHeight w:val="283"/>
        </w:trPr>
        <w:tc>
          <w:tcPr>
            <w:tcW w:w="932"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08405A">
            <w:pPr>
              <w:spacing w:after="144"/>
              <w:jc w:val="center"/>
              <w:rPr>
                <w:b/>
                <w:color w:val="000000"/>
                <w:sz w:val="18"/>
                <w:szCs w:val="18"/>
              </w:rPr>
            </w:pPr>
            <w:r w:rsidRPr="00E27ED8">
              <w:rPr>
                <w:b/>
                <w:color w:val="000000"/>
                <w:sz w:val="18"/>
                <w:szCs w:val="18"/>
              </w:rPr>
              <w:t>Označení</w:t>
            </w:r>
          </w:p>
        </w:tc>
        <w:tc>
          <w:tcPr>
            <w:tcW w:w="2679" w:type="pct"/>
            <w:tcBorders>
              <w:top w:val="single" w:sz="12" w:space="0" w:color="auto"/>
              <w:bottom w:val="double" w:sz="4" w:space="0" w:color="auto"/>
            </w:tcBorders>
            <w:shd w:val="clear" w:color="auto" w:fill="BFBFBF"/>
            <w:vAlign w:val="center"/>
          </w:tcPr>
          <w:p w:rsidR="005A63D9" w:rsidRPr="00E27ED8" w:rsidRDefault="005A63D9" w:rsidP="0008405A">
            <w:pPr>
              <w:spacing w:after="144"/>
              <w:jc w:val="center"/>
              <w:rPr>
                <w:b/>
                <w:color w:val="000000"/>
                <w:sz w:val="18"/>
                <w:szCs w:val="18"/>
              </w:rPr>
            </w:pPr>
            <w:r w:rsidRPr="00E27ED8">
              <w:rPr>
                <w:b/>
                <w:color w:val="000000"/>
                <w:sz w:val="18"/>
                <w:szCs w:val="18"/>
              </w:rPr>
              <w:t>Název</w:t>
            </w:r>
          </w:p>
        </w:tc>
        <w:tc>
          <w:tcPr>
            <w:tcW w:w="1388"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spacing w:after="144"/>
              <w:jc w:val="center"/>
              <w:rPr>
                <w:b/>
                <w:color w:val="000000"/>
                <w:sz w:val="18"/>
                <w:szCs w:val="18"/>
              </w:rPr>
            </w:pPr>
            <w:r w:rsidRPr="00E27ED8">
              <w:rPr>
                <w:b/>
                <w:color w:val="000000"/>
                <w:sz w:val="18"/>
                <w:szCs w:val="18"/>
              </w:rPr>
              <w:t>Termíny řešení</w:t>
            </w:r>
          </w:p>
        </w:tc>
      </w:tr>
      <w:tr w:rsidR="005A63D9" w:rsidRPr="00E27ED8" w:rsidTr="003F18E9">
        <w:trPr>
          <w:trHeight w:val="227"/>
        </w:trPr>
        <w:tc>
          <w:tcPr>
            <w:tcW w:w="932"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75</w:t>
            </w:r>
          </w:p>
        </w:tc>
        <w:tc>
          <w:tcPr>
            <w:tcW w:w="2679" w:type="pct"/>
            <w:tcBorders>
              <w:top w:val="doub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„Big Data“</w:t>
            </w:r>
          </w:p>
        </w:tc>
        <w:tc>
          <w:tcPr>
            <w:tcW w:w="1388"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2015–2023</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74</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Zdravotní prevence</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2015–2023</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72</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Antimikrobiálni rezistence</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2015–2020</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71</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Řízení spotřeby energie</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2013–2018</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70</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Reforma energetiky</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2013–2018</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69</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Zdravá výživa a udržitelná produkce potravin</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2012–2016</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68</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Udržitelné využití půdy</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2012–2017</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67</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Konec života</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2011–2016</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66</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Zdroj a surovina dřevo</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2010–2015</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65</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Nová urbánní kvalita</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2010–2015</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64</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Příležitosti a rizika nanomateriálů</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2010–2015</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63</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Kmenové buňky a regenerativní medicína</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2009–2015</w:t>
            </w:r>
          </w:p>
        </w:tc>
      </w:tr>
      <w:tr w:rsidR="005A63D9" w:rsidRPr="00E27ED8" w:rsidTr="003F18E9">
        <w:trPr>
          <w:trHeight w:val="227"/>
        </w:trPr>
        <w:tc>
          <w:tcPr>
            <w:tcW w:w="932"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62</w:t>
            </w:r>
          </w:p>
        </w:tc>
        <w:tc>
          <w:tcPr>
            <w:tcW w:w="2679" w:type="pct"/>
            <w:tcBorders>
              <w:top w:val="single" w:sz="4" w:space="0" w:color="auto"/>
              <w:left w:val="single" w:sz="4" w:space="0" w:color="auto"/>
              <w:bottom w:val="single" w:sz="4"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Inteligentní materiály</w:t>
            </w:r>
          </w:p>
        </w:tc>
        <w:tc>
          <w:tcPr>
            <w:tcW w:w="1388"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08405A">
            <w:pPr>
              <w:spacing w:after="144"/>
              <w:jc w:val="center"/>
              <w:rPr>
                <w:color w:val="000000"/>
              </w:rPr>
            </w:pPr>
            <w:r w:rsidRPr="00E27ED8">
              <w:rPr>
                <w:color w:val="000000"/>
              </w:rPr>
              <w:t>2009–2015</w:t>
            </w:r>
          </w:p>
        </w:tc>
      </w:tr>
      <w:tr w:rsidR="005A63D9" w:rsidRPr="00E27ED8" w:rsidTr="003F18E9">
        <w:trPr>
          <w:trHeight w:val="227"/>
        </w:trPr>
        <w:tc>
          <w:tcPr>
            <w:tcW w:w="932"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NFP 60</w:t>
            </w:r>
          </w:p>
        </w:tc>
        <w:tc>
          <w:tcPr>
            <w:tcW w:w="2679" w:type="pct"/>
            <w:tcBorders>
              <w:top w:val="single" w:sz="4" w:space="0" w:color="auto"/>
              <w:left w:val="single" w:sz="4" w:space="0" w:color="auto"/>
              <w:bottom w:val="single" w:sz="12" w:space="0" w:color="auto"/>
              <w:right w:val="single" w:sz="4" w:space="0" w:color="auto"/>
            </w:tcBorders>
            <w:vAlign w:val="center"/>
          </w:tcPr>
          <w:p w:rsidR="005A63D9" w:rsidRPr="00E27ED8" w:rsidRDefault="005A63D9" w:rsidP="0008405A">
            <w:pPr>
              <w:spacing w:after="144"/>
              <w:jc w:val="center"/>
              <w:rPr>
                <w:color w:val="000000"/>
              </w:rPr>
            </w:pPr>
            <w:r w:rsidRPr="00E27ED8">
              <w:rPr>
                <w:color w:val="000000"/>
              </w:rPr>
              <w:t>Rovnost pohlaví</w:t>
            </w:r>
          </w:p>
        </w:tc>
        <w:tc>
          <w:tcPr>
            <w:tcW w:w="1388"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08405A">
            <w:pPr>
              <w:spacing w:after="144"/>
              <w:jc w:val="center"/>
              <w:rPr>
                <w:color w:val="000000"/>
                <w:vertAlign w:val="superscript"/>
              </w:rPr>
            </w:pPr>
            <w:r w:rsidRPr="00E27ED8">
              <w:rPr>
                <w:color w:val="000000"/>
              </w:rPr>
              <w:t>2010–2014</w:t>
            </w:r>
            <w:r w:rsidRPr="00E27ED8">
              <w:rPr>
                <w:rStyle w:val="FootnoteReference"/>
                <w:rFonts w:cs="Arial"/>
                <w:color w:val="000000"/>
              </w:rPr>
              <w:footnoteReference w:id="19"/>
            </w:r>
            <w:r w:rsidRPr="00E27ED8">
              <w:rPr>
                <w:color w:val="000000"/>
                <w:vertAlign w:val="superscript"/>
              </w:rPr>
              <w:t>)</w:t>
            </w:r>
          </w:p>
        </w:tc>
      </w:tr>
    </w:tbl>
    <w:p w:rsidR="005A63D9" w:rsidRPr="00C77C67" w:rsidRDefault="005A63D9" w:rsidP="0008405A">
      <w:pPr>
        <w:pStyle w:val="ZDROJovan"/>
        <w:spacing w:after="144" w:line="288" w:lineRule="auto"/>
        <w:jc w:val="both"/>
      </w:pPr>
      <w:r w:rsidRPr="00C77C67">
        <w:t>Zdroj: NSF, Liste – Laufende NFP</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Národní priority výzkumu (NFS) jsou určeny pro etablované výzkumné pracovníky, kteří</w:t>
      </w:r>
      <w:r>
        <w:rPr>
          <w:color w:val="000000"/>
          <w:shd w:val="clear" w:color="auto" w:fill="FFFFFF"/>
          <w:lang w:eastAsia="cs-CZ"/>
        </w:rPr>
        <w:t> </w:t>
      </w:r>
      <w:r w:rsidRPr="004C6043">
        <w:rPr>
          <w:color w:val="000000"/>
          <w:shd w:val="clear" w:color="auto" w:fill="FFFFFF"/>
          <w:lang w:eastAsia="cs-CZ"/>
        </w:rPr>
        <w:t xml:space="preserve">by rádi řešili dlouhodobé výzkumné projekty strategického významu. NFS společně řeší pracovníci nejméně dvou vědeckých institucí nebo vysokých škol. Rovněž priority jsou velmi úzce vymezeny. Cílem priorit je zvýšit úroveň kompetenčních center výzkumu na vysokých školách a zintenzivnit jejich vzájemnou spolupráci. </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 xml:space="preserve">Na přípravu priorit vyhlašuje Ministerstvo pro hospodářství, vzdělání a výzkum soutěže. Po posouzení návrhů jsou zpravidla vyhlašovány skupiny priorit (5–8) s </w:t>
      </w:r>
      <w:r>
        <w:rPr>
          <w:color w:val="000000"/>
          <w:shd w:val="clear" w:color="auto" w:fill="FFFFFF"/>
          <w:lang w:eastAsia="cs-CZ"/>
        </w:rPr>
        <w:t>významem pro </w:t>
      </w:r>
      <w:r w:rsidRPr="004C6043">
        <w:rPr>
          <w:color w:val="000000"/>
          <w:shd w:val="clear" w:color="auto" w:fill="FFFFFF"/>
          <w:lang w:eastAsia="cs-CZ"/>
        </w:rPr>
        <w:t xml:space="preserve">Švýcarsko, zpravidla interdisciplinárního charakteru. Finanční rámec pro jednotlivé priority schvaluje parlament. Podpora poskytovaná NFS musí doplněna vlastními zdroji vysoké školy nebo vědecké instituce. </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V současné době se řeší 17 národních priorit výzkumu, žádná z nich nesouvisí s problematikou životního prostředí.</w:t>
      </w:r>
    </w:p>
    <w:p w:rsidR="005A63D9" w:rsidRPr="00442A0C" w:rsidRDefault="005A63D9" w:rsidP="00442A0C">
      <w:pPr>
        <w:pStyle w:val="Heading3"/>
        <w:keepNext/>
        <w:spacing w:before="240" w:afterLines="0" w:line="240" w:lineRule="auto"/>
        <w:contextualSpacing w:val="0"/>
        <w:rPr>
          <w:b w:val="0"/>
          <w:bCs/>
          <w:shd w:val="clear" w:color="auto" w:fill="FFFFFF"/>
          <w:lang/>
        </w:rPr>
      </w:pPr>
      <w:bookmarkStart w:id="93" w:name="_Toc440897418"/>
      <w:bookmarkStart w:id="94" w:name="_Toc441760820"/>
      <w:bookmarkStart w:id="95" w:name="_Toc441849483"/>
      <w:r w:rsidRPr="00442A0C">
        <w:rPr>
          <w:b w:val="0"/>
          <w:bCs/>
          <w:shd w:val="clear" w:color="auto" w:fill="FFFFFF"/>
          <w:lang/>
        </w:rPr>
        <w:t>Komise pro technologie a inovace</w:t>
      </w:r>
      <w:bookmarkEnd w:id="93"/>
      <w:bookmarkEnd w:id="94"/>
      <w:bookmarkEnd w:id="95"/>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(Kommision für Technologie und Innovation – www.kti.admin.ch)</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Komise podporuje aplikovaný výzkum, experimentální vývoj a inovace čtyřmi hlavními nástroji: Podpora projektů VaV; Start-up a podnikání; Transfer technologií a poznatků; Program Energie. Návrhy standardních projektů VaV mohou být předkládány v 7 hlavních oblastech:</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Výrobní technologie</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Materiálové technologie</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Mechanical and Thermal Engineering</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Electrical Engineering</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Civil Engineering</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Chemical Engineering</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Technologie životního prostředí, ekologie</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Program Energie má zvláštní postavení, zabezpečuje VaVaI podporu cíli spolkové vlády a parlamentu „vystoupit“ do roku 2035 z jaderné e</w:t>
      </w:r>
      <w:r>
        <w:rPr>
          <w:color w:val="000000"/>
          <w:shd w:val="clear" w:color="auto" w:fill="FFFFFF"/>
          <w:lang w:eastAsia="cs-CZ"/>
        </w:rPr>
        <w:t>nergie. KTI financuje zřízení a </w:t>
      </w:r>
      <w:r w:rsidRPr="004C6043">
        <w:rPr>
          <w:color w:val="000000"/>
          <w:shd w:val="clear" w:color="auto" w:fill="FFFFFF"/>
          <w:lang w:eastAsia="cs-CZ"/>
        </w:rPr>
        <w:t>činnost centra kompetence „Swiss Competence Center for En</w:t>
      </w:r>
      <w:r>
        <w:rPr>
          <w:color w:val="000000"/>
          <w:shd w:val="clear" w:color="auto" w:fill="FFFFFF"/>
          <w:lang w:eastAsia="cs-CZ"/>
        </w:rPr>
        <w:t>ergy Research (SCCER)“ v </w:t>
      </w:r>
      <w:r w:rsidRPr="004C6043">
        <w:rPr>
          <w:color w:val="000000"/>
          <w:shd w:val="clear" w:color="auto" w:fill="FFFFFF"/>
          <w:lang w:eastAsia="cs-CZ"/>
        </w:rPr>
        <w:t>období 2013–2016 částkou 72 mil. CHF. Dalšími 46 mil. CHF Komise ve stejném období podporuje standardní projekty VaV v oblasti energetiky.</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 xml:space="preserve">V listopadu 2015 předložila spolková vláda parlamentu </w:t>
      </w:r>
      <w:r>
        <w:rPr>
          <w:color w:val="000000"/>
          <w:shd w:val="clear" w:color="auto" w:fill="FFFFFF"/>
          <w:lang w:eastAsia="cs-CZ"/>
        </w:rPr>
        <w:t>návrh zákona o inovacích, který </w:t>
      </w:r>
      <w:r w:rsidRPr="004C6043">
        <w:rPr>
          <w:color w:val="000000"/>
          <w:shd w:val="clear" w:color="auto" w:fill="FFFFFF"/>
          <w:lang w:eastAsia="cs-CZ"/>
        </w:rPr>
        <w:t>posiluje samostatnost a odpovědnost KTI. KTI se</w:t>
      </w:r>
      <w:r>
        <w:rPr>
          <w:color w:val="000000"/>
          <w:shd w:val="clear" w:color="auto" w:fill="FFFFFF"/>
          <w:lang w:eastAsia="cs-CZ"/>
        </w:rPr>
        <w:t xml:space="preserve"> po schválení zákona formálně a </w:t>
      </w:r>
      <w:r w:rsidRPr="004C6043">
        <w:rPr>
          <w:color w:val="000000"/>
          <w:shd w:val="clear" w:color="auto" w:fill="FFFFFF"/>
          <w:lang w:eastAsia="cs-CZ"/>
        </w:rPr>
        <w:t>rozpočtově dostane na úroveň Švýcarského národního fondu pro podporu vědeckého výzkumu (SNF).</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p>
    <w:p w:rsidR="005A63D9" w:rsidRPr="004C6043" w:rsidRDefault="005A63D9" w:rsidP="004C6043">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96" w:name="_Toc440897419"/>
      <w:bookmarkStart w:id="97" w:name="_Toc441760821"/>
      <w:bookmarkStart w:id="98" w:name="_Toc441849484"/>
      <w:r w:rsidRPr="004C6043">
        <w:rPr>
          <w:rFonts w:cs="Arial"/>
          <w:bCs/>
          <w:iCs/>
          <w:color w:val="000000"/>
          <w:shd w:val="clear" w:color="auto" w:fill="FFFFFF"/>
          <w:lang/>
        </w:rPr>
        <w:t>3.3. Instituce a organizace zabývající se VaV v oblasti životního prostředí</w:t>
      </w:r>
      <w:bookmarkEnd w:id="96"/>
      <w:bookmarkEnd w:id="97"/>
      <w:bookmarkEnd w:id="98"/>
    </w:p>
    <w:p w:rsidR="005A63D9" w:rsidRPr="00442A0C" w:rsidRDefault="005A63D9" w:rsidP="00442A0C">
      <w:pPr>
        <w:pStyle w:val="Heading3"/>
        <w:keepNext/>
        <w:spacing w:before="240" w:afterLines="0" w:line="240" w:lineRule="auto"/>
        <w:contextualSpacing w:val="0"/>
        <w:rPr>
          <w:bCs/>
          <w:shd w:val="clear" w:color="auto" w:fill="FFFFFF"/>
          <w:lang/>
        </w:rPr>
      </w:pPr>
      <w:bookmarkStart w:id="99" w:name="_Toc440897420"/>
      <w:bookmarkStart w:id="100" w:name="_Toc441760822"/>
      <w:bookmarkStart w:id="101" w:name="_Toc441849485"/>
      <w:r w:rsidRPr="00442A0C">
        <w:rPr>
          <w:bCs/>
          <w:shd w:val="clear" w:color="auto" w:fill="FFFFFF"/>
          <w:lang/>
        </w:rPr>
        <w:t>Švýcarský výzkumný ústav pro lesy, sníh a krajinu</w:t>
      </w:r>
      <w:bookmarkEnd w:id="99"/>
      <w:bookmarkEnd w:id="100"/>
      <w:bookmarkEnd w:id="101"/>
    </w:p>
    <w:p w:rsidR="005A63D9" w:rsidRPr="004C6043" w:rsidRDefault="005A63D9" w:rsidP="004C6043">
      <w:pPr>
        <w:widowControl w:val="0"/>
        <w:adjustRightInd w:val="0"/>
        <w:spacing w:afterLines="0"/>
        <w:contextualSpacing w:val="0"/>
        <w:jc w:val="both"/>
        <w:textAlignment w:val="baseline"/>
        <w:rPr>
          <w:color w:val="000000"/>
          <w:lang w:eastAsia="cs-CZ"/>
        </w:rPr>
      </w:pPr>
      <w:r w:rsidRPr="004C6043">
        <w:rPr>
          <w:color w:val="000000"/>
          <w:shd w:val="clear" w:color="auto" w:fill="FFFFFF"/>
          <w:lang w:eastAsia="cs-CZ"/>
        </w:rPr>
        <w:t>(Eidgenössischer Forschungsanstalt für Wald, Schnee und Landschaft, WSL – www.wsl.ch</w:t>
      </w:r>
      <w:r w:rsidRPr="004C6043">
        <w:rPr>
          <w:color w:val="000000"/>
          <w:lang w:eastAsia="cs-CZ"/>
        </w:rPr>
        <w:t>)</w:t>
      </w:r>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Ústav podle nařízení Rady ETH plní následující výzkumné úkoly: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Výzkum krajiny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Ekologie lesů a management lesů</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Výzkum přírodních nebezpečí a management rizik</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Sníh, led, laviny a permafrost</w:t>
      </w:r>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V rámci svých možnosti poskytuje WSL následující služby: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Zabezpečuje lavinovou službu a informuje veřejnost o lavinových nebezpečích;</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Zajišťuje odborné zázemí pro zdraví švýcarských lesů podle právního nařízení;</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Zabezpečuje výzkumnou část boje proti lesním škůdcům.</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Ústav měl v roce 2014 celkem 540 pracovníků (z toho 204 žen). Ústav má několik lokálních pracovišť. Hlavní sídlo v Birmensdorfu má 350 pracovníku a zbytek na třech dalších pracovištích. Národnostně je složení pracovníků velice rozmanité. V ústavu v roce 2014 působili pracovníci z 20 zemí.</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Ústav vede šestičlenné ředitelství (ředitel, zástupce ředitel</w:t>
      </w:r>
      <w:r>
        <w:rPr>
          <w:color w:val="000000"/>
          <w:shd w:val="clear" w:color="auto" w:fill="FFFFFF"/>
          <w:lang w:eastAsia="cs-CZ"/>
        </w:rPr>
        <w:t>e</w:t>
      </w:r>
      <w:r w:rsidRPr="004C6043">
        <w:rPr>
          <w:color w:val="000000"/>
          <w:shd w:val="clear" w:color="auto" w:fill="FFFFFF"/>
          <w:lang w:eastAsia="cs-CZ"/>
        </w:rPr>
        <w:t xml:space="preserve"> a čtyři další členové). Ústav má sekci výzkumu s 10 výzkumnými odděleními (Forschungseinheiten) a 6 odděleními pro aktuální výzkumné programy a sekci plánování a logistiky se 7 odděleními.</w:t>
      </w:r>
    </w:p>
    <w:p w:rsidR="005A63D9" w:rsidRPr="004C6043" w:rsidRDefault="005A63D9" w:rsidP="004C6043">
      <w:pPr>
        <w:widowControl w:val="0"/>
        <w:adjustRightInd w:val="0"/>
        <w:spacing w:afterLines="0"/>
        <w:contextualSpacing w:val="0"/>
        <w:jc w:val="both"/>
        <w:textAlignment w:val="baseline"/>
        <w:rPr>
          <w:color w:val="000000"/>
          <w:u w:val="single"/>
          <w:shd w:val="clear" w:color="auto" w:fill="FFFFFF"/>
          <w:lang w:eastAsia="cs-CZ"/>
        </w:rPr>
      </w:pPr>
      <w:r w:rsidRPr="004C6043">
        <w:rPr>
          <w:color w:val="000000"/>
          <w:u w:val="single"/>
          <w:shd w:val="clear" w:color="auto" w:fill="FFFFFF"/>
          <w:lang w:eastAsia="cs-CZ"/>
        </w:rPr>
        <w:t>Sekce výzkumu</w:t>
      </w:r>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Výzkumná oddělení:</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Lesní zdroje a management lesů</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Dynamika lesů</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Lesní půda a bio-geochemie</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Ekologie a živá společenství (komunity)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Biodiverzita a biologie ochrany přírody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 xml:space="preserve">Dynamika krajiny </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Hydrologie hor</w:t>
      </w:r>
      <w:r>
        <w:rPr>
          <w:color w:val="000000"/>
          <w:shd w:val="clear" w:color="auto" w:fill="FFFFFF"/>
          <w:lang w:eastAsia="cs-CZ"/>
        </w:rPr>
        <w:t>,</w:t>
      </w:r>
      <w:r w:rsidRPr="004C6043">
        <w:rPr>
          <w:color w:val="000000"/>
          <w:shd w:val="clear" w:color="auto" w:fill="FFFFFF"/>
          <w:lang w:eastAsia="cs-CZ"/>
        </w:rPr>
        <w:t xml:space="preserve"> pohyby velkých hmot (sesuvy půdy)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Laviny a prevence</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Sníh a permafrost</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Ekonomické a společenské vědy</w:t>
      </w:r>
    </w:p>
    <w:p w:rsidR="005A63D9" w:rsidRPr="004C6043"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color w:val="000000"/>
          <w:shd w:val="clear" w:color="auto" w:fill="FFFFFF"/>
          <w:lang w:eastAsia="cs-CZ"/>
        </w:rPr>
        <w:t>Oddělení (jednotky) pro aktuální výzkumné programy:</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Inventarizace lesů</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Dlouhodobý výzkum lesního eko-systému</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Lesy a změny klimatu</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RAMMS Rapid Mass Movements (software pro předvídání lavin, sesuvů půdy, padání skal a hodnocení ochranných opatření)</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Prostorové nároky člověka kontra příroda</w:t>
      </w:r>
    </w:p>
    <w:p w:rsidR="005A63D9" w:rsidRPr="004C6043" w:rsidRDefault="005A63D9" w:rsidP="004C6043">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C6043">
        <w:rPr>
          <w:color w:val="000000"/>
          <w:shd w:val="clear" w:color="auto" w:fill="FFFFFF"/>
          <w:lang w:eastAsia="cs-CZ"/>
        </w:rPr>
        <w:t>Energy Change Impact</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Od roku 2012 ústav nezveřejňuje výroční zpráv</w:t>
      </w:r>
      <w:r>
        <w:rPr>
          <w:color w:val="000000"/>
          <w:shd w:val="clear" w:color="auto" w:fill="FFFFFF"/>
          <w:lang w:eastAsia="cs-CZ"/>
        </w:rPr>
        <w:t>y. Hlavní data za minulý rok se </w:t>
      </w:r>
      <w:r w:rsidRPr="004C6043">
        <w:rPr>
          <w:color w:val="000000"/>
          <w:shd w:val="clear" w:color="auto" w:fill="FFFFFF"/>
          <w:lang w:eastAsia="cs-CZ"/>
        </w:rPr>
        <w:t>zveřejňují v časopisu ústavu WSL – Magazin Diagonal, v prvním čísle následujícího roku.</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p>
    <w:p w:rsidR="005A63D9" w:rsidRPr="004D7A56" w:rsidRDefault="005A63D9" w:rsidP="004C6043">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15</w:t>
      </w:r>
      <w:r w:rsidRPr="004C6043">
        <w:rPr>
          <w:b/>
          <w:color w:val="000000"/>
          <w:shd w:val="clear" w:color="auto" w:fill="FFFFFF"/>
          <w:lang w:eastAsia="cs-CZ"/>
        </w:rPr>
        <w:t xml:space="preserve"> </w:t>
      </w:r>
      <w:r w:rsidRPr="004D7A56">
        <w:rPr>
          <w:color w:val="000000"/>
          <w:shd w:val="clear" w:color="auto" w:fill="FFFFFF"/>
          <w:lang w:eastAsia="cs-CZ"/>
        </w:rPr>
        <w:t>Vývoj příjmů WSL</w:t>
      </w:r>
    </w:p>
    <w:tbl>
      <w:tblPr>
        <w:tblW w:w="5000" w:type="pct"/>
        <w:tblLook w:val="00A0"/>
      </w:tblPr>
      <w:tblGrid>
        <w:gridCol w:w="3038"/>
        <w:gridCol w:w="1051"/>
        <w:gridCol w:w="1051"/>
        <w:gridCol w:w="994"/>
        <w:gridCol w:w="1051"/>
        <w:gridCol w:w="1051"/>
        <w:gridCol w:w="1051"/>
      </w:tblGrid>
      <w:tr w:rsidR="005A63D9" w:rsidRPr="00E27ED8" w:rsidTr="007601CC">
        <w:tc>
          <w:tcPr>
            <w:tcW w:w="1635" w:type="pct"/>
            <w:vMerge w:val="restart"/>
            <w:tcBorders>
              <w:top w:val="single" w:sz="12" w:space="0" w:color="auto"/>
              <w:left w:val="single" w:sz="12" w:space="0" w:color="auto"/>
              <w:right w:val="single" w:sz="12" w:space="0" w:color="auto"/>
            </w:tcBorders>
            <w:shd w:val="clear" w:color="auto" w:fill="BFBFBF"/>
            <w:vAlign w:val="center"/>
          </w:tcPr>
          <w:p w:rsidR="005A63D9" w:rsidRPr="00EC5A7A" w:rsidRDefault="005A63D9" w:rsidP="0008405A">
            <w:pPr>
              <w:spacing w:after="144"/>
              <w:jc w:val="both"/>
              <w:rPr>
                <w:b/>
                <w:color w:val="000000"/>
                <w:sz w:val="18"/>
                <w:szCs w:val="18"/>
                <w:highlight w:val="lightGray"/>
                <w:shd w:val="clear" w:color="auto" w:fill="FFFFFF"/>
              </w:rPr>
            </w:pPr>
          </w:p>
        </w:tc>
        <w:tc>
          <w:tcPr>
            <w:tcW w:w="1132"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2012</w:t>
            </w:r>
          </w:p>
        </w:tc>
        <w:tc>
          <w:tcPr>
            <w:tcW w:w="1101"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2013</w:t>
            </w:r>
          </w:p>
        </w:tc>
        <w:tc>
          <w:tcPr>
            <w:tcW w:w="1132"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2014</w:t>
            </w:r>
          </w:p>
        </w:tc>
      </w:tr>
      <w:tr w:rsidR="005A63D9" w:rsidRPr="00E27ED8" w:rsidTr="007601CC">
        <w:tc>
          <w:tcPr>
            <w:tcW w:w="1635" w:type="pct"/>
            <w:vMerge/>
            <w:tcBorders>
              <w:left w:val="single" w:sz="12" w:space="0" w:color="auto"/>
              <w:bottom w:val="double" w:sz="4" w:space="0" w:color="auto"/>
              <w:right w:val="single" w:sz="12" w:space="0" w:color="auto"/>
            </w:tcBorders>
            <w:shd w:val="clear" w:color="auto" w:fill="BFBFBF"/>
          </w:tcPr>
          <w:p w:rsidR="005A63D9" w:rsidRPr="00EC5A7A" w:rsidRDefault="005A63D9" w:rsidP="0008405A">
            <w:pPr>
              <w:spacing w:after="144"/>
              <w:jc w:val="both"/>
              <w:rPr>
                <w:color w:val="000000"/>
                <w:sz w:val="20"/>
                <w:szCs w:val="20"/>
                <w:highlight w:val="lightGray"/>
                <w:shd w:val="clear" w:color="auto" w:fill="FFFFFF"/>
              </w:rPr>
            </w:pPr>
          </w:p>
        </w:tc>
        <w:tc>
          <w:tcPr>
            <w:tcW w:w="566"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c>
          <w:tcPr>
            <w:tcW w:w="535"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c>
          <w:tcPr>
            <w:tcW w:w="566"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r>
      <w:tr w:rsidR="005A63D9" w:rsidRPr="00E27ED8" w:rsidTr="003F18E9">
        <w:tc>
          <w:tcPr>
            <w:tcW w:w="1635" w:type="pct"/>
            <w:tcBorders>
              <w:top w:val="doub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rPr>
            </w:pPr>
            <w:r w:rsidRPr="00E27ED8">
              <w:rPr>
                <w:color w:val="000000"/>
                <w:sz w:val="20"/>
                <w:szCs w:val="20"/>
                <w:shd w:val="clear" w:color="auto" w:fill="FFFFFF"/>
              </w:rPr>
              <w:t>Institucionální podpora</w:t>
            </w:r>
          </w:p>
        </w:tc>
        <w:tc>
          <w:tcPr>
            <w:tcW w:w="566"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54,448</w:t>
            </w:r>
          </w:p>
        </w:tc>
        <w:tc>
          <w:tcPr>
            <w:tcW w:w="566"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68,6</w:t>
            </w:r>
          </w:p>
        </w:tc>
        <w:tc>
          <w:tcPr>
            <w:tcW w:w="535"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55,041</w:t>
            </w:r>
          </w:p>
        </w:tc>
        <w:tc>
          <w:tcPr>
            <w:tcW w:w="566"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66,6</w:t>
            </w:r>
          </w:p>
        </w:tc>
        <w:tc>
          <w:tcPr>
            <w:tcW w:w="566" w:type="pct"/>
            <w:tcBorders>
              <w:top w:val="doub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53,106</w:t>
            </w:r>
          </w:p>
        </w:tc>
        <w:tc>
          <w:tcPr>
            <w:tcW w:w="566" w:type="pct"/>
            <w:tcBorders>
              <w:top w:val="doub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64,6</w:t>
            </w:r>
          </w:p>
        </w:tc>
      </w:tr>
      <w:tr w:rsidR="005A63D9" w:rsidRPr="00E27ED8" w:rsidTr="003F18E9">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vertAlign w:val="superscript"/>
              </w:rPr>
            </w:pPr>
            <w:r w:rsidRPr="00E27ED8">
              <w:rPr>
                <w:color w:val="000000"/>
                <w:sz w:val="20"/>
                <w:szCs w:val="20"/>
                <w:shd w:val="clear" w:color="auto" w:fill="FFFFFF"/>
              </w:rPr>
              <w:t>Centre Competence CCES</w:t>
            </w:r>
            <w:r w:rsidRPr="00E27ED8">
              <w:rPr>
                <w:rStyle w:val="FootnoteReference"/>
                <w:rFonts w:cs="Arial"/>
                <w:color w:val="000000"/>
                <w:sz w:val="20"/>
                <w:szCs w:val="20"/>
                <w:shd w:val="clear" w:color="auto" w:fill="FFFFFF"/>
              </w:rPr>
              <w:footnoteReference w:id="20"/>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0,471</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0,6</w:t>
            </w:r>
          </w:p>
        </w:tc>
        <w:tc>
          <w:tcPr>
            <w:tcW w:w="535"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0,576</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0,7</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0,969</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1,1</w:t>
            </w:r>
          </w:p>
        </w:tc>
      </w:tr>
      <w:tr w:rsidR="005A63D9" w:rsidRPr="00E27ED8" w:rsidTr="003F18E9">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vertAlign w:val="superscript"/>
              </w:rPr>
            </w:pPr>
            <w:r w:rsidRPr="00E27ED8">
              <w:rPr>
                <w:color w:val="000000"/>
                <w:sz w:val="20"/>
                <w:szCs w:val="20"/>
                <w:shd w:val="clear" w:color="auto" w:fill="FFFFFF"/>
              </w:rPr>
              <w:t>Účelová podpora</w:t>
            </w:r>
            <w:r w:rsidRPr="00E27ED8">
              <w:rPr>
                <w:rStyle w:val="FootnoteReference"/>
                <w:rFonts w:cs="Arial"/>
                <w:color w:val="000000"/>
                <w:sz w:val="20"/>
                <w:szCs w:val="20"/>
                <w:shd w:val="clear" w:color="auto" w:fill="FFFFFF"/>
              </w:rPr>
              <w:footnoteReference w:id="21"/>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17,557</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22,1</w:t>
            </w:r>
          </w:p>
        </w:tc>
        <w:tc>
          <w:tcPr>
            <w:tcW w:w="535"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20,896</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25,2</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22,269</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27,1</w:t>
            </w:r>
          </w:p>
        </w:tc>
      </w:tr>
      <w:tr w:rsidR="005A63D9" w:rsidRPr="00E27ED8" w:rsidTr="003F18E9">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rPr>
            </w:pPr>
            <w:r w:rsidRPr="00E27ED8">
              <w:rPr>
                <w:color w:val="000000"/>
                <w:sz w:val="20"/>
                <w:szCs w:val="20"/>
                <w:shd w:val="clear" w:color="auto" w:fill="FFFFFF"/>
              </w:rPr>
              <w:t>Třetí prostředky</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4,567</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5,8</w:t>
            </w:r>
          </w:p>
        </w:tc>
        <w:tc>
          <w:tcPr>
            <w:tcW w:w="535"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3,292</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4,0</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3,035</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3,7</w:t>
            </w:r>
          </w:p>
        </w:tc>
      </w:tr>
      <w:tr w:rsidR="005A63D9" w:rsidRPr="00E27ED8" w:rsidTr="003F18E9">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rPr>
            </w:pPr>
            <w:r w:rsidRPr="00E27ED8">
              <w:rPr>
                <w:color w:val="000000"/>
                <w:sz w:val="20"/>
                <w:szCs w:val="20"/>
                <w:shd w:val="clear" w:color="auto" w:fill="FFFFFF"/>
              </w:rPr>
              <w:t>Další příjmy</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2,382</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3,0</w:t>
            </w:r>
          </w:p>
        </w:tc>
        <w:tc>
          <w:tcPr>
            <w:tcW w:w="535"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2,800</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3,4</w:t>
            </w:r>
          </w:p>
        </w:tc>
        <w:tc>
          <w:tcPr>
            <w:tcW w:w="566" w:type="pct"/>
            <w:tcBorders>
              <w:top w:val="single" w:sz="4" w:space="0" w:color="auto"/>
              <w:left w:val="single" w:sz="12" w:space="0" w:color="auto"/>
              <w:bottom w:val="single" w:sz="4" w:space="0" w:color="auto"/>
              <w:right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2,825</w:t>
            </w:r>
          </w:p>
        </w:tc>
        <w:tc>
          <w:tcPr>
            <w:tcW w:w="566" w:type="pct"/>
            <w:tcBorders>
              <w:top w:val="single" w:sz="4" w:space="0" w:color="auto"/>
              <w:left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3,4</w:t>
            </w:r>
          </w:p>
        </w:tc>
      </w:tr>
      <w:tr w:rsidR="005A63D9" w:rsidRPr="00E27ED8" w:rsidTr="003F18E9">
        <w:tc>
          <w:tcPr>
            <w:tcW w:w="1635" w:type="pct"/>
            <w:tcBorders>
              <w:top w:val="single" w:sz="4" w:space="0" w:color="auto"/>
              <w:left w:val="single" w:sz="12" w:space="0" w:color="auto"/>
              <w:bottom w:val="single" w:sz="12" w:space="0" w:color="auto"/>
              <w:right w:val="single" w:sz="12" w:space="0" w:color="auto"/>
            </w:tcBorders>
          </w:tcPr>
          <w:p w:rsidR="005A63D9" w:rsidRPr="00E27ED8" w:rsidRDefault="005A63D9" w:rsidP="0008405A">
            <w:pPr>
              <w:spacing w:after="144"/>
              <w:jc w:val="both"/>
              <w:rPr>
                <w:b/>
                <w:color w:val="000000"/>
                <w:sz w:val="20"/>
                <w:szCs w:val="20"/>
                <w:shd w:val="clear" w:color="auto" w:fill="FFFFFF"/>
              </w:rPr>
            </w:pPr>
            <w:r w:rsidRPr="00E27ED8">
              <w:rPr>
                <w:b/>
                <w:color w:val="000000"/>
                <w:sz w:val="20"/>
                <w:szCs w:val="20"/>
                <w:shd w:val="clear" w:color="auto" w:fill="FFFFFF"/>
              </w:rPr>
              <w:t>CELKEM</w:t>
            </w:r>
          </w:p>
        </w:tc>
        <w:tc>
          <w:tcPr>
            <w:tcW w:w="566"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79,425</w:t>
            </w:r>
          </w:p>
        </w:tc>
        <w:tc>
          <w:tcPr>
            <w:tcW w:w="566"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c>
          <w:tcPr>
            <w:tcW w:w="535"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82,697</w:t>
            </w:r>
          </w:p>
        </w:tc>
        <w:tc>
          <w:tcPr>
            <w:tcW w:w="566"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c>
          <w:tcPr>
            <w:tcW w:w="566" w:type="pct"/>
            <w:tcBorders>
              <w:top w:val="single" w:sz="4" w:space="0" w:color="auto"/>
              <w:left w:val="single" w:sz="12" w:space="0" w:color="auto"/>
              <w:bottom w:val="single" w:sz="12" w:space="0" w:color="auto"/>
              <w:right w:val="single" w:sz="4"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82,204</w:t>
            </w:r>
          </w:p>
        </w:tc>
        <w:tc>
          <w:tcPr>
            <w:tcW w:w="566" w:type="pct"/>
            <w:tcBorders>
              <w:top w:val="single" w:sz="4" w:space="0" w:color="auto"/>
              <w:left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r>
    </w:tbl>
    <w:p w:rsidR="005A63D9" w:rsidRPr="001D423A" w:rsidRDefault="005A63D9" w:rsidP="0008405A">
      <w:pPr>
        <w:pStyle w:val="ZDROJovan"/>
        <w:spacing w:after="144" w:line="288" w:lineRule="auto"/>
        <w:jc w:val="both"/>
      </w:pPr>
      <w:r w:rsidRPr="007601CC">
        <w:t xml:space="preserve">Zdroj: Webová stránka WSL – Kennzahlen; www.wsl.ch. </w:t>
      </w: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p>
    <w:p w:rsidR="005A63D9" w:rsidRPr="004C6043" w:rsidRDefault="005A63D9" w:rsidP="004C6043">
      <w:pPr>
        <w:widowControl w:val="0"/>
        <w:adjustRightInd w:val="0"/>
        <w:spacing w:afterLines="0"/>
        <w:ind w:firstLine="539"/>
        <w:contextualSpacing w:val="0"/>
        <w:jc w:val="both"/>
        <w:textAlignment w:val="baseline"/>
        <w:rPr>
          <w:color w:val="000000"/>
          <w:shd w:val="clear" w:color="auto" w:fill="FFFFFF"/>
          <w:lang w:eastAsia="cs-CZ"/>
        </w:rPr>
      </w:pPr>
      <w:r w:rsidRPr="004C6043">
        <w:rPr>
          <w:color w:val="000000"/>
          <w:shd w:val="clear" w:color="auto" w:fill="FFFFFF"/>
          <w:lang w:eastAsia="cs-CZ"/>
        </w:rPr>
        <w:t>Celková roční podpora WSL se pohybuje kolem 80 mil. CHF/rok. Institucionální podpora mírně klesá, ale stále ještě tvoří více než dvě třetiny celkových příjmů WSL. Pokles institucionální podpory je částečně kompenzován růstem podpory účelové.</w:t>
      </w:r>
    </w:p>
    <w:p w:rsidR="005A63D9" w:rsidRPr="00442A0C" w:rsidRDefault="005A63D9" w:rsidP="00442A0C">
      <w:pPr>
        <w:pStyle w:val="Heading3"/>
        <w:keepNext/>
        <w:spacing w:before="240" w:afterLines="0" w:line="240" w:lineRule="auto"/>
        <w:contextualSpacing w:val="0"/>
        <w:rPr>
          <w:bCs/>
          <w:shd w:val="clear" w:color="auto" w:fill="FFFFFF"/>
          <w:lang/>
        </w:rPr>
      </w:pPr>
      <w:bookmarkStart w:id="102" w:name="_Toc440897421"/>
      <w:bookmarkStart w:id="103" w:name="_Toc441760823"/>
      <w:bookmarkStart w:id="104" w:name="_Toc441849486"/>
      <w:r w:rsidRPr="00442A0C">
        <w:rPr>
          <w:bCs/>
          <w:shd w:val="clear" w:color="auto" w:fill="FFFFFF"/>
          <w:lang/>
        </w:rPr>
        <w:t>Švýcarský institut pro zásobování vodou, čištění odpadních vod a ochranu spodních vod</w:t>
      </w:r>
      <w:bookmarkEnd w:id="102"/>
      <w:bookmarkEnd w:id="103"/>
      <w:bookmarkEnd w:id="104"/>
    </w:p>
    <w:p w:rsidR="005A63D9" w:rsidRPr="004D7A56" w:rsidRDefault="005A63D9" w:rsidP="004D7A56">
      <w:pPr>
        <w:widowControl w:val="0"/>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(Eidgenössische Anstalt für Wasserversorgung, Abwasserreinigung und Gewässerschutz, Eawag – www.eawag.ch)</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Eawag rovněž patří do oblasti (skupiny ETH). Ústav sídlí v Dübendorfu. Eawag se zabývá koncepcemi a technologiemi pro udržitelná zacházení s vodními zdroji. Ve spolupráci s univerzitami, výzkumnými ústavy, nevládními organizacemi a podniky hledá optimální řešení střetů ekologických, hospodářských a společenských zájmů. Eawag svými aktivitami propojuje výzkum a praxi.</w:t>
      </w:r>
    </w:p>
    <w:p w:rsidR="005A63D9" w:rsidRPr="004D7A56" w:rsidRDefault="005A63D9" w:rsidP="007719A7">
      <w:pPr>
        <w:keepNext/>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 xml:space="preserve">Ústav se podle nařízení Rady ETH ze srpna 2011 v období 2013 - </w:t>
      </w:r>
      <w:r>
        <w:rPr>
          <w:color w:val="000000"/>
          <w:shd w:val="clear" w:color="auto" w:fill="FFFFFF"/>
          <w:lang w:eastAsia="cs-CZ"/>
        </w:rPr>
        <w:t>2016 zaměřuje na </w:t>
      </w:r>
      <w:r w:rsidRPr="004D7A56">
        <w:rPr>
          <w:color w:val="000000"/>
          <w:shd w:val="clear" w:color="auto" w:fill="FFFFFF"/>
          <w:lang w:eastAsia="cs-CZ"/>
        </w:rPr>
        <w:t>následující priority:</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Voda pro zdraví a spokojenost</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Voda pro fungování ekosystémů</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Výzkum a vývoj strategií řešení uživatelských konfliktů</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Eawag vede šestičlenné ředitelství (ředitel, zástupce ředit</w:t>
      </w:r>
      <w:r>
        <w:rPr>
          <w:color w:val="000000"/>
          <w:shd w:val="clear" w:color="auto" w:fill="FFFFFF"/>
          <w:lang w:eastAsia="cs-CZ"/>
        </w:rPr>
        <w:t>ele a čtyři další členové). Tři </w:t>
      </w:r>
      <w:r w:rsidRPr="004D7A56">
        <w:rPr>
          <w:color w:val="000000"/>
          <w:shd w:val="clear" w:color="auto" w:fill="FFFFFF"/>
          <w:lang w:eastAsia="cs-CZ"/>
        </w:rPr>
        <w:t>členové ředitelství jsou univerzitními profesory. Ředitelka Janet Hering je profesorkou bio-geochemie na ETH Curych a profesorkou chemie životního prostředí na EPF Lausanne. Ústav má sekci výzkumu s 12 výzkumnými odděleními (Forschungseinheiten) a sekci plánování a logistiky se 7 odděleními. Ústav má 12 člennou poradní komisi složenou z externích špičkových odborníků a několik tematických komisí pro hlavní úkoly ústavu, složených z pracovníků ústavu. Eawag se výrazně podílí na různých formách vzdělávání odborníků pro problematiku vody.</w:t>
      </w:r>
    </w:p>
    <w:p w:rsidR="005A63D9" w:rsidRPr="004D7A56" w:rsidRDefault="005A63D9" w:rsidP="004D7A56">
      <w:pPr>
        <w:widowControl w:val="0"/>
        <w:adjustRightInd w:val="0"/>
        <w:spacing w:afterLines="0"/>
        <w:contextualSpacing w:val="0"/>
        <w:jc w:val="both"/>
        <w:textAlignment w:val="baseline"/>
        <w:rPr>
          <w:color w:val="000000"/>
          <w:u w:val="single"/>
          <w:shd w:val="clear" w:color="auto" w:fill="FFFFFF"/>
          <w:lang w:eastAsia="cs-CZ"/>
        </w:rPr>
      </w:pPr>
      <w:r w:rsidRPr="004D7A56">
        <w:rPr>
          <w:color w:val="000000"/>
          <w:u w:val="single"/>
          <w:shd w:val="clear" w:color="auto" w:fill="FFFFFF"/>
          <w:lang w:eastAsia="cs-CZ"/>
        </w:rPr>
        <w:t>Sekce výzkumu</w:t>
      </w:r>
    </w:p>
    <w:p w:rsidR="005A63D9" w:rsidRPr="004D7A56" w:rsidRDefault="005A63D9" w:rsidP="004D7A56">
      <w:pPr>
        <w:widowControl w:val="0"/>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Výzkumná oddělení: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Povrchové vody</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Vodní ekologie</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Ekologie a evoluce rybářství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Chemie životního prostředí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Mikrobiologie životního prostředí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Toxikologie životního prostředí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Vodní zdroje a pitná voda</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Procesní inženýrství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Vodní hospodářství sídlišť</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Hygiena sídlišť a voda pro jejich rozvoj</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Systémové analýzy a modelování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Společenské vědy o (pro) životním prostředí</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Eawag měl v roce 2014 491 pracovníků (z toho 245 žen): 26 vysokoškolských profesorů, 190 vědeckých pracovníků, 94 doktorandů; další personál.</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V Tab. č. 16 je uveden vývoj příjmů v letech 2012–2014. Eawag na rozdíl</w:t>
      </w:r>
      <w:r>
        <w:rPr>
          <w:color w:val="000000"/>
          <w:shd w:val="clear" w:color="auto" w:fill="FFFFFF"/>
          <w:lang w:eastAsia="cs-CZ"/>
        </w:rPr>
        <w:t xml:space="preserve"> od </w:t>
      </w:r>
      <w:r w:rsidRPr="004D7A56">
        <w:rPr>
          <w:color w:val="000000"/>
          <w:shd w:val="clear" w:color="auto" w:fill="FFFFFF"/>
          <w:lang w:eastAsia="cs-CZ"/>
        </w:rPr>
        <w:t>předcházejícího ústavu WSL do třetích zdrojů řadí i účelovou podporu státu, státní zakázky a projekty EU. Podíl institucionální podpory je výrazně vyšší než u předcházejícího ústavu WSL a ve všech letech přesahuje tři čtvrtiny celkových příjmů.</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p>
    <w:p w:rsidR="005A63D9" w:rsidRPr="004D7A56" w:rsidRDefault="005A63D9" w:rsidP="004C6043">
      <w:pPr>
        <w:widowControl w:val="0"/>
        <w:adjustRightInd w:val="0"/>
        <w:spacing w:afterLines="0"/>
        <w:contextualSpacing w:val="0"/>
        <w:jc w:val="both"/>
        <w:textAlignment w:val="baseline"/>
        <w:rPr>
          <w:color w:val="000000"/>
          <w:shd w:val="clear" w:color="auto" w:fill="FFFFFF"/>
          <w:lang w:eastAsia="cs-CZ"/>
        </w:rPr>
      </w:pPr>
      <w:r w:rsidRPr="004C6043">
        <w:rPr>
          <w:b/>
          <w:color w:val="000000"/>
          <w:shd w:val="clear" w:color="auto" w:fill="FFFFFF"/>
          <w:lang w:eastAsia="cs-CZ"/>
        </w:rPr>
        <w:t>Tab. č</w:t>
      </w:r>
      <w:r>
        <w:rPr>
          <w:b/>
          <w:color w:val="000000"/>
          <w:shd w:val="clear" w:color="auto" w:fill="FFFFFF"/>
          <w:lang w:eastAsia="cs-CZ"/>
        </w:rPr>
        <w:t>. 16</w:t>
      </w:r>
      <w:r w:rsidRPr="004C6043">
        <w:rPr>
          <w:b/>
          <w:color w:val="000000"/>
          <w:shd w:val="clear" w:color="auto" w:fill="FFFFFF"/>
          <w:lang w:eastAsia="cs-CZ"/>
        </w:rPr>
        <w:t xml:space="preserve"> </w:t>
      </w:r>
      <w:r w:rsidRPr="004D7A56">
        <w:rPr>
          <w:color w:val="000000"/>
          <w:shd w:val="clear" w:color="auto" w:fill="FFFFFF"/>
          <w:lang w:eastAsia="cs-CZ"/>
        </w:rPr>
        <w:t>Vývoj příjmů Eawag</w:t>
      </w:r>
    </w:p>
    <w:tbl>
      <w:tblPr>
        <w:tblW w:w="5000" w:type="pct"/>
        <w:tblLook w:val="00A0"/>
      </w:tblPr>
      <w:tblGrid>
        <w:gridCol w:w="3038"/>
        <w:gridCol w:w="1051"/>
        <w:gridCol w:w="1051"/>
        <w:gridCol w:w="994"/>
        <w:gridCol w:w="1051"/>
        <w:gridCol w:w="1051"/>
        <w:gridCol w:w="1051"/>
      </w:tblGrid>
      <w:tr w:rsidR="005A63D9" w:rsidRPr="00E27ED8" w:rsidTr="00147F6E">
        <w:tc>
          <w:tcPr>
            <w:tcW w:w="1635" w:type="pct"/>
            <w:vMerge w:val="restart"/>
            <w:tcBorders>
              <w:top w:val="single" w:sz="12" w:space="0" w:color="auto"/>
              <w:left w:val="single" w:sz="12" w:space="0" w:color="auto"/>
              <w:right w:val="single" w:sz="12" w:space="0" w:color="auto"/>
            </w:tcBorders>
            <w:shd w:val="clear" w:color="auto" w:fill="BFBFBF"/>
            <w:vAlign w:val="center"/>
          </w:tcPr>
          <w:p w:rsidR="005A63D9" w:rsidRPr="00E27ED8" w:rsidRDefault="005A63D9" w:rsidP="0008405A">
            <w:pPr>
              <w:spacing w:after="144"/>
              <w:jc w:val="both"/>
              <w:rPr>
                <w:b/>
                <w:color w:val="000000"/>
                <w:sz w:val="18"/>
                <w:szCs w:val="18"/>
                <w:shd w:val="clear" w:color="auto" w:fill="FFFFFF"/>
              </w:rPr>
            </w:pPr>
          </w:p>
        </w:tc>
        <w:tc>
          <w:tcPr>
            <w:tcW w:w="1132"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2012</w:t>
            </w:r>
          </w:p>
        </w:tc>
        <w:tc>
          <w:tcPr>
            <w:tcW w:w="1101"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2013</w:t>
            </w:r>
          </w:p>
        </w:tc>
        <w:tc>
          <w:tcPr>
            <w:tcW w:w="1132" w:type="pct"/>
            <w:gridSpan w:val="2"/>
            <w:tcBorders>
              <w:top w:val="single" w:sz="12" w:space="0" w:color="auto"/>
              <w:left w:val="single" w:sz="12" w:space="0" w:color="auto"/>
              <w:bottom w:val="single" w:sz="4" w:space="0" w:color="auto"/>
              <w:right w:val="single" w:sz="12" w:space="0" w:color="auto"/>
            </w:tcBorders>
            <w:shd w:val="clear" w:color="auto" w:fill="BFBFBF"/>
            <w:vAlign w:val="center"/>
          </w:tcPr>
          <w:p w:rsidR="005A63D9" w:rsidRPr="00EC5A7A" w:rsidRDefault="005A63D9" w:rsidP="007601CC">
            <w:pPr>
              <w:spacing w:after="144"/>
              <w:jc w:val="center"/>
              <w:rPr>
                <w:b/>
                <w:color w:val="000000"/>
                <w:sz w:val="18"/>
                <w:szCs w:val="18"/>
                <w:highlight w:val="lightGray"/>
                <w:shd w:val="clear" w:color="auto" w:fill="FFFFFF"/>
              </w:rPr>
            </w:pPr>
            <w:r w:rsidRPr="00EC5A7A">
              <w:rPr>
                <w:b/>
                <w:color w:val="000000"/>
                <w:sz w:val="18"/>
                <w:szCs w:val="18"/>
                <w:highlight w:val="lightGray"/>
                <w:shd w:val="clear" w:color="auto" w:fill="FFFFFF"/>
              </w:rPr>
              <w:t>2014</w:t>
            </w:r>
          </w:p>
        </w:tc>
      </w:tr>
      <w:tr w:rsidR="005A63D9" w:rsidRPr="00E27ED8" w:rsidTr="00147F6E">
        <w:tc>
          <w:tcPr>
            <w:tcW w:w="1635" w:type="pct"/>
            <w:vMerge/>
            <w:tcBorders>
              <w:left w:val="single" w:sz="12" w:space="0" w:color="auto"/>
              <w:bottom w:val="double" w:sz="4" w:space="0" w:color="auto"/>
              <w:right w:val="single" w:sz="12" w:space="0" w:color="auto"/>
            </w:tcBorders>
            <w:shd w:val="clear" w:color="auto" w:fill="BFBFBF"/>
          </w:tcPr>
          <w:p w:rsidR="005A63D9" w:rsidRPr="00E27ED8" w:rsidRDefault="005A63D9" w:rsidP="0008405A">
            <w:pPr>
              <w:spacing w:after="144"/>
              <w:jc w:val="both"/>
              <w:rPr>
                <w:color w:val="000000"/>
                <w:sz w:val="20"/>
                <w:szCs w:val="20"/>
                <w:shd w:val="clear" w:color="auto" w:fill="FFFFFF"/>
              </w:rPr>
            </w:pPr>
          </w:p>
        </w:tc>
        <w:tc>
          <w:tcPr>
            <w:tcW w:w="566"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c>
          <w:tcPr>
            <w:tcW w:w="535"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c>
          <w:tcPr>
            <w:tcW w:w="566" w:type="pct"/>
            <w:tcBorders>
              <w:top w:val="single" w:sz="4" w:space="0" w:color="auto"/>
              <w:left w:val="single" w:sz="12" w:space="0" w:color="auto"/>
              <w:bottom w:val="double" w:sz="4" w:space="0" w:color="auto"/>
              <w:right w:val="single" w:sz="4"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(mil. CHF)</w:t>
            </w:r>
          </w:p>
        </w:tc>
        <w:tc>
          <w:tcPr>
            <w:tcW w:w="566" w:type="pct"/>
            <w:tcBorders>
              <w:top w:val="single" w:sz="4" w:space="0" w:color="auto"/>
              <w:left w:val="single" w:sz="4" w:space="0" w:color="auto"/>
              <w:bottom w:val="double" w:sz="4" w:space="0" w:color="auto"/>
              <w:right w:val="single" w:sz="12" w:space="0" w:color="auto"/>
            </w:tcBorders>
            <w:shd w:val="clear" w:color="auto" w:fill="BFBFBF"/>
            <w:vAlign w:val="center"/>
          </w:tcPr>
          <w:p w:rsidR="005A63D9" w:rsidRPr="00EC5A7A" w:rsidRDefault="005A63D9" w:rsidP="007601CC">
            <w:pPr>
              <w:spacing w:after="144"/>
              <w:jc w:val="center"/>
              <w:rPr>
                <w:color w:val="000000"/>
                <w:highlight w:val="lightGray"/>
                <w:shd w:val="clear" w:color="auto" w:fill="FFFFFF"/>
              </w:rPr>
            </w:pPr>
            <w:r w:rsidRPr="00EC5A7A">
              <w:rPr>
                <w:color w:val="000000"/>
                <w:highlight w:val="lightGray"/>
                <w:shd w:val="clear" w:color="auto" w:fill="FFFFFF"/>
              </w:rPr>
              <w:t>(%)</w:t>
            </w:r>
          </w:p>
        </w:tc>
      </w:tr>
      <w:tr w:rsidR="005A63D9" w:rsidRPr="00E27ED8" w:rsidTr="00147F6E">
        <w:tc>
          <w:tcPr>
            <w:tcW w:w="1635" w:type="pct"/>
            <w:tcBorders>
              <w:top w:val="doub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rPr>
            </w:pPr>
            <w:r w:rsidRPr="00E27ED8">
              <w:rPr>
                <w:color w:val="000000"/>
                <w:sz w:val="20"/>
                <w:szCs w:val="20"/>
                <w:shd w:val="clear" w:color="auto" w:fill="FFFFFF"/>
              </w:rPr>
              <w:t>Institucionální podpora</w:t>
            </w:r>
          </w:p>
        </w:tc>
        <w:tc>
          <w:tcPr>
            <w:tcW w:w="566" w:type="pct"/>
            <w:tcBorders>
              <w:top w:val="doub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54,933</w:t>
            </w:r>
          </w:p>
        </w:tc>
        <w:tc>
          <w:tcPr>
            <w:tcW w:w="566" w:type="pct"/>
            <w:tcBorders>
              <w:top w:val="doub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76,4</w:t>
            </w:r>
          </w:p>
        </w:tc>
        <w:tc>
          <w:tcPr>
            <w:tcW w:w="535" w:type="pct"/>
            <w:tcBorders>
              <w:top w:val="doub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55,612</w:t>
            </w:r>
          </w:p>
        </w:tc>
        <w:tc>
          <w:tcPr>
            <w:tcW w:w="566" w:type="pct"/>
            <w:tcBorders>
              <w:top w:val="doub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75,8</w:t>
            </w:r>
          </w:p>
        </w:tc>
        <w:tc>
          <w:tcPr>
            <w:tcW w:w="566" w:type="pct"/>
            <w:tcBorders>
              <w:top w:val="doub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56,851</w:t>
            </w:r>
          </w:p>
        </w:tc>
        <w:tc>
          <w:tcPr>
            <w:tcW w:w="566" w:type="pct"/>
            <w:tcBorders>
              <w:top w:val="doub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76,7</w:t>
            </w:r>
          </w:p>
        </w:tc>
      </w:tr>
      <w:tr w:rsidR="005A63D9" w:rsidRPr="00E27ED8" w:rsidTr="00147F6E">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vertAlign w:val="superscript"/>
              </w:rPr>
            </w:pPr>
            <w:r w:rsidRPr="00E27ED8">
              <w:rPr>
                <w:color w:val="000000"/>
                <w:sz w:val="20"/>
                <w:szCs w:val="20"/>
                <w:shd w:val="clear" w:color="auto" w:fill="FFFFFF"/>
              </w:rPr>
              <w:t>Třetí prostředky</w:t>
            </w:r>
          </w:p>
        </w:tc>
        <w:tc>
          <w:tcPr>
            <w:tcW w:w="566"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16,221</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22,6</w:t>
            </w:r>
          </w:p>
        </w:tc>
        <w:tc>
          <w:tcPr>
            <w:tcW w:w="535"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16,895</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23,0</w:t>
            </w:r>
          </w:p>
        </w:tc>
        <w:tc>
          <w:tcPr>
            <w:tcW w:w="566"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16,433</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22,1</w:t>
            </w:r>
          </w:p>
        </w:tc>
      </w:tr>
      <w:tr w:rsidR="005A63D9" w:rsidRPr="00E27ED8" w:rsidTr="00147F6E">
        <w:tc>
          <w:tcPr>
            <w:tcW w:w="1635" w:type="pct"/>
            <w:tcBorders>
              <w:top w:val="single" w:sz="4" w:space="0" w:color="auto"/>
              <w:left w:val="single" w:sz="12" w:space="0" w:color="auto"/>
              <w:bottom w:val="single" w:sz="4" w:space="0" w:color="auto"/>
              <w:right w:val="single" w:sz="12" w:space="0" w:color="auto"/>
            </w:tcBorders>
          </w:tcPr>
          <w:p w:rsidR="005A63D9" w:rsidRPr="00E27ED8" w:rsidRDefault="005A63D9" w:rsidP="0008405A">
            <w:pPr>
              <w:spacing w:after="144"/>
              <w:jc w:val="both"/>
              <w:rPr>
                <w:color w:val="000000"/>
                <w:sz w:val="20"/>
                <w:szCs w:val="20"/>
                <w:shd w:val="clear" w:color="auto" w:fill="FFFFFF"/>
                <w:vertAlign w:val="superscript"/>
              </w:rPr>
            </w:pPr>
            <w:r w:rsidRPr="00E27ED8">
              <w:rPr>
                <w:color w:val="000000"/>
                <w:sz w:val="20"/>
                <w:szCs w:val="20"/>
                <w:shd w:val="clear" w:color="auto" w:fill="FFFFFF"/>
              </w:rPr>
              <w:t>Další příjmy</w:t>
            </w:r>
          </w:p>
        </w:tc>
        <w:tc>
          <w:tcPr>
            <w:tcW w:w="566"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0,722</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1,0</w:t>
            </w:r>
          </w:p>
        </w:tc>
        <w:tc>
          <w:tcPr>
            <w:tcW w:w="535"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0,806</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1,1</w:t>
            </w:r>
          </w:p>
        </w:tc>
        <w:tc>
          <w:tcPr>
            <w:tcW w:w="566" w:type="pct"/>
            <w:tcBorders>
              <w:top w:val="single" w:sz="4" w:space="0" w:color="auto"/>
              <w:left w:val="single" w:sz="12" w:space="0" w:color="auto"/>
              <w:bottom w:val="single" w:sz="4"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0,825</w:t>
            </w:r>
          </w:p>
        </w:tc>
        <w:tc>
          <w:tcPr>
            <w:tcW w:w="566" w:type="pct"/>
            <w:tcBorders>
              <w:top w:val="single" w:sz="4" w:space="0" w:color="auto"/>
              <w:bottom w:val="single" w:sz="4" w:space="0" w:color="auto"/>
              <w:right w:val="single" w:sz="12" w:space="0" w:color="auto"/>
            </w:tcBorders>
            <w:vAlign w:val="center"/>
          </w:tcPr>
          <w:p w:rsidR="005A63D9" w:rsidRPr="00E27ED8" w:rsidRDefault="005A63D9" w:rsidP="007601CC">
            <w:pPr>
              <w:spacing w:after="144"/>
              <w:jc w:val="center"/>
              <w:rPr>
                <w:color w:val="000000"/>
                <w:sz w:val="18"/>
                <w:szCs w:val="18"/>
                <w:shd w:val="clear" w:color="auto" w:fill="FFFFFF"/>
              </w:rPr>
            </w:pPr>
            <w:r w:rsidRPr="00E27ED8">
              <w:rPr>
                <w:color w:val="000000"/>
                <w:sz w:val="18"/>
                <w:szCs w:val="18"/>
                <w:shd w:val="clear" w:color="auto" w:fill="FFFFFF"/>
              </w:rPr>
              <w:t>1,1</w:t>
            </w:r>
          </w:p>
        </w:tc>
      </w:tr>
      <w:tr w:rsidR="005A63D9" w:rsidRPr="00E27ED8" w:rsidTr="00147F6E">
        <w:tc>
          <w:tcPr>
            <w:tcW w:w="1635" w:type="pct"/>
            <w:tcBorders>
              <w:top w:val="single" w:sz="4" w:space="0" w:color="auto"/>
              <w:left w:val="single" w:sz="12" w:space="0" w:color="auto"/>
              <w:bottom w:val="single" w:sz="12" w:space="0" w:color="auto"/>
              <w:right w:val="single" w:sz="12" w:space="0" w:color="auto"/>
            </w:tcBorders>
          </w:tcPr>
          <w:p w:rsidR="005A63D9" w:rsidRPr="00E27ED8" w:rsidRDefault="005A63D9" w:rsidP="0008405A">
            <w:pPr>
              <w:spacing w:after="144"/>
              <w:jc w:val="both"/>
              <w:rPr>
                <w:b/>
                <w:color w:val="000000"/>
                <w:sz w:val="20"/>
                <w:szCs w:val="20"/>
                <w:shd w:val="clear" w:color="auto" w:fill="FFFFFF"/>
              </w:rPr>
            </w:pPr>
            <w:r w:rsidRPr="00E27ED8">
              <w:rPr>
                <w:b/>
                <w:color w:val="000000"/>
                <w:sz w:val="20"/>
                <w:szCs w:val="20"/>
                <w:shd w:val="clear" w:color="auto" w:fill="FFFFFF"/>
              </w:rPr>
              <w:t>CELKEM</w:t>
            </w:r>
          </w:p>
        </w:tc>
        <w:tc>
          <w:tcPr>
            <w:tcW w:w="566" w:type="pct"/>
            <w:tcBorders>
              <w:top w:val="single" w:sz="4" w:space="0" w:color="auto"/>
              <w:left w:val="single" w:sz="12" w:space="0" w:color="auto"/>
              <w:bottom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71,876</w:t>
            </w:r>
          </w:p>
        </w:tc>
        <w:tc>
          <w:tcPr>
            <w:tcW w:w="566" w:type="pct"/>
            <w:tcBorders>
              <w:top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c>
          <w:tcPr>
            <w:tcW w:w="535" w:type="pct"/>
            <w:tcBorders>
              <w:top w:val="single" w:sz="4" w:space="0" w:color="auto"/>
              <w:left w:val="single" w:sz="12" w:space="0" w:color="auto"/>
              <w:bottom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color w:val="000000"/>
                <w:sz w:val="18"/>
                <w:szCs w:val="18"/>
                <w:shd w:val="clear" w:color="auto" w:fill="FFFFFF"/>
              </w:rPr>
              <w:t>73,313</w:t>
            </w:r>
          </w:p>
        </w:tc>
        <w:tc>
          <w:tcPr>
            <w:tcW w:w="566" w:type="pct"/>
            <w:tcBorders>
              <w:top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c>
          <w:tcPr>
            <w:tcW w:w="566" w:type="pct"/>
            <w:tcBorders>
              <w:top w:val="single" w:sz="4" w:space="0" w:color="auto"/>
              <w:left w:val="single" w:sz="12" w:space="0" w:color="auto"/>
              <w:bottom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74,120</w:t>
            </w:r>
          </w:p>
        </w:tc>
        <w:tc>
          <w:tcPr>
            <w:tcW w:w="566" w:type="pct"/>
            <w:tcBorders>
              <w:top w:val="single" w:sz="4" w:space="0" w:color="auto"/>
              <w:bottom w:val="single" w:sz="12" w:space="0" w:color="auto"/>
              <w:right w:val="single" w:sz="12" w:space="0" w:color="auto"/>
            </w:tcBorders>
            <w:vAlign w:val="center"/>
          </w:tcPr>
          <w:p w:rsidR="005A63D9" w:rsidRPr="00E27ED8" w:rsidRDefault="005A63D9" w:rsidP="007601CC">
            <w:pPr>
              <w:spacing w:after="144"/>
              <w:jc w:val="center"/>
              <w:rPr>
                <w:b/>
                <w:color w:val="000000"/>
                <w:sz w:val="18"/>
                <w:szCs w:val="18"/>
                <w:shd w:val="clear" w:color="auto" w:fill="FFFFFF"/>
              </w:rPr>
            </w:pPr>
            <w:r w:rsidRPr="00E27ED8">
              <w:rPr>
                <w:b/>
                <w:color w:val="000000"/>
                <w:sz w:val="18"/>
                <w:szCs w:val="18"/>
                <w:shd w:val="clear" w:color="auto" w:fill="FFFFFF"/>
              </w:rPr>
              <w:t>100</w:t>
            </w:r>
          </w:p>
        </w:tc>
      </w:tr>
    </w:tbl>
    <w:p w:rsidR="005A63D9" w:rsidRDefault="005A63D9" w:rsidP="0008405A">
      <w:pPr>
        <w:pStyle w:val="ZDROJovan"/>
        <w:spacing w:after="144" w:line="288" w:lineRule="auto"/>
        <w:jc w:val="both"/>
      </w:pPr>
      <w:r w:rsidRPr="007601CC">
        <w:t xml:space="preserve">Zdroj: Webová stránka EAWAG; zahlen–fakten; </w:t>
      </w:r>
      <w:hyperlink r:id="rId8" w:history="1">
        <w:r w:rsidRPr="007601CC">
          <w:rPr>
            <w:rStyle w:val="Hyperlink"/>
            <w:rFonts w:cs="Arial"/>
            <w:color w:val="auto"/>
            <w:u w:val="none"/>
          </w:rPr>
          <w:t>www.eawag.ch</w:t>
        </w:r>
      </w:hyperlink>
      <w:r w:rsidRPr="007601CC">
        <w:t>.</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05" w:name="_Toc440897422"/>
      <w:bookmarkStart w:id="106" w:name="_Toc441760824"/>
      <w:bookmarkStart w:id="107" w:name="_Toc441849487"/>
      <w:r w:rsidRPr="00442A0C">
        <w:rPr>
          <w:bCs/>
          <w:shd w:val="clear" w:color="auto" w:fill="FFFFFF"/>
          <w:lang/>
        </w:rPr>
        <w:t>Členské univerzity v oblasti (skupině) ETH</w:t>
      </w:r>
      <w:bookmarkEnd w:id="105"/>
      <w:bookmarkEnd w:id="106"/>
      <w:bookmarkEnd w:id="107"/>
    </w:p>
    <w:p w:rsidR="005A63D9"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Obě technické vysoké školy (univerzity) patří k zakládajícím členům Evropského sdružení výzkumných univerzit. Obě školy jsou velice úspěšné ve VaV. Pravidelně získávají granty Evropské rady pro výzkum (ERC). V doktorském studiu na obou školách jsou</w:t>
      </w:r>
      <w:r>
        <w:rPr>
          <w:color w:val="000000"/>
          <w:shd w:val="clear" w:color="auto" w:fill="FFFFFF"/>
          <w:lang w:eastAsia="cs-CZ"/>
        </w:rPr>
        <w:t xml:space="preserve"> asi tři </w:t>
      </w:r>
      <w:r w:rsidRPr="004D7A56">
        <w:rPr>
          <w:color w:val="000000"/>
          <w:shd w:val="clear" w:color="auto" w:fill="FFFFFF"/>
          <w:lang w:eastAsia="cs-CZ"/>
        </w:rPr>
        <w:t>čtvrtiny studentů ze zahraničí.</w:t>
      </w:r>
    </w:p>
    <w:p w:rsidR="005A63D9" w:rsidRPr="004D7A56" w:rsidRDefault="005A63D9" w:rsidP="004D7A56">
      <w:pPr>
        <w:widowControl w:val="0"/>
        <w:adjustRightInd w:val="0"/>
        <w:spacing w:afterLines="0"/>
        <w:contextualSpacing w:val="0"/>
        <w:jc w:val="both"/>
        <w:textAlignment w:val="baseline"/>
        <w:rPr>
          <w:color w:val="000000"/>
          <w:shd w:val="clear" w:color="auto" w:fill="FFFFFF"/>
          <w:lang w:eastAsia="cs-CZ"/>
        </w:rPr>
      </w:pPr>
      <w:r w:rsidRPr="004D7A56">
        <w:rPr>
          <w:b/>
          <w:color w:val="000000"/>
          <w:shd w:val="clear" w:color="auto" w:fill="FFFFFF"/>
          <w:lang w:eastAsia="cs-CZ"/>
        </w:rPr>
        <w:t>ETH (Eidgenössische Technische Hochschule Zürich</w:t>
      </w:r>
      <w:r w:rsidRPr="004D7A56">
        <w:rPr>
          <w:color w:val="000000"/>
          <w:shd w:val="clear" w:color="auto" w:fill="FFFFFF"/>
          <w:lang w:eastAsia="cs-CZ"/>
        </w:rPr>
        <w:t xml:space="preserve"> – www.ethz.ch</w:t>
      </w:r>
      <w:r w:rsidRPr="004D7A56">
        <w:rPr>
          <w:color w:val="000000"/>
          <w:shd w:val="clear" w:color="auto" w:fill="FFFFFF"/>
        </w:rPr>
        <w:t>)</w:t>
      </w:r>
      <w:r>
        <w:rPr>
          <w:color w:val="000000"/>
          <w:shd w:val="clear" w:color="auto" w:fill="FFFFFF"/>
          <w:lang w:eastAsia="cs-CZ"/>
        </w:rPr>
        <w:t xml:space="preserve"> má 16 </w:t>
      </w:r>
      <w:r w:rsidRPr="004D7A56">
        <w:rPr>
          <w:color w:val="000000"/>
          <w:shd w:val="clear" w:color="auto" w:fill="FFFFFF"/>
          <w:lang w:eastAsia="cs-CZ"/>
        </w:rPr>
        <w:t>departementů, což jsou útvary na úrovni fakult. Větší či menší zaměření na problematiku životního prostředí mají departmenty:</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Department stavebnictví, životního prostředí a geomatiky se dvěma studijními programy zaměřenými i na ŽP (z celkem 4 programů) – www.baug.ethz.ch</w:t>
      </w:r>
    </w:p>
    <w:p w:rsidR="005A63D9" w:rsidRPr="004D7A56" w:rsidRDefault="005A63D9" w:rsidP="004D7A56">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Technické vědy o životním prostředí</w:t>
      </w:r>
    </w:p>
    <w:p w:rsidR="005A63D9" w:rsidRPr="004D7A56" w:rsidRDefault="005A63D9" w:rsidP="004D7A56">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Geomatika a plánování</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Department věd o systému životního prostředí se dvěma studijními programy zaměřenými na životní prostředí (z celkem 4 programů) – www.usys.ethz.ch</w:t>
      </w:r>
    </w:p>
    <w:p w:rsidR="005A63D9" w:rsidRPr="004D7A56" w:rsidRDefault="005A63D9" w:rsidP="004D7A56">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Zemědělské vědy</w:t>
      </w:r>
    </w:p>
    <w:p w:rsidR="005A63D9" w:rsidRPr="004D7A56" w:rsidRDefault="005A63D9" w:rsidP="004D7A56">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Přírodní vědy o životním prostředí</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Oba departmenty zabezpečují bakalářské, magis</w:t>
      </w:r>
      <w:r>
        <w:rPr>
          <w:color w:val="000000"/>
          <w:shd w:val="clear" w:color="auto" w:fill="FFFFFF"/>
          <w:lang w:eastAsia="cs-CZ"/>
        </w:rPr>
        <w:t>terské a doktorské studium a ve </w:t>
      </w:r>
      <w:r w:rsidRPr="004D7A56">
        <w:rPr>
          <w:color w:val="000000"/>
          <w:shd w:val="clear" w:color="auto" w:fill="FFFFFF"/>
          <w:lang w:eastAsia="cs-CZ"/>
        </w:rPr>
        <w:t xml:space="preserve">velkém rozsahu provádějí výzkum. První z uvedených departmentů má tří výzkumné priority: Stavby a infrastrukturní systémy; Přírodní a hospodářské zdroje; Sledování (měření) a modelování. </w:t>
      </w:r>
    </w:p>
    <w:p w:rsidR="005A63D9"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 xml:space="preserve">Druhý z uvedených departmentů má šest </w:t>
      </w:r>
      <w:r>
        <w:rPr>
          <w:color w:val="000000"/>
          <w:shd w:val="clear" w:color="auto" w:fill="FFFFFF"/>
          <w:lang w:eastAsia="cs-CZ"/>
        </w:rPr>
        <w:t>výzkumných ústavů zaměřených na </w:t>
      </w:r>
      <w:r w:rsidRPr="004D7A56">
        <w:rPr>
          <w:color w:val="000000"/>
          <w:shd w:val="clear" w:color="auto" w:fill="FFFFFF"/>
          <w:lang w:eastAsia="cs-CZ"/>
        </w:rPr>
        <w:t>následující priority: Biologická rozmanitost a její změny; Bezpečná výživa; Změny klimatu; Udržitelné využití zdrojů; Procesy v ekosystémech.</w:t>
      </w:r>
    </w:p>
    <w:p w:rsidR="005A63D9" w:rsidRPr="004D7A56" w:rsidRDefault="005A63D9" w:rsidP="004D7A56">
      <w:pPr>
        <w:widowControl w:val="0"/>
        <w:adjustRightInd w:val="0"/>
        <w:spacing w:afterLines="0"/>
        <w:contextualSpacing w:val="0"/>
        <w:jc w:val="both"/>
        <w:textAlignment w:val="baseline"/>
        <w:rPr>
          <w:color w:val="000000"/>
          <w:shd w:val="clear" w:color="auto" w:fill="FFFFFF"/>
          <w:lang w:eastAsia="cs-CZ"/>
        </w:rPr>
      </w:pPr>
      <w:r w:rsidRPr="004D7A56">
        <w:rPr>
          <w:b/>
          <w:color w:val="000000"/>
          <w:shd w:val="clear" w:color="auto" w:fill="FFFFFF"/>
          <w:lang w:eastAsia="cs-CZ"/>
        </w:rPr>
        <w:t>EPFL (Ecole Polytechnique Fédérale de Lausanne – www.epfl.ch</w:t>
      </w:r>
      <w:r w:rsidRPr="004D7A56">
        <w:rPr>
          <w:b/>
          <w:color w:val="000000"/>
          <w:shd w:val="clear" w:color="auto" w:fill="FFFFFF"/>
        </w:rPr>
        <w:t>)</w:t>
      </w:r>
      <w:r w:rsidRPr="004D7A56">
        <w:rPr>
          <w:b/>
          <w:color w:val="000000"/>
          <w:shd w:val="clear" w:color="auto" w:fill="FFFFFF"/>
          <w:lang w:eastAsia="cs-CZ"/>
        </w:rPr>
        <w:t xml:space="preserve"> </w:t>
      </w:r>
      <w:r w:rsidRPr="004D7A56">
        <w:rPr>
          <w:color w:val="000000"/>
          <w:shd w:val="clear" w:color="auto" w:fill="FFFFFF"/>
          <w:lang w:eastAsia="cs-CZ"/>
        </w:rPr>
        <w:t>má 7 fakult. Výraznější zaměření na životní prostředí má:</w:t>
      </w:r>
    </w:p>
    <w:p w:rsidR="005A63D9" w:rsidRPr="004D7A56" w:rsidRDefault="005A63D9" w:rsidP="004D7A5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D7A56">
        <w:rPr>
          <w:color w:val="000000"/>
          <w:shd w:val="clear" w:color="auto" w:fill="FFFFFF"/>
          <w:lang w:eastAsia="cs-CZ"/>
        </w:rPr>
        <w:t>Fakulta stavebnictví, architektury a životního pro</w:t>
      </w:r>
      <w:r>
        <w:rPr>
          <w:color w:val="000000"/>
          <w:shd w:val="clear" w:color="auto" w:fill="FFFFFF"/>
          <w:lang w:eastAsia="cs-CZ"/>
        </w:rPr>
        <w:t>středí má jeden program (ze tří </w:t>
      </w:r>
      <w:r w:rsidRPr="004D7A56">
        <w:rPr>
          <w:color w:val="000000"/>
          <w:shd w:val="clear" w:color="auto" w:fill="FFFFFF"/>
          <w:lang w:eastAsia="cs-CZ"/>
        </w:rPr>
        <w:t>programů) zaměřený na životní prostředí:</w:t>
      </w:r>
    </w:p>
    <w:p w:rsidR="005A63D9" w:rsidRPr="004D7A56" w:rsidRDefault="005A63D9" w:rsidP="004D7A56">
      <w:pPr>
        <w:pStyle w:val="ListParagraph"/>
        <w:widowControl w:val="0"/>
        <w:numPr>
          <w:ilvl w:val="0"/>
          <w:numId w:val="88"/>
        </w:numPr>
        <w:adjustRightInd w:val="0"/>
        <w:spacing w:afterLines="0"/>
        <w:contextualSpacing w:val="0"/>
        <w:jc w:val="both"/>
        <w:textAlignment w:val="baseline"/>
        <w:rPr>
          <w:color w:val="000000"/>
          <w:shd w:val="clear" w:color="auto" w:fill="FFFFFF"/>
          <w:lang w:eastAsia="cs-CZ"/>
        </w:rPr>
      </w:pPr>
      <w:r w:rsidRPr="004D7A56">
        <w:rPr>
          <w:color w:val="000000"/>
          <w:shd w:val="clear" w:color="auto" w:fill="FFFFFF"/>
          <w:lang w:eastAsia="cs-CZ"/>
        </w:rPr>
        <w:t>Věda technika životního prostředí.</w:t>
      </w:r>
    </w:p>
    <w:p w:rsidR="005A63D9" w:rsidRPr="004D7A56" w:rsidRDefault="005A63D9" w:rsidP="004D7A56">
      <w:pPr>
        <w:widowControl w:val="0"/>
        <w:adjustRightInd w:val="0"/>
        <w:spacing w:afterLines="0"/>
        <w:ind w:firstLine="539"/>
        <w:contextualSpacing w:val="0"/>
        <w:jc w:val="both"/>
        <w:textAlignment w:val="baseline"/>
        <w:rPr>
          <w:color w:val="000000"/>
          <w:shd w:val="clear" w:color="auto" w:fill="FFFFFF"/>
          <w:lang w:eastAsia="cs-CZ"/>
        </w:rPr>
      </w:pPr>
      <w:r w:rsidRPr="004D7A56">
        <w:rPr>
          <w:color w:val="000000"/>
          <w:shd w:val="clear" w:color="auto" w:fill="FFFFFF"/>
          <w:lang w:eastAsia="cs-CZ"/>
        </w:rPr>
        <w:t>Fakulta zabezpečuje bakalářské, magisterské a doktorské studium a ve velkém rozsahu provádí výzkum.</w:t>
      </w:r>
    </w:p>
    <w:p w:rsidR="005A63D9" w:rsidRPr="001A6C22" w:rsidRDefault="005A63D9" w:rsidP="0008405A">
      <w:pPr>
        <w:spacing w:after="144"/>
        <w:jc w:val="both"/>
        <w:rPr>
          <w:rFonts w:ascii="Frutiger" w:hAnsi="Frutiger"/>
          <w:color w:val="000000"/>
          <w:sz w:val="18"/>
          <w:szCs w:val="18"/>
        </w:rPr>
      </w:pPr>
      <w:r w:rsidRPr="001A6C22">
        <w:rPr>
          <w:rFonts w:ascii="Frutiger" w:hAnsi="Frutiger"/>
          <w:color w:val="000000"/>
          <w:sz w:val="18"/>
          <w:szCs w:val="18"/>
        </w:rPr>
        <w:br w:type="page"/>
      </w:r>
    </w:p>
    <w:p w:rsidR="005A63D9" w:rsidRPr="00487B76" w:rsidRDefault="005A63D9" w:rsidP="00487B76">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108" w:name="_Toc440897423"/>
      <w:bookmarkStart w:id="109" w:name="_Toc441760825"/>
      <w:bookmarkStart w:id="110" w:name="_Toc441849488"/>
      <w:r>
        <w:rPr>
          <w:rFonts w:cs="Arial"/>
          <w:bCs/>
          <w:color w:val="000000"/>
          <w:kern w:val="32"/>
          <w:szCs w:val="32"/>
          <w:shd w:val="clear" w:color="auto" w:fill="FFFFFF"/>
          <w:lang/>
        </w:rPr>
        <w:t xml:space="preserve">4. </w:t>
      </w:r>
      <w:r w:rsidRPr="00487B76">
        <w:rPr>
          <w:rFonts w:cs="Arial"/>
          <w:bCs/>
          <w:color w:val="000000"/>
          <w:kern w:val="32"/>
          <w:szCs w:val="32"/>
          <w:shd w:val="clear" w:color="auto" w:fill="FFFFFF"/>
          <w:lang/>
        </w:rPr>
        <w:t>Německo</w:t>
      </w:r>
      <w:bookmarkEnd w:id="108"/>
      <w:bookmarkEnd w:id="109"/>
      <w:bookmarkEnd w:id="110"/>
    </w:p>
    <w:p w:rsidR="005A63D9" w:rsidRPr="00487B76" w:rsidRDefault="005A63D9" w:rsidP="00487B76">
      <w:pPr>
        <w:widowControl w:val="0"/>
        <w:adjustRightInd w:val="0"/>
        <w:spacing w:afterLines="0"/>
        <w:ind w:firstLine="539"/>
        <w:contextualSpacing w:val="0"/>
        <w:jc w:val="both"/>
        <w:textAlignment w:val="baseline"/>
        <w:rPr>
          <w:color w:val="000000"/>
          <w:shd w:val="clear" w:color="auto" w:fill="FFFFFF"/>
          <w:lang w:eastAsia="cs-CZ"/>
        </w:rPr>
      </w:pPr>
      <w:r w:rsidRPr="00487B76">
        <w:rPr>
          <w:color w:val="000000"/>
          <w:shd w:val="clear" w:color="auto" w:fill="FFFFFF"/>
          <w:lang w:eastAsia="cs-CZ"/>
        </w:rPr>
        <w:t>Systém podpory VaVaI v Německu je poněkud</w:t>
      </w:r>
      <w:r>
        <w:rPr>
          <w:color w:val="000000"/>
          <w:shd w:val="clear" w:color="auto" w:fill="FFFFFF"/>
          <w:lang w:eastAsia="cs-CZ"/>
        </w:rPr>
        <w:t xml:space="preserve"> komplikován tím, že Německo je </w:t>
      </w:r>
      <w:r w:rsidRPr="00487B76">
        <w:rPr>
          <w:color w:val="000000"/>
          <w:shd w:val="clear" w:color="auto" w:fill="FFFFFF"/>
          <w:lang w:eastAsia="cs-CZ"/>
        </w:rPr>
        <w:t>spolkovým státem. Podle Základního zákona (ústavy) je podpora výzkumu společným úkolem státu a spolkových zemí. K plnění tohoto úkolu byla zřízena stálá Společná vědecká konference (GWK), která je složena z ministrů státu a s</w:t>
      </w:r>
      <w:r>
        <w:rPr>
          <w:color w:val="000000"/>
          <w:shd w:val="clear" w:color="auto" w:fill="FFFFFF"/>
          <w:lang w:eastAsia="cs-CZ"/>
        </w:rPr>
        <w:t>polkových zemí s působností pro </w:t>
      </w:r>
      <w:r w:rsidRPr="00487B76">
        <w:rPr>
          <w:color w:val="000000"/>
          <w:shd w:val="clear" w:color="auto" w:fill="FFFFFF"/>
          <w:lang w:eastAsia="cs-CZ"/>
        </w:rPr>
        <w:t>výzkum a ministrů financí. Konference uzavírá Prová</w:t>
      </w:r>
      <w:r>
        <w:rPr>
          <w:color w:val="000000"/>
          <w:shd w:val="clear" w:color="auto" w:fill="FFFFFF"/>
          <w:lang w:eastAsia="cs-CZ"/>
        </w:rPr>
        <w:t>děcí dohody o podpoře výzkumu v </w:t>
      </w:r>
      <w:r w:rsidRPr="00487B76">
        <w:rPr>
          <w:color w:val="000000"/>
          <w:shd w:val="clear" w:color="auto" w:fill="FFFFFF"/>
          <w:lang w:eastAsia="cs-CZ"/>
        </w:rPr>
        <w:t>hlavních výzkumných institucích v Německu.</w:t>
      </w:r>
      <w:r w:rsidRPr="00414F4E">
        <w:rPr>
          <w:color w:val="000000"/>
          <w:shd w:val="clear" w:color="auto" w:fill="FFFFFF"/>
          <w:vertAlign w:val="superscript"/>
          <w:lang w:eastAsia="cs-CZ"/>
        </w:rPr>
        <w:footnoteReference w:id="22"/>
      </w:r>
      <w:r w:rsidRPr="00487B76">
        <w:rPr>
          <w:color w:val="000000"/>
          <w:shd w:val="clear" w:color="auto" w:fill="FFFFFF"/>
          <w:lang w:eastAsia="cs-CZ"/>
        </w:rPr>
        <w:t xml:space="preserve"> Konfe</w:t>
      </w:r>
      <w:r>
        <w:rPr>
          <w:color w:val="000000"/>
          <w:shd w:val="clear" w:color="auto" w:fill="FFFFFF"/>
          <w:lang w:eastAsia="cs-CZ"/>
        </w:rPr>
        <w:t>rence kromě jiné schvaluje tzv. </w:t>
      </w:r>
      <w:r w:rsidRPr="00487B76">
        <w:rPr>
          <w:color w:val="000000"/>
          <w:shd w:val="clear" w:color="auto" w:fill="FFFFFF"/>
          <w:lang w:eastAsia="cs-CZ"/>
        </w:rPr>
        <w:t>Königsteinský klíč, který stanovuje s přesností na pět desetinných díl podíl státní podpory a podíly spolkových zemí na celkových podporách pěti nejvýznamnějším institucím VaV a jejich částem.</w:t>
      </w:r>
    </w:p>
    <w:p w:rsidR="005A63D9" w:rsidRPr="00487B76" w:rsidRDefault="005A63D9" w:rsidP="00487B76">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11" w:name="_Toc440897424"/>
      <w:bookmarkStart w:id="112" w:name="_Toc441760826"/>
      <w:bookmarkStart w:id="113" w:name="_Toc441849489"/>
      <w:r>
        <w:rPr>
          <w:rFonts w:cs="Arial"/>
          <w:bCs/>
          <w:iCs/>
          <w:color w:val="000000"/>
          <w:shd w:val="clear" w:color="auto" w:fill="FFFFFF"/>
          <w:lang/>
        </w:rPr>
        <w:t xml:space="preserve">4.1. </w:t>
      </w:r>
      <w:r w:rsidRPr="00487B76">
        <w:rPr>
          <w:rFonts w:cs="Arial"/>
          <w:bCs/>
          <w:iCs/>
          <w:color w:val="000000"/>
          <w:shd w:val="clear" w:color="auto" w:fill="FFFFFF"/>
          <w:lang/>
        </w:rPr>
        <w:t>Politiky a strategie VaV</w:t>
      </w:r>
      <w:bookmarkEnd w:id="111"/>
      <w:bookmarkEnd w:id="112"/>
      <w:bookmarkEnd w:id="113"/>
    </w:p>
    <w:p w:rsidR="005A63D9" w:rsidRPr="00487B76" w:rsidRDefault="005A63D9" w:rsidP="00487B76">
      <w:pPr>
        <w:widowControl w:val="0"/>
        <w:adjustRightInd w:val="0"/>
        <w:spacing w:afterLines="0"/>
        <w:ind w:firstLine="539"/>
        <w:contextualSpacing w:val="0"/>
        <w:jc w:val="both"/>
        <w:textAlignment w:val="baseline"/>
        <w:rPr>
          <w:color w:val="000000"/>
          <w:shd w:val="clear" w:color="auto" w:fill="FFFFFF"/>
          <w:lang w:eastAsia="cs-CZ"/>
        </w:rPr>
      </w:pPr>
      <w:r w:rsidRPr="00487B76">
        <w:rPr>
          <w:color w:val="000000"/>
          <w:shd w:val="clear" w:color="auto" w:fill="FFFFFF"/>
          <w:lang w:eastAsia="cs-CZ"/>
        </w:rPr>
        <w:t>Politika výzkumu je formulována v pětiletých paktech pro výzkum a inovace. Součástí těchto paktů jsou prohlášení hlavních výzkumných institucí, která konkretizují hlavní kapitoly paktů. V roce 2015 končí Pakt II (2011–2015). V každém roce jsou vydávány podrobné monitorovací zprávy o realizaci paktu. Pakt III (2016–2020) byl schválen na p</w:t>
      </w:r>
      <w:r>
        <w:rPr>
          <w:color w:val="000000"/>
          <w:shd w:val="clear" w:color="auto" w:fill="FFFFFF"/>
          <w:lang w:eastAsia="cs-CZ"/>
        </w:rPr>
        <w:t>očátku roku 2014.</w:t>
      </w:r>
    </w:p>
    <w:p w:rsidR="005A63D9" w:rsidRPr="00487B76" w:rsidRDefault="005A63D9" w:rsidP="00487B76">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414F4E">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17</w:t>
      </w:r>
      <w:r w:rsidRPr="00414F4E">
        <w:rPr>
          <w:b/>
          <w:color w:val="000000"/>
          <w:shd w:val="clear" w:color="auto" w:fill="FFFFFF"/>
          <w:lang w:eastAsia="cs-CZ"/>
        </w:rPr>
        <w:t xml:space="preserve"> </w:t>
      </w:r>
      <w:r w:rsidRPr="00414F4E">
        <w:rPr>
          <w:color w:val="000000"/>
          <w:shd w:val="clear" w:color="auto" w:fill="FFFFFF"/>
          <w:lang w:eastAsia="cs-CZ"/>
        </w:rPr>
        <w:t>Základní charakteristiky podpory VaV v Německu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844"/>
        <w:gridCol w:w="1089"/>
        <w:gridCol w:w="1089"/>
        <w:gridCol w:w="1089"/>
        <w:gridCol w:w="1088"/>
        <w:gridCol w:w="1088"/>
      </w:tblGrid>
      <w:tr w:rsidR="005A63D9" w:rsidRPr="00E27ED8" w:rsidTr="00510C04">
        <w:tc>
          <w:tcPr>
            <w:tcW w:w="2069"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221B9C">
            <w:pPr>
              <w:spacing w:after="144"/>
              <w:jc w:val="center"/>
              <w:rPr>
                <w:b/>
                <w:sz w:val="20"/>
                <w:szCs w:val="20"/>
              </w:rPr>
            </w:pPr>
          </w:p>
        </w:tc>
        <w:tc>
          <w:tcPr>
            <w:tcW w:w="586"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2008</w:t>
            </w:r>
          </w:p>
        </w:tc>
        <w:tc>
          <w:tcPr>
            <w:tcW w:w="586"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2010</w:t>
            </w:r>
          </w:p>
        </w:tc>
        <w:tc>
          <w:tcPr>
            <w:tcW w:w="586"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2011</w:t>
            </w:r>
          </w:p>
        </w:tc>
        <w:tc>
          <w:tcPr>
            <w:tcW w:w="586"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2012</w:t>
            </w:r>
          </w:p>
        </w:tc>
        <w:tc>
          <w:tcPr>
            <w:tcW w:w="586"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2013</w:t>
            </w:r>
          </w:p>
        </w:tc>
      </w:tr>
      <w:tr w:rsidR="005A63D9" w:rsidRPr="00E27ED8" w:rsidTr="00510C04">
        <w:tc>
          <w:tcPr>
            <w:tcW w:w="2069" w:type="pct"/>
            <w:tcBorders>
              <w:top w:val="double" w:sz="4" w:space="0" w:color="auto"/>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0" w:firstLine="0"/>
              <w:jc w:val="center"/>
              <w:rPr>
                <w:sz w:val="18"/>
                <w:szCs w:val="18"/>
              </w:rPr>
            </w:pPr>
            <w:r w:rsidRPr="00E27ED8">
              <w:rPr>
                <w:sz w:val="18"/>
                <w:szCs w:val="18"/>
              </w:rPr>
              <w:t>Výdaje na VaV (% HDP)</w:t>
            </w:r>
          </w:p>
        </w:tc>
        <w:tc>
          <w:tcPr>
            <w:tcW w:w="586" w:type="pct"/>
            <w:tcBorders>
              <w:top w:val="double" w:sz="4" w:space="0" w:color="auto"/>
              <w:left w:val="single" w:sz="12" w:space="0" w:color="auto"/>
            </w:tcBorders>
            <w:vAlign w:val="center"/>
          </w:tcPr>
          <w:p w:rsidR="005A63D9" w:rsidRPr="00E27ED8" w:rsidRDefault="005A63D9" w:rsidP="00221B9C">
            <w:pPr>
              <w:spacing w:after="144"/>
              <w:jc w:val="center"/>
              <w:rPr>
                <w:sz w:val="18"/>
                <w:szCs w:val="18"/>
              </w:rPr>
            </w:pPr>
            <w:r w:rsidRPr="00E27ED8">
              <w:rPr>
                <w:sz w:val="18"/>
                <w:szCs w:val="18"/>
              </w:rPr>
              <w:t>2,60</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2,72</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2,8</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2,88</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2,85</w:t>
            </w:r>
          </w:p>
        </w:tc>
      </w:tr>
      <w:tr w:rsidR="005A63D9" w:rsidRPr="00E27ED8" w:rsidTr="00510C04">
        <w:tc>
          <w:tcPr>
            <w:tcW w:w="2069" w:type="pct"/>
            <w:tcBorders>
              <w:right w:val="single" w:sz="12" w:space="0" w:color="auto"/>
            </w:tcBorders>
            <w:vAlign w:val="center"/>
          </w:tcPr>
          <w:p w:rsidR="005A63D9" w:rsidRPr="00E27ED8" w:rsidRDefault="005A63D9" w:rsidP="0054494D">
            <w:pPr>
              <w:pStyle w:val="ListParagraph"/>
              <w:numPr>
                <w:ilvl w:val="0"/>
                <w:numId w:val="15"/>
              </w:numPr>
              <w:spacing w:afterLines="0"/>
              <w:ind w:left="284" w:hanging="284"/>
              <w:jc w:val="center"/>
              <w:rPr>
                <w:sz w:val="18"/>
                <w:szCs w:val="18"/>
              </w:rPr>
            </w:pPr>
            <w:r w:rsidRPr="00E27ED8">
              <w:rPr>
                <w:sz w:val="18"/>
                <w:szCs w:val="18"/>
              </w:rPr>
              <w:t>Podíl státních výdajů na celkových výdajích na VaV (%)</w:t>
            </w:r>
          </w:p>
        </w:tc>
        <w:tc>
          <w:tcPr>
            <w:tcW w:w="586" w:type="pct"/>
            <w:tcBorders>
              <w:left w:val="single" w:sz="12" w:space="0" w:color="auto"/>
            </w:tcBorders>
            <w:vAlign w:val="center"/>
          </w:tcPr>
          <w:p w:rsidR="005A63D9" w:rsidRPr="00E27ED8" w:rsidRDefault="005A63D9" w:rsidP="00221B9C">
            <w:pPr>
              <w:spacing w:after="144"/>
              <w:jc w:val="center"/>
              <w:rPr>
                <w:sz w:val="18"/>
                <w:szCs w:val="18"/>
              </w:rPr>
            </w:pPr>
            <w:r w:rsidRPr="00E27ED8">
              <w:rPr>
                <w:sz w:val="18"/>
                <w:szCs w:val="18"/>
              </w:rPr>
              <w:t>28,4</w:t>
            </w:r>
          </w:p>
        </w:tc>
        <w:tc>
          <w:tcPr>
            <w:tcW w:w="586" w:type="pct"/>
            <w:vAlign w:val="center"/>
          </w:tcPr>
          <w:p w:rsidR="005A63D9" w:rsidRPr="00E27ED8" w:rsidRDefault="005A63D9" w:rsidP="00221B9C">
            <w:pPr>
              <w:spacing w:after="144"/>
              <w:jc w:val="center"/>
              <w:rPr>
                <w:sz w:val="18"/>
                <w:szCs w:val="18"/>
              </w:rPr>
            </w:pPr>
            <w:r w:rsidRPr="00E27ED8">
              <w:rPr>
                <w:sz w:val="18"/>
                <w:szCs w:val="18"/>
              </w:rPr>
              <w:t>30,3</w:t>
            </w:r>
          </w:p>
        </w:tc>
        <w:tc>
          <w:tcPr>
            <w:tcW w:w="586" w:type="pct"/>
            <w:vAlign w:val="center"/>
          </w:tcPr>
          <w:p w:rsidR="005A63D9" w:rsidRPr="00E27ED8" w:rsidRDefault="005A63D9" w:rsidP="00221B9C">
            <w:pPr>
              <w:spacing w:after="144"/>
              <w:jc w:val="center"/>
              <w:rPr>
                <w:sz w:val="18"/>
                <w:szCs w:val="18"/>
              </w:rPr>
            </w:pPr>
            <w:r w:rsidRPr="00E27ED8">
              <w:rPr>
                <w:sz w:val="18"/>
                <w:szCs w:val="18"/>
              </w:rPr>
              <w:t>29,8</w:t>
            </w:r>
          </w:p>
        </w:tc>
        <w:tc>
          <w:tcPr>
            <w:tcW w:w="586" w:type="pct"/>
            <w:vAlign w:val="center"/>
          </w:tcPr>
          <w:p w:rsidR="005A63D9" w:rsidRPr="00E27ED8" w:rsidRDefault="005A63D9" w:rsidP="00221B9C">
            <w:pPr>
              <w:spacing w:after="144"/>
              <w:jc w:val="center"/>
              <w:rPr>
                <w:sz w:val="18"/>
                <w:szCs w:val="18"/>
              </w:rPr>
            </w:pPr>
            <w:r w:rsidRPr="00E27ED8">
              <w:rPr>
                <w:sz w:val="18"/>
                <w:szCs w:val="18"/>
              </w:rPr>
              <w:t>29,2</w:t>
            </w:r>
          </w:p>
        </w:tc>
        <w:tc>
          <w:tcPr>
            <w:tcW w:w="586" w:type="pct"/>
            <w:vAlign w:val="center"/>
          </w:tcPr>
          <w:p w:rsidR="005A63D9" w:rsidRPr="00E27ED8" w:rsidRDefault="005A63D9" w:rsidP="00221B9C">
            <w:pPr>
              <w:spacing w:after="144"/>
              <w:jc w:val="center"/>
              <w:rPr>
                <w:sz w:val="18"/>
                <w:szCs w:val="18"/>
              </w:rPr>
            </w:pPr>
          </w:p>
        </w:tc>
      </w:tr>
      <w:tr w:rsidR="005A63D9" w:rsidRPr="00E27ED8" w:rsidTr="00510C04">
        <w:tc>
          <w:tcPr>
            <w:tcW w:w="2069" w:type="pct"/>
            <w:tcBorders>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284" w:hanging="284"/>
              <w:jc w:val="center"/>
              <w:rPr>
                <w:sz w:val="18"/>
                <w:szCs w:val="18"/>
              </w:rPr>
            </w:pPr>
            <w:r w:rsidRPr="00E27ED8">
              <w:rPr>
                <w:sz w:val="18"/>
                <w:szCs w:val="18"/>
              </w:rPr>
              <w:t>Podíl státních výdajů na VaV na celkových výdajích státu (%)</w:t>
            </w:r>
          </w:p>
        </w:tc>
        <w:tc>
          <w:tcPr>
            <w:tcW w:w="586" w:type="pct"/>
            <w:tcBorders>
              <w:left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1,77</w:t>
            </w:r>
          </w:p>
        </w:tc>
        <w:tc>
          <w:tcPr>
            <w:tcW w:w="586" w:type="pct"/>
            <w:vAlign w:val="center"/>
          </w:tcPr>
          <w:p w:rsidR="005A63D9" w:rsidRPr="00E27ED8" w:rsidRDefault="005A63D9" w:rsidP="00221B9C">
            <w:pPr>
              <w:spacing w:after="144"/>
              <w:jc w:val="center"/>
              <w:rPr>
                <w:sz w:val="18"/>
                <w:szCs w:val="18"/>
              </w:rPr>
            </w:pPr>
            <w:r w:rsidRPr="00E27ED8">
              <w:rPr>
                <w:sz w:val="18"/>
                <w:szCs w:val="18"/>
              </w:rPr>
              <w:t>1,89</w:t>
            </w:r>
          </w:p>
        </w:tc>
        <w:tc>
          <w:tcPr>
            <w:tcW w:w="586" w:type="pct"/>
            <w:vAlign w:val="center"/>
          </w:tcPr>
          <w:p w:rsidR="005A63D9" w:rsidRPr="00E27ED8" w:rsidRDefault="005A63D9" w:rsidP="00221B9C">
            <w:pPr>
              <w:spacing w:after="144"/>
              <w:jc w:val="center"/>
              <w:rPr>
                <w:sz w:val="18"/>
                <w:szCs w:val="18"/>
              </w:rPr>
            </w:pPr>
            <w:r w:rsidRPr="00E27ED8">
              <w:rPr>
                <w:sz w:val="18"/>
                <w:szCs w:val="18"/>
              </w:rPr>
              <w:t>1,97</w:t>
            </w:r>
          </w:p>
        </w:tc>
        <w:tc>
          <w:tcPr>
            <w:tcW w:w="586" w:type="pct"/>
            <w:vAlign w:val="center"/>
          </w:tcPr>
          <w:p w:rsidR="005A63D9" w:rsidRPr="00E27ED8" w:rsidRDefault="005A63D9" w:rsidP="00221B9C">
            <w:pPr>
              <w:spacing w:after="144"/>
              <w:jc w:val="center"/>
              <w:rPr>
                <w:sz w:val="18"/>
                <w:szCs w:val="18"/>
              </w:rPr>
            </w:pPr>
            <w:r w:rsidRPr="00E27ED8">
              <w:rPr>
                <w:sz w:val="18"/>
                <w:szCs w:val="18"/>
              </w:rPr>
              <w:t>1,98</w:t>
            </w:r>
          </w:p>
        </w:tc>
        <w:tc>
          <w:tcPr>
            <w:tcW w:w="586" w:type="pct"/>
            <w:vAlign w:val="center"/>
          </w:tcPr>
          <w:p w:rsidR="005A63D9" w:rsidRPr="00E27ED8" w:rsidRDefault="005A63D9" w:rsidP="00221B9C">
            <w:pPr>
              <w:spacing w:after="144"/>
              <w:jc w:val="center"/>
              <w:rPr>
                <w:sz w:val="18"/>
                <w:szCs w:val="18"/>
              </w:rPr>
            </w:pPr>
            <w:r w:rsidRPr="00E27ED8">
              <w:rPr>
                <w:sz w:val="18"/>
                <w:szCs w:val="18"/>
              </w:rPr>
              <w:t>2,04</w:t>
            </w:r>
          </w:p>
        </w:tc>
      </w:tr>
      <w:tr w:rsidR="005A63D9" w:rsidRPr="00E27ED8" w:rsidTr="00510C04">
        <w:tc>
          <w:tcPr>
            <w:tcW w:w="2069" w:type="pct"/>
            <w:tcBorders>
              <w:bottom w:val="single" w:sz="12" w:space="0" w:color="auto"/>
              <w:right w:val="single" w:sz="12" w:space="0" w:color="auto"/>
            </w:tcBorders>
            <w:vAlign w:val="center"/>
          </w:tcPr>
          <w:p w:rsidR="005A63D9" w:rsidRPr="00E27ED8" w:rsidRDefault="005A63D9" w:rsidP="0054494D">
            <w:pPr>
              <w:pStyle w:val="ListParagraph"/>
              <w:numPr>
                <w:ilvl w:val="0"/>
                <w:numId w:val="15"/>
              </w:numPr>
              <w:tabs>
                <w:tab w:val="left" w:pos="284"/>
              </w:tabs>
              <w:spacing w:afterLines="0"/>
              <w:ind w:left="284" w:hanging="284"/>
              <w:jc w:val="center"/>
              <w:rPr>
                <w:sz w:val="18"/>
                <w:szCs w:val="18"/>
              </w:rPr>
            </w:pPr>
            <w:r w:rsidRPr="00E27ED8">
              <w:rPr>
                <w:sz w:val="18"/>
                <w:szCs w:val="18"/>
              </w:rPr>
              <w:t>Podíl účelových výdajů státu na VaV na celkových výdajích státu na VaV (%)</w:t>
            </w:r>
            <w:r w:rsidRPr="00E27ED8">
              <w:rPr>
                <w:rStyle w:val="FootnoteReference"/>
                <w:rFonts w:cs="Arial"/>
                <w:sz w:val="18"/>
                <w:szCs w:val="18"/>
              </w:rPr>
              <w:footnoteReference w:id="23"/>
            </w:r>
          </w:p>
        </w:tc>
        <w:tc>
          <w:tcPr>
            <w:tcW w:w="586" w:type="pct"/>
            <w:tcBorders>
              <w:left w:val="single" w:sz="12" w:space="0" w:color="auto"/>
              <w:bottom w:val="single" w:sz="12" w:space="0" w:color="auto"/>
            </w:tcBorders>
            <w:vAlign w:val="center"/>
          </w:tcPr>
          <w:p w:rsidR="005A63D9" w:rsidRPr="00E27ED8" w:rsidRDefault="005A63D9" w:rsidP="00221B9C">
            <w:pPr>
              <w:spacing w:after="144"/>
              <w:jc w:val="center"/>
              <w:rPr>
                <w:sz w:val="18"/>
                <w:szCs w:val="18"/>
              </w:rPr>
            </w:pP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37,3</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35,9</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36,2</w:t>
            </w:r>
          </w:p>
        </w:tc>
      </w:tr>
    </w:tbl>
    <w:p w:rsidR="005A63D9" w:rsidRPr="00D10838" w:rsidRDefault="005A63D9" w:rsidP="0008405A">
      <w:pPr>
        <w:pStyle w:val="ZDROJovan"/>
        <w:spacing w:after="144" w:line="288" w:lineRule="auto"/>
        <w:jc w:val="both"/>
      </w:pPr>
      <w:r w:rsidRPr="00CF365D">
        <w:t>Zdroj: (1) a (2) Bundesbericht Forschung und Innovation 2014; (3) a 4), Eurostat Databáze VaV</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 xml:space="preserve">Stát se na celkových výdajích na VaV podílí necelou třetinou. Rozhodující část výdajů na VaV pochází od soukromého sektoru. </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Součástí Paktů o výzkumu je i nová strategie high</w:t>
      </w:r>
      <w:r>
        <w:rPr>
          <w:color w:val="000000"/>
          <w:shd w:val="clear" w:color="auto" w:fill="FFFFFF"/>
          <w:lang w:eastAsia="cs-CZ"/>
        </w:rPr>
        <w:t>–tech Německa. Strategie, která </w:t>
      </w:r>
      <w:r w:rsidRPr="00414F4E">
        <w:rPr>
          <w:color w:val="000000"/>
          <w:shd w:val="clear" w:color="auto" w:fill="FFFFFF"/>
          <w:lang w:eastAsia="cs-CZ"/>
        </w:rPr>
        <w:t>navazuje na stávající high-tech strategii, byla schválena vládou v roce 2014. Strategie má 5 základních principů:</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Prioritní perspektivní úkoly;</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Vytváření výzkumných a inovačních sítí a transfer;</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Větší inovační dynamika v hospodářství;</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Tvorba rámcových podmínek příznivých pro inovace;</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Transparentnost a participace.</w:t>
      </w:r>
    </w:p>
    <w:p w:rsidR="005A63D9"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Spolková vláda zaměří tematicky orientovaný výzkum a inovační politiku na šest prioritních perspektivních úkolů. U perspektivních úkolů souvisejících se životním prostředím jsou uvedeny jejich stručné charakteristiky.</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414F4E">
      <w:pPr>
        <w:widowControl w:val="0"/>
        <w:adjustRightInd w:val="0"/>
        <w:spacing w:afterLines="0"/>
        <w:contextualSpacing w:val="0"/>
        <w:jc w:val="both"/>
        <w:textAlignment w:val="baseline"/>
        <w:rPr>
          <w:color w:val="000000"/>
          <w:shd w:val="clear" w:color="auto" w:fill="FFFFFF"/>
          <w:lang w:eastAsia="cs-CZ"/>
        </w:rPr>
      </w:pPr>
      <w:r w:rsidRPr="00414F4E">
        <w:rPr>
          <w:color w:val="000000"/>
          <w:shd w:val="clear" w:color="auto" w:fill="FFFFFF"/>
          <w:lang w:eastAsia="cs-CZ"/>
        </w:rPr>
        <w:t>Prioritní perspektivní úkoly (tematické priority):</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Digitální ekonomika a společnost</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Udržitelné hospodářství a energetika</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 xml:space="preserve">Postupy a způsoby, jakými produkujeme a spotřebováváme, musí šetrněji využívat zdroje, musí brát větší ohled na životní prostředí, musí být </w:t>
      </w:r>
      <w:r>
        <w:rPr>
          <w:color w:val="000000"/>
          <w:shd w:val="clear" w:color="auto" w:fill="FFFFFF"/>
          <w:lang w:eastAsia="cs-CZ"/>
        </w:rPr>
        <w:t>sociálně spravedlivější a tím i </w:t>
      </w:r>
      <w:r w:rsidRPr="00414F4E">
        <w:rPr>
          <w:color w:val="000000"/>
          <w:shd w:val="clear" w:color="auto" w:fill="FFFFFF"/>
          <w:lang w:eastAsia="cs-CZ"/>
        </w:rPr>
        <w:t xml:space="preserve">celkově udržitelnější. </w:t>
      </w:r>
    </w:p>
    <w:p w:rsidR="005A63D9" w:rsidRPr="00414F4E" w:rsidRDefault="005A63D9" w:rsidP="00414F4E">
      <w:pPr>
        <w:widowControl w:val="0"/>
        <w:adjustRightInd w:val="0"/>
        <w:spacing w:afterLines="0"/>
        <w:contextualSpacing w:val="0"/>
        <w:jc w:val="both"/>
        <w:textAlignment w:val="baseline"/>
        <w:rPr>
          <w:color w:val="000000"/>
          <w:shd w:val="clear" w:color="auto" w:fill="FFFFFF"/>
          <w:lang w:eastAsia="cs-CZ"/>
        </w:rPr>
      </w:pPr>
      <w:r w:rsidRPr="00414F4E">
        <w:rPr>
          <w:color w:val="000000"/>
          <w:shd w:val="clear" w:color="auto" w:fill="FFFFFF"/>
          <w:lang w:eastAsia="cs-CZ"/>
        </w:rPr>
        <w:t>Podpora bude soustředěna na: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Energetický výzkum;</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Zelená ekonomika;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Bioekonomiku;</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Udržitelnou zemědělskou produkci;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Zabezpečení zásobování surovinami;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Města budoucnosti;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Stavby budoucnosti;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Udržitelnou spotřebu;</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Inovativní svět práce;</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Zdravý život;</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Inteligentní mobilita;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Civilní bezpečnost.</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Komplexní systémy a infrastruktury, např. zásobování energií, komunikace, mobilita, zdravotní péče nebo logistika musí spolehlivě fungovat v každodenním životě lidí.</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 xml:space="preserve">Pro realizaci prioritních perspektivních úkolů aktualizované strategie high-tech budou využity osvědčené projekty budoucnosti. Stávající projekty budou po evaluaci buď rozšířeny, jinak upraveny nebo ukončeny. </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Doposud se řeší následující projekty budoucnosti: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CO2 – neutrální, energeticky efektivní a klimatu přizpůsobené město</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Rostlinné suroviny jak</w:t>
      </w:r>
      <w:r>
        <w:rPr>
          <w:color w:val="000000"/>
          <w:shd w:val="clear" w:color="auto" w:fill="FFFFFF"/>
          <w:lang w:eastAsia="cs-CZ"/>
        </w:rPr>
        <w:t>o</w:t>
      </w:r>
      <w:r w:rsidRPr="00414F4E">
        <w:rPr>
          <w:color w:val="000000"/>
          <w:shd w:val="clear" w:color="auto" w:fill="FFFFFF"/>
          <w:lang w:eastAsia="cs-CZ"/>
        </w:rPr>
        <w:t xml:space="preserve"> alternativa ropy</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Inteligentní přestavby zásobování energií</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Individualizovaná medicína pro lepší terapii nemocí</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Lepší zdraví prevencí a výživou</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Samostatný život i ve stáří</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Udržitelná mobilita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Na internetu založené služby pro hospodářství</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Průmysl 4.0</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Bezpečnější identity</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Spolkové ministerstvo pro vzdělání a výzkum každé dva roky vydává Spolkovou zprávu výzkum a inovace (Bundesbericht Forschung und Innovation) a předkládá ji spolkové vládě a parlamentu. Zprávy jsou velice podrobné a konkrétní. Zpráva 2014 má 730 stran formátu A4. Zkrácená znění v němčině a angličtině mají kolem 130 stran formátu A4.</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Zpráva 2014 kromě jiného podrobně informuje o stavu priorit VaVaI spolkové vlády. Jde o následující priority:</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Zdraví / výživa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Klima / energie v členění:</w:t>
      </w:r>
    </w:p>
    <w:p w:rsidR="005A63D9" w:rsidRPr="00414F4E" w:rsidRDefault="005A63D9" w:rsidP="00414F4E">
      <w:pPr>
        <w:pStyle w:val="ListParagraph"/>
        <w:widowControl w:val="0"/>
        <w:numPr>
          <w:ilvl w:val="0"/>
          <w:numId w:val="88"/>
        </w:numPr>
        <w:adjustRightInd w:val="0"/>
        <w:spacing w:after="144"/>
        <w:contextualSpacing w:val="0"/>
        <w:jc w:val="both"/>
        <w:textAlignment w:val="baseline"/>
        <w:rPr>
          <w:color w:val="000000"/>
          <w:shd w:val="clear" w:color="auto" w:fill="FFFFFF"/>
          <w:lang w:eastAsia="cs-CZ"/>
        </w:rPr>
      </w:pPr>
      <w:r w:rsidRPr="00414F4E">
        <w:rPr>
          <w:color w:val="000000"/>
          <w:shd w:val="clear" w:color="auto" w:fill="FFFFFF"/>
          <w:lang w:eastAsia="cs-CZ"/>
        </w:rPr>
        <w:t>Bioekonomie</w:t>
      </w:r>
    </w:p>
    <w:p w:rsidR="005A63D9" w:rsidRPr="00414F4E" w:rsidRDefault="005A63D9" w:rsidP="00414F4E">
      <w:pPr>
        <w:pStyle w:val="ListParagraph"/>
        <w:widowControl w:val="0"/>
        <w:numPr>
          <w:ilvl w:val="0"/>
          <w:numId w:val="88"/>
        </w:numPr>
        <w:adjustRightInd w:val="0"/>
        <w:spacing w:after="144"/>
        <w:contextualSpacing w:val="0"/>
        <w:jc w:val="both"/>
        <w:textAlignment w:val="baseline"/>
        <w:rPr>
          <w:color w:val="000000"/>
          <w:shd w:val="clear" w:color="auto" w:fill="FFFFFF"/>
          <w:lang w:eastAsia="cs-CZ"/>
        </w:rPr>
      </w:pPr>
      <w:r w:rsidRPr="00414F4E">
        <w:rPr>
          <w:color w:val="000000"/>
          <w:shd w:val="clear" w:color="auto" w:fill="FFFFFF"/>
          <w:lang w:eastAsia="cs-CZ"/>
        </w:rPr>
        <w:t>Klima, životní prostředí, udržitelnost</w:t>
      </w:r>
    </w:p>
    <w:p w:rsidR="005A63D9" w:rsidRPr="001C28EE" w:rsidRDefault="005A63D9" w:rsidP="00414F4E">
      <w:pPr>
        <w:pStyle w:val="ListParagraph"/>
        <w:numPr>
          <w:ilvl w:val="2"/>
          <w:numId w:val="42"/>
        </w:numPr>
        <w:spacing w:after="144"/>
        <w:jc w:val="both"/>
      </w:pPr>
      <w:r w:rsidRPr="001C28EE">
        <w:t>Klima, ochrana klimatu, globální změny</w:t>
      </w:r>
    </w:p>
    <w:p w:rsidR="005A63D9" w:rsidRPr="001C28EE" w:rsidRDefault="005A63D9" w:rsidP="00414F4E">
      <w:pPr>
        <w:pStyle w:val="ListParagraph"/>
        <w:numPr>
          <w:ilvl w:val="2"/>
          <w:numId w:val="42"/>
        </w:numPr>
        <w:spacing w:after="144"/>
        <w:jc w:val="both"/>
      </w:pPr>
      <w:r w:rsidRPr="001C28EE">
        <w:t>Výzkum problematiky moří, pobřežních a polárních oblastí, geologické vědy</w:t>
      </w:r>
    </w:p>
    <w:p w:rsidR="005A63D9" w:rsidRPr="00414F4E"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Ekologie, ochrana přírody, udržitelné využití</w:t>
      </w:r>
    </w:p>
    <w:p w:rsidR="005A63D9" w:rsidRPr="00414F4E" w:rsidRDefault="005A63D9" w:rsidP="0017104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414F4E">
        <w:rPr>
          <w:color w:val="000000"/>
          <w:shd w:val="clear" w:color="auto" w:fill="FFFFFF"/>
          <w:lang w:eastAsia="cs-CZ"/>
        </w:rPr>
        <w:t>Energetický výzkum a energetické technologie</w:t>
      </w:r>
    </w:p>
    <w:p w:rsidR="005A63D9" w:rsidRDefault="005A63D9" w:rsidP="00171047">
      <w:pPr>
        <w:pStyle w:val="ListParagraph"/>
        <w:numPr>
          <w:ilvl w:val="0"/>
          <w:numId w:val="89"/>
        </w:numPr>
        <w:spacing w:after="144"/>
        <w:jc w:val="both"/>
      </w:pPr>
      <w:r>
        <w:t>Energetická efektivnost</w:t>
      </w:r>
    </w:p>
    <w:p w:rsidR="005A63D9" w:rsidRDefault="005A63D9" w:rsidP="00171047">
      <w:pPr>
        <w:pStyle w:val="ListParagraph"/>
        <w:numPr>
          <w:ilvl w:val="0"/>
          <w:numId w:val="89"/>
        </w:numPr>
        <w:spacing w:after="144"/>
        <w:jc w:val="both"/>
      </w:pPr>
      <w:r>
        <w:t>Obnovitelné energie</w:t>
      </w:r>
    </w:p>
    <w:p w:rsidR="005A63D9" w:rsidRDefault="005A63D9" w:rsidP="00171047">
      <w:pPr>
        <w:pStyle w:val="ListParagraph"/>
        <w:numPr>
          <w:ilvl w:val="0"/>
          <w:numId w:val="89"/>
        </w:numPr>
        <w:spacing w:after="144"/>
        <w:jc w:val="both"/>
      </w:pPr>
      <w:r>
        <w:t>Základní výzkum energetických technologií</w:t>
      </w:r>
    </w:p>
    <w:p w:rsidR="005A63D9" w:rsidRDefault="005A63D9" w:rsidP="00171047">
      <w:pPr>
        <w:pStyle w:val="ListParagraph"/>
        <w:numPr>
          <w:ilvl w:val="0"/>
          <w:numId w:val="89"/>
        </w:numPr>
        <w:spacing w:after="144"/>
        <w:jc w:val="both"/>
      </w:pPr>
      <w:r>
        <w:t>Energetická bezpečnost a ukládání radioaktivního odpadu</w:t>
      </w:r>
    </w:p>
    <w:p w:rsidR="005A63D9" w:rsidRDefault="005A63D9" w:rsidP="00171047">
      <w:pPr>
        <w:pStyle w:val="ListParagraph"/>
        <w:numPr>
          <w:ilvl w:val="0"/>
          <w:numId w:val="89"/>
        </w:numPr>
        <w:spacing w:after="144"/>
        <w:jc w:val="both"/>
      </w:pPr>
      <w:r>
        <w:t>Odstavování, likvidace a zabezpečení zbytků jaderných pilotních a výzkumných zařízení</w:t>
      </w:r>
    </w:p>
    <w:p w:rsidR="005A63D9" w:rsidRDefault="005A63D9" w:rsidP="00171047">
      <w:pPr>
        <w:pStyle w:val="ListParagraph"/>
        <w:numPr>
          <w:ilvl w:val="0"/>
          <w:numId w:val="89"/>
        </w:numPr>
        <w:spacing w:after="144"/>
        <w:jc w:val="both"/>
      </w:pPr>
      <w:r>
        <w:t>Výzkum jaderné fuze</w:t>
      </w:r>
    </w:p>
    <w:p w:rsidR="005A63D9" w:rsidRPr="00414F4E" w:rsidRDefault="005A63D9" w:rsidP="0017104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414F4E">
        <w:rPr>
          <w:color w:val="000000"/>
          <w:shd w:val="clear" w:color="auto" w:fill="FFFFFF"/>
          <w:lang w:eastAsia="cs-CZ"/>
        </w:rPr>
        <w:t>Územní plánování, rozvoj měst, bydlení a stavební výzkum</w:t>
      </w:r>
    </w:p>
    <w:p w:rsidR="005A63D9" w:rsidRDefault="005A63D9" w:rsidP="00171047">
      <w:pPr>
        <w:pStyle w:val="ListParagraph"/>
        <w:numPr>
          <w:ilvl w:val="0"/>
          <w:numId w:val="90"/>
        </w:numPr>
        <w:spacing w:after="144"/>
        <w:jc w:val="both"/>
      </w:pPr>
      <w:r>
        <w:t>Územní plánování, rozvoj měst a bydlení</w:t>
      </w:r>
    </w:p>
    <w:p w:rsidR="005A63D9" w:rsidRDefault="005A63D9" w:rsidP="00171047">
      <w:pPr>
        <w:pStyle w:val="ListParagraph"/>
        <w:numPr>
          <w:ilvl w:val="0"/>
          <w:numId w:val="90"/>
        </w:numPr>
        <w:spacing w:after="144"/>
        <w:jc w:val="both"/>
      </w:pPr>
      <w:r>
        <w:t>Stavební výzkum</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Mobilita</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Komunikace</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Bezpečnost</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color w:val="000000"/>
          <w:shd w:val="clear" w:color="auto" w:fill="FFFFFF"/>
          <w:lang w:eastAsia="cs-CZ"/>
        </w:rPr>
        <w:t>Klíčové technologie</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Velice výraznou roli ve VaV životního prostředí v Něm</w:t>
      </w:r>
      <w:r>
        <w:rPr>
          <w:color w:val="000000"/>
          <w:shd w:val="clear" w:color="auto" w:fill="FFFFFF"/>
          <w:lang w:eastAsia="cs-CZ"/>
        </w:rPr>
        <w:t>ecku má tzv. bioekonomie, která </w:t>
      </w:r>
      <w:r w:rsidRPr="00414F4E">
        <w:rPr>
          <w:color w:val="000000"/>
          <w:shd w:val="clear" w:color="auto" w:fill="FFFFFF"/>
          <w:lang w:eastAsia="cs-CZ"/>
        </w:rPr>
        <w:t>se zabývá hospodářským využitím biologických zdro</w:t>
      </w:r>
      <w:r>
        <w:rPr>
          <w:color w:val="000000"/>
          <w:shd w:val="clear" w:color="auto" w:fill="FFFFFF"/>
          <w:lang w:eastAsia="cs-CZ"/>
        </w:rPr>
        <w:t>jů – rostlin, zvířat a </w:t>
      </w:r>
      <w:r w:rsidRPr="00414F4E">
        <w:rPr>
          <w:color w:val="000000"/>
          <w:shd w:val="clear" w:color="auto" w:fill="FFFFFF"/>
          <w:lang w:eastAsia="cs-CZ"/>
        </w:rPr>
        <w:t>mikroorganismů. Bioekonomie vychází z nejnovějších vědeckých poznatků a vytváří mosty mezi technologiemi, ekologií a efektivním hospodářství</w:t>
      </w:r>
      <w:r>
        <w:rPr>
          <w:color w:val="000000"/>
          <w:shd w:val="clear" w:color="auto" w:fill="FFFFFF"/>
          <w:lang w:eastAsia="cs-CZ"/>
        </w:rPr>
        <w:t>m. Jde o komplexní přístup, při </w:t>
      </w:r>
      <w:r w:rsidRPr="00414F4E">
        <w:rPr>
          <w:color w:val="000000"/>
          <w:shd w:val="clear" w:color="auto" w:fill="FFFFFF"/>
          <w:lang w:eastAsia="cs-CZ"/>
        </w:rPr>
        <w:t>kterém nesmí být potravinářské plodiny vytěsňovány plodinami pro energetické a jiné hospodářské využití.</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Spolková vláda 10. listopadu 2010 schválila „Národní strategii výzkumu – Bioekonomie 2030“, na kterou do roku 2016 vyčlenila 6 mld. €. Předpokládá se, že finanční prostředky na</w:t>
      </w:r>
      <w:r>
        <w:rPr>
          <w:color w:val="000000"/>
          <w:shd w:val="clear" w:color="auto" w:fill="FFFFFF"/>
          <w:lang w:eastAsia="cs-CZ"/>
        </w:rPr>
        <w:t> </w:t>
      </w:r>
      <w:r w:rsidRPr="00414F4E">
        <w:rPr>
          <w:color w:val="000000"/>
          <w:shd w:val="clear" w:color="auto" w:fill="FFFFFF"/>
          <w:lang w:eastAsia="cs-CZ"/>
        </w:rPr>
        <w:t>další šestileté období budou zvýšeny. Spolková vláda do své bioekonomické strategie zahrnula i společenské vědy, které se mají zabývat vzájemnými vztahy technologií, společnosti, hospodářství a ekologie. Strategie má pět hlavních cílů: Zabezpečit celosvětovou výživu; Agrární produkci uspořádat jak</w:t>
      </w:r>
      <w:r>
        <w:rPr>
          <w:color w:val="000000"/>
          <w:shd w:val="clear" w:color="auto" w:fill="FFFFFF"/>
          <w:lang w:eastAsia="cs-CZ"/>
        </w:rPr>
        <w:t>o udržitelnou; Vyrábět zdravé a </w:t>
      </w:r>
      <w:r w:rsidRPr="00414F4E">
        <w:rPr>
          <w:color w:val="000000"/>
          <w:shd w:val="clear" w:color="auto" w:fill="FFFFFF"/>
          <w:lang w:eastAsia="cs-CZ"/>
        </w:rPr>
        <w:t>bezpečné potraviny; Průmyslově využívat obnovitelné přírodní zdroje; Energetické zdroje na bázi biomasy. Problematika má samostatnou webovou stránku (www.bioekonomie.de). Byla ustavena Rada pro bioekonomii jako poradní grémium spolkové vlády.</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V listopadu 2015 se v Berlíně konala dvoudenní (25. a 26. 11.) velké mezinárodní konference „Global Bioeconomy Summit“, které se zúčastnilo více než 500 odborníků z celého světa.</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414F4E">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14" w:name="_Toc440897425"/>
      <w:bookmarkStart w:id="115" w:name="_Toc441760827"/>
      <w:bookmarkStart w:id="116" w:name="_Toc441849490"/>
      <w:r w:rsidRPr="00414F4E">
        <w:rPr>
          <w:rFonts w:cs="Arial"/>
          <w:bCs/>
          <w:iCs/>
          <w:color w:val="000000"/>
          <w:shd w:val="clear" w:color="auto" w:fill="FFFFFF"/>
          <w:lang/>
        </w:rPr>
        <w:t>4.2. Státní správa VaV v oblasti životního prostředí</w:t>
      </w:r>
      <w:bookmarkEnd w:id="114"/>
      <w:bookmarkEnd w:id="115"/>
      <w:bookmarkEnd w:id="116"/>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V Německu je uplatněn systém dvou hlavních ministerstev pro záležitosti VaVaI.</w:t>
      </w:r>
      <w:r>
        <w:rPr>
          <w:color w:val="000000"/>
          <w:shd w:val="clear" w:color="auto" w:fill="FFFFFF"/>
          <w:lang w:eastAsia="cs-CZ"/>
        </w:rPr>
        <w:t xml:space="preserve"> Jsou </w:t>
      </w:r>
      <w:r w:rsidRPr="00414F4E">
        <w:rPr>
          <w:color w:val="000000"/>
          <w:shd w:val="clear" w:color="auto" w:fill="FFFFFF"/>
          <w:lang w:eastAsia="cs-CZ"/>
        </w:rPr>
        <w:t>jimi:</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b/>
          <w:color w:val="000000"/>
          <w:shd w:val="clear" w:color="auto" w:fill="FFFFFF"/>
          <w:lang w:eastAsia="cs-CZ"/>
        </w:rPr>
        <w:t>Spolkové ministerstvo pro vzdělání a výzkum</w:t>
      </w:r>
      <w:r w:rsidRPr="00414F4E">
        <w:rPr>
          <w:color w:val="000000"/>
          <w:shd w:val="clear" w:color="auto" w:fill="FFFFFF"/>
          <w:lang w:eastAsia="cs-CZ"/>
        </w:rPr>
        <w:t xml:space="preserve"> (Bundes Ministerium für Bildung und Forschung, BMBF – www.bmbf.de), koncepce, strategie, základní výzkum, VaV na vysokých školách aj.;</w:t>
      </w:r>
    </w:p>
    <w:p w:rsidR="005A63D9" w:rsidRPr="00414F4E" w:rsidRDefault="005A63D9" w:rsidP="00414F4E">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14F4E">
        <w:rPr>
          <w:b/>
          <w:color w:val="000000"/>
          <w:shd w:val="clear" w:color="auto" w:fill="FFFFFF"/>
          <w:lang w:eastAsia="cs-CZ"/>
        </w:rPr>
        <w:t xml:space="preserve">Spolkové ministerstvo pro hospodářství a technologie </w:t>
      </w:r>
      <w:r>
        <w:rPr>
          <w:color w:val="000000"/>
          <w:shd w:val="clear" w:color="auto" w:fill="FFFFFF"/>
          <w:lang w:eastAsia="cs-CZ"/>
        </w:rPr>
        <w:t>(Bundes Ministerium für </w:t>
      </w:r>
      <w:r w:rsidRPr="00414F4E">
        <w:rPr>
          <w:color w:val="000000"/>
          <w:shd w:val="clear" w:color="auto" w:fill="FFFFFF"/>
          <w:lang w:eastAsia="cs-CZ"/>
        </w:rPr>
        <w:t>Wirtschaft und Technologie, BMWi – www.bmwi.de.) aplikovaný výzkum, experimentální vývoj, inovace.</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 xml:space="preserve">BMBF je velké ministerstvo, má dva parlamentní státní sekretáře a dva státní sekretáře. Ministerstvo má 7 sekcí. Problematika ŽP patří do sekce 7, Péče o budoucnost – výzkum pro základy udržitelnosti. Sekce má dva velké odbory: Velká zařízení a základní výzkum; Udržitelnost, klima a energie. Druhý odbor </w:t>
      </w:r>
      <w:r>
        <w:rPr>
          <w:color w:val="000000"/>
          <w:shd w:val="clear" w:color="auto" w:fill="FFFFFF"/>
          <w:lang w:eastAsia="cs-CZ"/>
        </w:rPr>
        <w:t xml:space="preserve">má </w:t>
      </w:r>
      <w:r w:rsidRPr="00414F4E">
        <w:rPr>
          <w:color w:val="000000"/>
          <w:shd w:val="clear" w:color="auto" w:fill="FFFFFF"/>
          <w:lang w:eastAsia="cs-CZ"/>
        </w:rPr>
        <w:t>5 oddělení: Základní otázky udržitelnosti</w:t>
      </w:r>
      <w:r>
        <w:rPr>
          <w:color w:val="000000"/>
          <w:shd w:val="clear" w:color="auto" w:fill="FFFFFF"/>
          <w:lang w:eastAsia="cs-CZ"/>
        </w:rPr>
        <w:t>,</w:t>
      </w:r>
      <w:r w:rsidRPr="00414F4E">
        <w:rPr>
          <w:color w:val="000000"/>
          <w:shd w:val="clear" w:color="auto" w:fill="FFFFFF"/>
          <w:lang w:eastAsia="cs-CZ"/>
        </w:rPr>
        <w:t xml:space="preserve"> klimatu a energií, Základní výzkum en</w:t>
      </w:r>
      <w:r>
        <w:rPr>
          <w:color w:val="000000"/>
          <w:shd w:val="clear" w:color="auto" w:fill="FFFFFF"/>
          <w:lang w:eastAsia="cs-CZ"/>
        </w:rPr>
        <w:t>ergií; Globální změny; Zdroje a </w:t>
      </w:r>
      <w:r w:rsidRPr="00414F4E">
        <w:rPr>
          <w:color w:val="000000"/>
          <w:shd w:val="clear" w:color="auto" w:fill="FFFFFF"/>
          <w:lang w:eastAsia="cs-CZ"/>
        </w:rPr>
        <w:t>udržitelnost; Systém Země.</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Německo, stejně jako všechny rozvinuté země, má samostatné ministerstvo pro životní prostředí. Je jím Spolkové ministerstvo pro životní prostředí, ochranu přírody, stavebnictví a</w:t>
      </w:r>
      <w:r>
        <w:rPr>
          <w:color w:val="000000"/>
          <w:shd w:val="clear" w:color="auto" w:fill="FFFFFF"/>
          <w:lang w:eastAsia="cs-CZ"/>
        </w:rPr>
        <w:t> </w:t>
      </w:r>
      <w:r w:rsidRPr="00414F4E">
        <w:rPr>
          <w:color w:val="000000"/>
          <w:shd w:val="clear" w:color="auto" w:fill="FFFFFF"/>
          <w:lang w:eastAsia="cs-CZ"/>
        </w:rPr>
        <w:t>bezpečnost reaktorů (Bundes Ministerium für Umwelt, Naturschutz Bau</w:t>
      </w:r>
      <w:r>
        <w:rPr>
          <w:color w:val="000000"/>
          <w:shd w:val="clear" w:color="auto" w:fill="FFFFFF"/>
          <w:lang w:eastAsia="cs-CZ"/>
        </w:rPr>
        <w:t xml:space="preserve"> </w:t>
      </w:r>
      <w:r w:rsidRPr="00414F4E">
        <w:rPr>
          <w:color w:val="000000"/>
          <w:shd w:val="clear" w:color="auto" w:fill="FFFFFF"/>
          <w:lang w:eastAsia="cs-CZ"/>
        </w:rPr>
        <w:t xml:space="preserve">und Reaktor Sicherheit, BMUB – www.bmub.bund.de). </w:t>
      </w:r>
    </w:p>
    <w:p w:rsidR="005A63D9" w:rsidRPr="00414F4E"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Jde o velké ministerstvo, jehož působnosti byly v prosinci 2013 rozšířeny rozhodnutím spolkové kancléřky o rozvoj měst, bydlení, územní infrastru</w:t>
      </w:r>
      <w:r>
        <w:rPr>
          <w:color w:val="000000"/>
          <w:shd w:val="clear" w:color="auto" w:fill="FFFFFF"/>
          <w:lang w:eastAsia="cs-CZ"/>
        </w:rPr>
        <w:t>ktury, veřejné stavební právo a </w:t>
      </w:r>
      <w:r w:rsidRPr="00414F4E">
        <w:rPr>
          <w:color w:val="000000"/>
          <w:shd w:val="clear" w:color="auto" w:fill="FFFFFF"/>
          <w:lang w:eastAsia="cs-CZ"/>
        </w:rPr>
        <w:t>stavebnictví, včetně spolkových staveb. Ministerstvo má 7 velkých sekcí, nemá však samostatný útvar pro záležitosti výzkumu. Přesto však určité finanční prostředky na VaV vynakládá, viz Tab. č. 18.</w:t>
      </w:r>
    </w:p>
    <w:p w:rsidR="005A63D9" w:rsidRDefault="005A63D9" w:rsidP="00414F4E">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Částečně se záležitostmi životního prostředí zab</w:t>
      </w:r>
      <w:r>
        <w:rPr>
          <w:color w:val="000000"/>
          <w:shd w:val="clear" w:color="auto" w:fill="FFFFFF"/>
          <w:lang w:eastAsia="cs-CZ"/>
        </w:rPr>
        <w:t>ývá i Spolkové ministerstvo pro </w:t>
      </w:r>
      <w:r w:rsidRPr="00414F4E">
        <w:rPr>
          <w:color w:val="000000"/>
          <w:shd w:val="clear" w:color="auto" w:fill="FFFFFF"/>
          <w:lang w:eastAsia="cs-CZ"/>
        </w:rPr>
        <w:t>hospodářství a technologie. V sekci IV Průmyslová pol</w:t>
      </w:r>
      <w:r>
        <w:rPr>
          <w:color w:val="000000"/>
          <w:shd w:val="clear" w:color="auto" w:fill="FFFFFF"/>
          <w:lang w:eastAsia="cs-CZ"/>
        </w:rPr>
        <w:t>itika jsou čtyři odbory. Jedním </w:t>
      </w:r>
      <w:r w:rsidRPr="00414F4E">
        <w:rPr>
          <w:color w:val="000000"/>
          <w:shd w:val="clear" w:color="auto" w:fill="FFFFFF"/>
          <w:lang w:eastAsia="cs-CZ"/>
        </w:rPr>
        <w:t>z nich je odbor „Klima, a bioekonomie“ se čtyřmi odděleními.</w:t>
      </w:r>
    </w:p>
    <w:p w:rsidR="005A63D9" w:rsidRDefault="005A63D9">
      <w:pPr>
        <w:spacing w:afterLines="0" w:line="259" w:lineRule="auto"/>
        <w:contextualSpacing w:val="0"/>
        <w:rPr>
          <w:color w:val="000000"/>
          <w:shd w:val="clear" w:color="auto" w:fill="FFFFFF"/>
          <w:lang w:eastAsia="cs-CZ"/>
        </w:rPr>
      </w:pPr>
    </w:p>
    <w:p w:rsidR="005A63D9" w:rsidRPr="008B6572" w:rsidRDefault="005A63D9" w:rsidP="00414F4E">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18</w:t>
      </w:r>
      <w:r w:rsidRPr="00414F4E">
        <w:rPr>
          <w:b/>
          <w:color w:val="000000"/>
          <w:shd w:val="clear" w:color="auto" w:fill="FFFFFF"/>
          <w:lang w:eastAsia="cs-CZ"/>
        </w:rPr>
        <w:t xml:space="preserve"> </w:t>
      </w:r>
      <w:r w:rsidRPr="008B6572">
        <w:rPr>
          <w:color w:val="000000"/>
          <w:shd w:val="clear" w:color="auto" w:fill="FFFFFF"/>
          <w:lang w:eastAsia="cs-CZ"/>
        </w:rPr>
        <w:t>Státní výdaje na VaV ve vybraných oblastech</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031"/>
        <w:gridCol w:w="977"/>
        <w:gridCol w:w="838"/>
        <w:gridCol w:w="977"/>
        <w:gridCol w:w="838"/>
        <w:gridCol w:w="977"/>
        <w:gridCol w:w="838"/>
        <w:gridCol w:w="977"/>
        <w:gridCol w:w="834"/>
      </w:tblGrid>
      <w:tr w:rsidR="005A63D9" w:rsidRPr="00E27ED8" w:rsidTr="00510C04">
        <w:tc>
          <w:tcPr>
            <w:tcW w:w="1094" w:type="pct"/>
            <w:vMerge w:val="restart"/>
            <w:tcBorders>
              <w:top w:val="single" w:sz="12" w:space="0" w:color="auto"/>
              <w:right w:val="single" w:sz="12"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Oblast VaV</w:t>
            </w:r>
          </w:p>
        </w:tc>
        <w:tc>
          <w:tcPr>
            <w:tcW w:w="977"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2011</w:t>
            </w:r>
          </w:p>
        </w:tc>
        <w:tc>
          <w:tcPr>
            <w:tcW w:w="977"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2012</w:t>
            </w:r>
          </w:p>
        </w:tc>
        <w:tc>
          <w:tcPr>
            <w:tcW w:w="977"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2013</w:t>
            </w:r>
          </w:p>
        </w:tc>
        <w:tc>
          <w:tcPr>
            <w:tcW w:w="977" w:type="pct"/>
            <w:gridSpan w:val="2"/>
            <w:tcBorders>
              <w:top w:val="single" w:sz="12" w:space="0" w:color="auto"/>
              <w:left w:val="single" w:sz="12" w:space="0" w:color="auto"/>
            </w:tcBorders>
            <w:shd w:val="clear" w:color="auto" w:fill="BFBFBF"/>
            <w:vAlign w:val="center"/>
          </w:tcPr>
          <w:p w:rsidR="005A63D9" w:rsidRPr="00E27ED8" w:rsidRDefault="005A63D9" w:rsidP="00CF365D">
            <w:pPr>
              <w:spacing w:after="144"/>
              <w:jc w:val="center"/>
              <w:rPr>
                <w:b/>
                <w:sz w:val="18"/>
                <w:szCs w:val="18"/>
                <w:vertAlign w:val="superscript"/>
              </w:rPr>
            </w:pPr>
            <w:r w:rsidRPr="00E27ED8">
              <w:rPr>
                <w:b/>
                <w:sz w:val="18"/>
                <w:szCs w:val="18"/>
              </w:rPr>
              <w:t>2014</w:t>
            </w:r>
            <w:r w:rsidRPr="00E27ED8">
              <w:rPr>
                <w:rStyle w:val="FootnoteReference"/>
                <w:rFonts w:cs="Arial"/>
                <w:b/>
                <w:sz w:val="18"/>
                <w:szCs w:val="18"/>
              </w:rPr>
              <w:footnoteReference w:id="24"/>
            </w:r>
          </w:p>
        </w:tc>
      </w:tr>
      <w:tr w:rsidR="005A63D9" w:rsidRPr="00E27ED8" w:rsidTr="00510C04">
        <w:tc>
          <w:tcPr>
            <w:tcW w:w="1094" w:type="pct"/>
            <w:vMerge/>
            <w:tcBorders>
              <w:bottom w:val="double" w:sz="4" w:space="0" w:color="auto"/>
              <w:right w:val="single" w:sz="12" w:space="0" w:color="auto"/>
            </w:tcBorders>
            <w:shd w:val="clear" w:color="auto" w:fill="BFBFBF"/>
            <w:vAlign w:val="center"/>
          </w:tcPr>
          <w:p w:rsidR="005A63D9" w:rsidRPr="00E27ED8" w:rsidRDefault="005A63D9" w:rsidP="0008405A">
            <w:pPr>
              <w:spacing w:after="144"/>
              <w:jc w:val="both"/>
            </w:pPr>
          </w:p>
        </w:tc>
        <w:tc>
          <w:tcPr>
            <w:tcW w:w="526"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51"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26"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51"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26"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51"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26"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51" w:type="pct"/>
            <w:tcBorders>
              <w:bottom w:val="double" w:sz="4" w:space="0" w:color="auto"/>
            </w:tcBorders>
            <w:shd w:val="clear" w:color="auto" w:fill="BFBFBF"/>
            <w:vAlign w:val="center"/>
          </w:tcPr>
          <w:p w:rsidR="005A63D9" w:rsidRPr="00E27ED8" w:rsidRDefault="005A63D9" w:rsidP="00CF365D">
            <w:pPr>
              <w:spacing w:after="144"/>
              <w:jc w:val="center"/>
            </w:pPr>
            <w:r w:rsidRPr="00E27ED8">
              <w:t>(%)</w:t>
            </w:r>
          </w:p>
        </w:tc>
      </w:tr>
      <w:tr w:rsidR="005A63D9" w:rsidRPr="00E27ED8" w:rsidTr="00510C04">
        <w:tc>
          <w:tcPr>
            <w:tcW w:w="1094" w:type="pct"/>
            <w:tcBorders>
              <w:top w:val="double" w:sz="4" w:space="0" w:color="auto"/>
              <w:bottom w:val="single" w:sz="12" w:space="0" w:color="auto"/>
              <w:right w:val="single" w:sz="12" w:space="0" w:color="auto"/>
            </w:tcBorders>
            <w:vAlign w:val="center"/>
          </w:tcPr>
          <w:p w:rsidR="005A63D9" w:rsidRPr="00E27ED8" w:rsidRDefault="005A63D9">
            <w:pPr>
              <w:spacing w:after="144"/>
            </w:pPr>
            <w:r w:rsidRPr="00E27ED8">
              <w:t>Výživa, zemědělství a ochrana spotřebitelů</w:t>
            </w:r>
          </w:p>
        </w:tc>
        <w:tc>
          <w:tcPr>
            <w:tcW w:w="526" w:type="pct"/>
            <w:tcBorders>
              <w:top w:val="double" w:sz="4"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565,6</w:t>
            </w:r>
          </w:p>
        </w:tc>
        <w:tc>
          <w:tcPr>
            <w:tcW w:w="451" w:type="pct"/>
            <w:tcBorders>
              <w:top w:val="double" w:sz="4"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4,3</w:t>
            </w:r>
          </w:p>
        </w:tc>
        <w:tc>
          <w:tcPr>
            <w:tcW w:w="526" w:type="pct"/>
            <w:tcBorders>
              <w:top w:val="double" w:sz="4"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629,8</w:t>
            </w:r>
          </w:p>
        </w:tc>
        <w:tc>
          <w:tcPr>
            <w:tcW w:w="451" w:type="pct"/>
            <w:tcBorders>
              <w:top w:val="double" w:sz="4"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4,5</w:t>
            </w:r>
          </w:p>
        </w:tc>
        <w:tc>
          <w:tcPr>
            <w:tcW w:w="526" w:type="pct"/>
            <w:tcBorders>
              <w:top w:val="double" w:sz="4"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662,9</w:t>
            </w:r>
          </w:p>
        </w:tc>
        <w:tc>
          <w:tcPr>
            <w:tcW w:w="451" w:type="pct"/>
            <w:tcBorders>
              <w:top w:val="double" w:sz="4"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4,6</w:t>
            </w:r>
          </w:p>
        </w:tc>
        <w:tc>
          <w:tcPr>
            <w:tcW w:w="526" w:type="pct"/>
            <w:tcBorders>
              <w:top w:val="double" w:sz="4"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682,6</w:t>
            </w:r>
          </w:p>
        </w:tc>
        <w:tc>
          <w:tcPr>
            <w:tcW w:w="451" w:type="pct"/>
            <w:tcBorders>
              <w:top w:val="double" w:sz="4" w:space="0" w:color="auto"/>
              <w:bottom w:val="single" w:sz="12" w:space="0" w:color="auto"/>
            </w:tcBorders>
            <w:vAlign w:val="center"/>
          </w:tcPr>
          <w:p w:rsidR="005A63D9" w:rsidRPr="00E27ED8" w:rsidRDefault="005A63D9" w:rsidP="00CF365D">
            <w:pPr>
              <w:spacing w:after="144"/>
              <w:jc w:val="center"/>
            </w:pPr>
            <w:r w:rsidRPr="00E27ED8">
              <w:t>4,7</w:t>
            </w:r>
          </w:p>
        </w:tc>
      </w:tr>
      <w:tr w:rsidR="005A63D9" w:rsidRPr="00E27ED8" w:rsidTr="00510C04">
        <w:tc>
          <w:tcPr>
            <w:tcW w:w="1094" w:type="pct"/>
            <w:tcBorders>
              <w:top w:val="single" w:sz="12" w:space="0" w:color="auto"/>
              <w:bottom w:val="single" w:sz="12" w:space="0" w:color="auto"/>
              <w:right w:val="single" w:sz="12" w:space="0" w:color="auto"/>
            </w:tcBorders>
            <w:vAlign w:val="center"/>
          </w:tcPr>
          <w:p w:rsidR="005A63D9" w:rsidRPr="00E27ED8" w:rsidRDefault="005A63D9">
            <w:pPr>
              <w:spacing w:after="144"/>
            </w:pPr>
            <w:r w:rsidRPr="00E27ED8">
              <w:t>Energetika</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857,1</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6,6</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1 021,2</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7,6</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1 230,0</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pPr>
            <w:r w:rsidRPr="00E27ED8">
              <w:t>8,5</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pPr>
            <w:r w:rsidRPr="00E27ED8">
              <w:t>1 239,1</w:t>
            </w:r>
          </w:p>
        </w:tc>
        <w:tc>
          <w:tcPr>
            <w:tcW w:w="451" w:type="pct"/>
            <w:tcBorders>
              <w:top w:val="single" w:sz="12" w:space="0" w:color="auto"/>
              <w:bottom w:val="single" w:sz="12" w:space="0" w:color="auto"/>
            </w:tcBorders>
            <w:vAlign w:val="center"/>
          </w:tcPr>
          <w:p w:rsidR="005A63D9" w:rsidRPr="00E27ED8" w:rsidRDefault="005A63D9" w:rsidP="00CF365D">
            <w:pPr>
              <w:spacing w:after="144"/>
              <w:jc w:val="center"/>
            </w:pPr>
            <w:r w:rsidRPr="00E27ED8">
              <w:t>8,6</w:t>
            </w:r>
          </w:p>
        </w:tc>
      </w:tr>
      <w:tr w:rsidR="005A63D9" w:rsidRPr="00E27ED8" w:rsidTr="00510C04">
        <w:tc>
          <w:tcPr>
            <w:tcW w:w="1094" w:type="pct"/>
            <w:tcBorders>
              <w:top w:val="single" w:sz="12" w:space="0" w:color="auto"/>
              <w:right w:val="single" w:sz="12" w:space="0" w:color="auto"/>
            </w:tcBorders>
            <w:vAlign w:val="center"/>
          </w:tcPr>
          <w:p w:rsidR="005A63D9" w:rsidRPr="00E27ED8" w:rsidRDefault="005A63D9">
            <w:pPr>
              <w:spacing w:after="144"/>
            </w:pPr>
            <w:r w:rsidRPr="00E27ED8">
              <w:t>Klima, životní prostředí, udržitelnost</w:t>
            </w:r>
          </w:p>
        </w:tc>
        <w:tc>
          <w:tcPr>
            <w:tcW w:w="526" w:type="pct"/>
            <w:tcBorders>
              <w:top w:val="single" w:sz="12" w:space="0" w:color="auto"/>
              <w:left w:val="single" w:sz="12" w:space="0" w:color="auto"/>
            </w:tcBorders>
            <w:vAlign w:val="center"/>
          </w:tcPr>
          <w:p w:rsidR="005A63D9" w:rsidRPr="00E27ED8" w:rsidRDefault="005A63D9" w:rsidP="00CF365D">
            <w:pPr>
              <w:spacing w:after="144"/>
              <w:jc w:val="center"/>
            </w:pPr>
            <w:r w:rsidRPr="00E27ED8">
              <w:t>1 007,8</w:t>
            </w:r>
          </w:p>
        </w:tc>
        <w:tc>
          <w:tcPr>
            <w:tcW w:w="451" w:type="pct"/>
            <w:tcBorders>
              <w:top w:val="single" w:sz="12" w:space="0" w:color="auto"/>
              <w:right w:val="single" w:sz="12" w:space="0" w:color="auto"/>
            </w:tcBorders>
            <w:vAlign w:val="center"/>
          </w:tcPr>
          <w:p w:rsidR="005A63D9" w:rsidRPr="00E27ED8" w:rsidRDefault="005A63D9" w:rsidP="00CF365D">
            <w:pPr>
              <w:spacing w:after="144"/>
              <w:jc w:val="center"/>
            </w:pPr>
            <w:r w:rsidRPr="00E27ED8">
              <w:t>7,6</w:t>
            </w:r>
          </w:p>
        </w:tc>
        <w:tc>
          <w:tcPr>
            <w:tcW w:w="526" w:type="pct"/>
            <w:tcBorders>
              <w:top w:val="single" w:sz="12" w:space="0" w:color="auto"/>
              <w:left w:val="single" w:sz="12" w:space="0" w:color="auto"/>
            </w:tcBorders>
            <w:vAlign w:val="center"/>
          </w:tcPr>
          <w:p w:rsidR="005A63D9" w:rsidRPr="00E27ED8" w:rsidRDefault="005A63D9" w:rsidP="00CF365D">
            <w:pPr>
              <w:spacing w:after="144"/>
              <w:jc w:val="center"/>
            </w:pPr>
            <w:r w:rsidRPr="00E27ED8">
              <w:t>1 082,4</w:t>
            </w:r>
          </w:p>
        </w:tc>
        <w:tc>
          <w:tcPr>
            <w:tcW w:w="451" w:type="pct"/>
            <w:tcBorders>
              <w:top w:val="single" w:sz="12" w:space="0" w:color="auto"/>
              <w:right w:val="single" w:sz="12" w:space="0" w:color="auto"/>
            </w:tcBorders>
            <w:vAlign w:val="center"/>
          </w:tcPr>
          <w:p w:rsidR="005A63D9" w:rsidRPr="00E27ED8" w:rsidRDefault="005A63D9" w:rsidP="00CF365D">
            <w:pPr>
              <w:spacing w:after="144"/>
              <w:jc w:val="center"/>
            </w:pPr>
            <w:r w:rsidRPr="00E27ED8">
              <w:t>8,0</w:t>
            </w:r>
          </w:p>
        </w:tc>
        <w:tc>
          <w:tcPr>
            <w:tcW w:w="526" w:type="pct"/>
            <w:tcBorders>
              <w:top w:val="single" w:sz="12" w:space="0" w:color="auto"/>
              <w:left w:val="single" w:sz="12" w:space="0" w:color="auto"/>
            </w:tcBorders>
            <w:vAlign w:val="center"/>
          </w:tcPr>
          <w:p w:rsidR="005A63D9" w:rsidRPr="00E27ED8" w:rsidRDefault="005A63D9" w:rsidP="00CF365D">
            <w:pPr>
              <w:spacing w:after="144"/>
              <w:jc w:val="center"/>
            </w:pPr>
            <w:r w:rsidRPr="00E27ED8">
              <w:t>1 191,7</w:t>
            </w:r>
          </w:p>
        </w:tc>
        <w:tc>
          <w:tcPr>
            <w:tcW w:w="451" w:type="pct"/>
            <w:tcBorders>
              <w:top w:val="single" w:sz="12" w:space="0" w:color="auto"/>
              <w:right w:val="single" w:sz="12" w:space="0" w:color="auto"/>
            </w:tcBorders>
            <w:vAlign w:val="center"/>
          </w:tcPr>
          <w:p w:rsidR="005A63D9" w:rsidRPr="00E27ED8" w:rsidRDefault="005A63D9" w:rsidP="00CF365D">
            <w:pPr>
              <w:spacing w:after="144"/>
              <w:jc w:val="center"/>
            </w:pPr>
            <w:r w:rsidRPr="00E27ED8">
              <w:t>8,2</w:t>
            </w:r>
          </w:p>
        </w:tc>
        <w:tc>
          <w:tcPr>
            <w:tcW w:w="526" w:type="pct"/>
            <w:tcBorders>
              <w:top w:val="single" w:sz="12" w:space="0" w:color="auto"/>
              <w:left w:val="single" w:sz="12" w:space="0" w:color="auto"/>
            </w:tcBorders>
            <w:vAlign w:val="center"/>
          </w:tcPr>
          <w:p w:rsidR="005A63D9" w:rsidRPr="00E27ED8" w:rsidRDefault="005A63D9" w:rsidP="00CF365D">
            <w:pPr>
              <w:spacing w:after="144"/>
              <w:jc w:val="center"/>
            </w:pPr>
            <w:r w:rsidRPr="00E27ED8">
              <w:t>1 220,0</w:t>
            </w:r>
          </w:p>
        </w:tc>
        <w:tc>
          <w:tcPr>
            <w:tcW w:w="451" w:type="pct"/>
            <w:tcBorders>
              <w:top w:val="single" w:sz="12" w:space="0" w:color="auto"/>
            </w:tcBorders>
            <w:vAlign w:val="center"/>
          </w:tcPr>
          <w:p w:rsidR="005A63D9" w:rsidRPr="00E27ED8" w:rsidRDefault="005A63D9" w:rsidP="00CF365D">
            <w:pPr>
              <w:spacing w:after="144"/>
              <w:jc w:val="center"/>
            </w:pPr>
            <w:r w:rsidRPr="00E27ED8">
              <w:t>8,5</w:t>
            </w:r>
          </w:p>
        </w:tc>
      </w:tr>
      <w:tr w:rsidR="005A63D9" w:rsidRPr="00E27ED8" w:rsidTr="00510C04">
        <w:tc>
          <w:tcPr>
            <w:tcW w:w="1094" w:type="pct"/>
            <w:tcBorders>
              <w:right w:val="single" w:sz="12" w:space="0" w:color="auto"/>
            </w:tcBorders>
            <w:vAlign w:val="center"/>
          </w:tcPr>
          <w:p w:rsidR="005A63D9" w:rsidRPr="00E27ED8" w:rsidRDefault="005A63D9">
            <w:pPr>
              <w:pStyle w:val="ListParagraph"/>
              <w:numPr>
                <w:ilvl w:val="0"/>
                <w:numId w:val="43"/>
              </w:numPr>
              <w:spacing w:afterLines="0"/>
              <w:ind w:left="142" w:hanging="142"/>
            </w:pPr>
            <w:r w:rsidRPr="00E27ED8">
              <w:t>Klima, ochrana klimatu, globální změny</w:t>
            </w:r>
          </w:p>
        </w:tc>
        <w:tc>
          <w:tcPr>
            <w:tcW w:w="526" w:type="pct"/>
            <w:tcBorders>
              <w:left w:val="single" w:sz="12" w:space="0" w:color="auto"/>
            </w:tcBorders>
            <w:vAlign w:val="center"/>
          </w:tcPr>
          <w:p w:rsidR="005A63D9" w:rsidRPr="00E27ED8" w:rsidRDefault="005A63D9" w:rsidP="00CF365D">
            <w:pPr>
              <w:spacing w:after="144"/>
              <w:jc w:val="center"/>
            </w:pPr>
            <w:r w:rsidRPr="00E27ED8">
              <w:t>219,5</w:t>
            </w:r>
          </w:p>
        </w:tc>
        <w:tc>
          <w:tcPr>
            <w:tcW w:w="451" w:type="pct"/>
            <w:tcBorders>
              <w:right w:val="single" w:sz="12" w:space="0" w:color="auto"/>
            </w:tcBorders>
            <w:vAlign w:val="center"/>
          </w:tcPr>
          <w:p w:rsidR="005A63D9" w:rsidRPr="00E27ED8" w:rsidRDefault="005A63D9" w:rsidP="00CF365D">
            <w:pPr>
              <w:spacing w:after="144"/>
              <w:jc w:val="center"/>
            </w:pPr>
            <w:r w:rsidRPr="00E27ED8">
              <w:t>1,7</w:t>
            </w:r>
          </w:p>
        </w:tc>
        <w:tc>
          <w:tcPr>
            <w:tcW w:w="526" w:type="pct"/>
            <w:tcBorders>
              <w:left w:val="single" w:sz="12" w:space="0" w:color="auto"/>
            </w:tcBorders>
            <w:vAlign w:val="center"/>
          </w:tcPr>
          <w:p w:rsidR="005A63D9" w:rsidRPr="00E27ED8" w:rsidRDefault="005A63D9" w:rsidP="00CF365D">
            <w:pPr>
              <w:spacing w:after="144"/>
              <w:jc w:val="center"/>
            </w:pPr>
            <w:r w:rsidRPr="00E27ED8">
              <w:t>240,7</w:t>
            </w:r>
          </w:p>
        </w:tc>
        <w:tc>
          <w:tcPr>
            <w:tcW w:w="451" w:type="pct"/>
            <w:tcBorders>
              <w:right w:val="single" w:sz="12" w:space="0" w:color="auto"/>
            </w:tcBorders>
            <w:vAlign w:val="center"/>
          </w:tcPr>
          <w:p w:rsidR="005A63D9" w:rsidRPr="00E27ED8" w:rsidRDefault="005A63D9" w:rsidP="00CF365D">
            <w:pPr>
              <w:spacing w:after="144"/>
              <w:jc w:val="center"/>
            </w:pPr>
            <w:r w:rsidRPr="00E27ED8">
              <w:t>1,8</w:t>
            </w:r>
          </w:p>
        </w:tc>
        <w:tc>
          <w:tcPr>
            <w:tcW w:w="526" w:type="pct"/>
            <w:tcBorders>
              <w:left w:val="single" w:sz="12" w:space="0" w:color="auto"/>
            </w:tcBorders>
            <w:vAlign w:val="center"/>
          </w:tcPr>
          <w:p w:rsidR="005A63D9" w:rsidRPr="00E27ED8" w:rsidRDefault="005A63D9" w:rsidP="00CF365D">
            <w:pPr>
              <w:spacing w:after="144"/>
              <w:jc w:val="center"/>
            </w:pPr>
            <w:r w:rsidRPr="00E27ED8">
              <w:t>279,9</w:t>
            </w:r>
          </w:p>
        </w:tc>
        <w:tc>
          <w:tcPr>
            <w:tcW w:w="451" w:type="pct"/>
            <w:tcBorders>
              <w:right w:val="single" w:sz="12" w:space="0" w:color="auto"/>
            </w:tcBorders>
            <w:vAlign w:val="center"/>
          </w:tcPr>
          <w:p w:rsidR="005A63D9" w:rsidRPr="00E27ED8" w:rsidRDefault="005A63D9" w:rsidP="00CF365D">
            <w:pPr>
              <w:spacing w:after="144"/>
              <w:jc w:val="center"/>
            </w:pPr>
            <w:r w:rsidRPr="00E27ED8">
              <w:t>1,9</w:t>
            </w:r>
          </w:p>
        </w:tc>
        <w:tc>
          <w:tcPr>
            <w:tcW w:w="526" w:type="pct"/>
            <w:tcBorders>
              <w:left w:val="single" w:sz="12" w:space="0" w:color="auto"/>
            </w:tcBorders>
            <w:vAlign w:val="center"/>
          </w:tcPr>
          <w:p w:rsidR="005A63D9" w:rsidRPr="00E27ED8" w:rsidRDefault="005A63D9" w:rsidP="00CF365D">
            <w:pPr>
              <w:spacing w:after="144"/>
              <w:jc w:val="center"/>
            </w:pPr>
            <w:r w:rsidRPr="00E27ED8">
              <w:t>286,8</w:t>
            </w:r>
          </w:p>
        </w:tc>
        <w:tc>
          <w:tcPr>
            <w:tcW w:w="451" w:type="pct"/>
            <w:vAlign w:val="center"/>
          </w:tcPr>
          <w:p w:rsidR="005A63D9" w:rsidRPr="00E27ED8" w:rsidRDefault="005A63D9" w:rsidP="00CF365D">
            <w:pPr>
              <w:spacing w:after="144"/>
              <w:jc w:val="center"/>
            </w:pPr>
            <w:r w:rsidRPr="00E27ED8">
              <w:t>2,0</w:t>
            </w:r>
          </w:p>
        </w:tc>
      </w:tr>
      <w:tr w:rsidR="005A63D9" w:rsidRPr="00E27ED8" w:rsidTr="00510C04">
        <w:tc>
          <w:tcPr>
            <w:tcW w:w="1094" w:type="pct"/>
            <w:tcBorders>
              <w:right w:val="single" w:sz="12" w:space="0" w:color="auto"/>
            </w:tcBorders>
            <w:vAlign w:val="center"/>
          </w:tcPr>
          <w:p w:rsidR="005A63D9" w:rsidRPr="00E27ED8" w:rsidRDefault="005A63D9">
            <w:pPr>
              <w:pStyle w:val="ListParagraph"/>
              <w:numPr>
                <w:ilvl w:val="0"/>
                <w:numId w:val="43"/>
              </w:numPr>
              <w:spacing w:afterLines="0"/>
              <w:ind w:left="142" w:hanging="142"/>
            </w:pPr>
            <w:r w:rsidRPr="00E27ED8">
              <w:t>Pobřeží, moře, polární oblasti</w:t>
            </w:r>
          </w:p>
        </w:tc>
        <w:tc>
          <w:tcPr>
            <w:tcW w:w="526" w:type="pct"/>
            <w:tcBorders>
              <w:left w:val="single" w:sz="12" w:space="0" w:color="auto"/>
            </w:tcBorders>
            <w:vAlign w:val="center"/>
          </w:tcPr>
          <w:p w:rsidR="005A63D9" w:rsidRPr="00E27ED8" w:rsidRDefault="005A63D9" w:rsidP="00CF365D">
            <w:pPr>
              <w:spacing w:after="144"/>
              <w:jc w:val="center"/>
            </w:pPr>
            <w:r w:rsidRPr="00E27ED8">
              <w:t>312,1</w:t>
            </w:r>
          </w:p>
        </w:tc>
        <w:tc>
          <w:tcPr>
            <w:tcW w:w="451" w:type="pct"/>
            <w:tcBorders>
              <w:right w:val="single" w:sz="12" w:space="0" w:color="auto"/>
            </w:tcBorders>
            <w:vAlign w:val="center"/>
          </w:tcPr>
          <w:p w:rsidR="005A63D9" w:rsidRPr="00E27ED8" w:rsidRDefault="005A63D9" w:rsidP="00CF365D">
            <w:pPr>
              <w:spacing w:after="144"/>
              <w:jc w:val="center"/>
            </w:pPr>
            <w:r w:rsidRPr="00E27ED8">
              <w:t>2,3</w:t>
            </w:r>
          </w:p>
        </w:tc>
        <w:tc>
          <w:tcPr>
            <w:tcW w:w="526" w:type="pct"/>
            <w:tcBorders>
              <w:left w:val="single" w:sz="12" w:space="0" w:color="auto"/>
            </w:tcBorders>
            <w:vAlign w:val="center"/>
          </w:tcPr>
          <w:p w:rsidR="005A63D9" w:rsidRPr="00E27ED8" w:rsidRDefault="005A63D9" w:rsidP="00CF365D">
            <w:pPr>
              <w:spacing w:after="144"/>
              <w:jc w:val="center"/>
            </w:pPr>
            <w:r w:rsidRPr="00E27ED8">
              <w:t>337,0</w:t>
            </w:r>
          </w:p>
        </w:tc>
        <w:tc>
          <w:tcPr>
            <w:tcW w:w="451" w:type="pct"/>
            <w:tcBorders>
              <w:right w:val="single" w:sz="12" w:space="0" w:color="auto"/>
            </w:tcBorders>
            <w:vAlign w:val="center"/>
          </w:tcPr>
          <w:p w:rsidR="005A63D9" w:rsidRPr="00E27ED8" w:rsidRDefault="005A63D9" w:rsidP="00CF365D">
            <w:pPr>
              <w:spacing w:after="144"/>
              <w:jc w:val="center"/>
            </w:pPr>
            <w:r w:rsidRPr="00E27ED8">
              <w:t>2,5</w:t>
            </w:r>
          </w:p>
        </w:tc>
        <w:tc>
          <w:tcPr>
            <w:tcW w:w="526" w:type="pct"/>
            <w:tcBorders>
              <w:left w:val="single" w:sz="12" w:space="0" w:color="auto"/>
            </w:tcBorders>
            <w:vAlign w:val="center"/>
          </w:tcPr>
          <w:p w:rsidR="005A63D9" w:rsidRPr="00E27ED8" w:rsidRDefault="005A63D9" w:rsidP="00CF365D">
            <w:pPr>
              <w:spacing w:after="144"/>
              <w:jc w:val="center"/>
            </w:pPr>
            <w:r w:rsidRPr="00E27ED8">
              <w:t>402,7</w:t>
            </w:r>
          </w:p>
        </w:tc>
        <w:tc>
          <w:tcPr>
            <w:tcW w:w="451" w:type="pct"/>
            <w:tcBorders>
              <w:right w:val="single" w:sz="12" w:space="0" w:color="auto"/>
            </w:tcBorders>
            <w:vAlign w:val="center"/>
          </w:tcPr>
          <w:p w:rsidR="005A63D9" w:rsidRPr="00E27ED8" w:rsidRDefault="005A63D9" w:rsidP="00CF365D">
            <w:pPr>
              <w:spacing w:after="144"/>
              <w:jc w:val="center"/>
            </w:pPr>
            <w:r w:rsidRPr="00E27ED8">
              <w:t>2,8</w:t>
            </w:r>
          </w:p>
        </w:tc>
        <w:tc>
          <w:tcPr>
            <w:tcW w:w="526" w:type="pct"/>
            <w:tcBorders>
              <w:left w:val="single" w:sz="12" w:space="0" w:color="auto"/>
            </w:tcBorders>
            <w:vAlign w:val="center"/>
          </w:tcPr>
          <w:p w:rsidR="005A63D9" w:rsidRPr="00E27ED8" w:rsidRDefault="005A63D9" w:rsidP="00CF365D">
            <w:pPr>
              <w:spacing w:after="144"/>
              <w:jc w:val="center"/>
            </w:pPr>
            <w:r w:rsidRPr="00E27ED8">
              <w:t>415,5</w:t>
            </w:r>
          </w:p>
        </w:tc>
        <w:tc>
          <w:tcPr>
            <w:tcW w:w="451" w:type="pct"/>
            <w:vAlign w:val="center"/>
          </w:tcPr>
          <w:p w:rsidR="005A63D9" w:rsidRPr="00E27ED8" w:rsidRDefault="005A63D9" w:rsidP="00CF365D">
            <w:pPr>
              <w:spacing w:after="144"/>
              <w:jc w:val="center"/>
            </w:pPr>
            <w:r w:rsidRPr="00E27ED8">
              <w:t>2,9</w:t>
            </w:r>
          </w:p>
        </w:tc>
      </w:tr>
      <w:tr w:rsidR="005A63D9" w:rsidRPr="00E27ED8" w:rsidTr="00510C04">
        <w:tc>
          <w:tcPr>
            <w:tcW w:w="1094" w:type="pct"/>
            <w:tcBorders>
              <w:right w:val="single" w:sz="12" w:space="0" w:color="auto"/>
            </w:tcBorders>
            <w:vAlign w:val="center"/>
          </w:tcPr>
          <w:p w:rsidR="005A63D9" w:rsidRPr="00E27ED8" w:rsidRDefault="005A63D9">
            <w:pPr>
              <w:pStyle w:val="ListParagraph"/>
              <w:numPr>
                <w:ilvl w:val="0"/>
                <w:numId w:val="43"/>
              </w:numPr>
              <w:spacing w:afterLines="0"/>
              <w:ind w:left="142" w:hanging="142"/>
            </w:pPr>
            <w:r w:rsidRPr="00E27ED8">
              <w:t>Životní prostředí a udržitelnost</w:t>
            </w:r>
          </w:p>
        </w:tc>
        <w:tc>
          <w:tcPr>
            <w:tcW w:w="526" w:type="pct"/>
            <w:tcBorders>
              <w:left w:val="single" w:sz="12" w:space="0" w:color="auto"/>
            </w:tcBorders>
            <w:vAlign w:val="center"/>
          </w:tcPr>
          <w:p w:rsidR="005A63D9" w:rsidRPr="00E27ED8" w:rsidRDefault="005A63D9" w:rsidP="00CF365D">
            <w:pPr>
              <w:spacing w:after="144"/>
              <w:jc w:val="center"/>
            </w:pPr>
            <w:r w:rsidRPr="00E27ED8">
              <w:t>241,6</w:t>
            </w:r>
          </w:p>
        </w:tc>
        <w:tc>
          <w:tcPr>
            <w:tcW w:w="451" w:type="pct"/>
            <w:tcBorders>
              <w:right w:val="single" w:sz="12" w:space="0" w:color="auto"/>
            </w:tcBorders>
            <w:vAlign w:val="center"/>
          </w:tcPr>
          <w:p w:rsidR="005A63D9" w:rsidRPr="00E27ED8" w:rsidRDefault="005A63D9" w:rsidP="00CF365D">
            <w:pPr>
              <w:spacing w:after="144"/>
              <w:jc w:val="center"/>
            </w:pPr>
            <w:r w:rsidRPr="00E27ED8">
              <w:t>1,8</w:t>
            </w:r>
          </w:p>
        </w:tc>
        <w:tc>
          <w:tcPr>
            <w:tcW w:w="526" w:type="pct"/>
            <w:tcBorders>
              <w:left w:val="single" w:sz="12" w:space="0" w:color="auto"/>
            </w:tcBorders>
            <w:vAlign w:val="center"/>
          </w:tcPr>
          <w:p w:rsidR="005A63D9" w:rsidRPr="00E27ED8" w:rsidRDefault="005A63D9" w:rsidP="00CF365D">
            <w:pPr>
              <w:spacing w:after="144"/>
              <w:jc w:val="center"/>
            </w:pPr>
            <w:r w:rsidRPr="00E27ED8">
              <w:t>258,1</w:t>
            </w:r>
          </w:p>
        </w:tc>
        <w:tc>
          <w:tcPr>
            <w:tcW w:w="451" w:type="pct"/>
            <w:tcBorders>
              <w:right w:val="single" w:sz="12" w:space="0" w:color="auto"/>
            </w:tcBorders>
            <w:vAlign w:val="center"/>
          </w:tcPr>
          <w:p w:rsidR="005A63D9" w:rsidRPr="00E27ED8" w:rsidRDefault="005A63D9" w:rsidP="00CF365D">
            <w:pPr>
              <w:spacing w:after="144"/>
              <w:jc w:val="center"/>
            </w:pPr>
            <w:r w:rsidRPr="00E27ED8">
              <w:t>1,9</w:t>
            </w:r>
          </w:p>
        </w:tc>
        <w:tc>
          <w:tcPr>
            <w:tcW w:w="526" w:type="pct"/>
            <w:tcBorders>
              <w:left w:val="single" w:sz="12" w:space="0" w:color="auto"/>
            </w:tcBorders>
            <w:vAlign w:val="center"/>
          </w:tcPr>
          <w:p w:rsidR="005A63D9" w:rsidRPr="00E27ED8" w:rsidRDefault="005A63D9" w:rsidP="00CF365D">
            <w:pPr>
              <w:spacing w:after="144"/>
              <w:jc w:val="center"/>
            </w:pPr>
            <w:r w:rsidRPr="00E27ED8">
              <w:t>259,9</w:t>
            </w:r>
          </w:p>
        </w:tc>
        <w:tc>
          <w:tcPr>
            <w:tcW w:w="451" w:type="pct"/>
            <w:tcBorders>
              <w:right w:val="single" w:sz="12" w:space="0" w:color="auto"/>
            </w:tcBorders>
            <w:vAlign w:val="center"/>
          </w:tcPr>
          <w:p w:rsidR="005A63D9" w:rsidRPr="00E27ED8" w:rsidRDefault="005A63D9" w:rsidP="00CF365D">
            <w:pPr>
              <w:spacing w:after="144"/>
              <w:jc w:val="center"/>
            </w:pPr>
            <w:r w:rsidRPr="00E27ED8">
              <w:t>1,8</w:t>
            </w:r>
          </w:p>
        </w:tc>
        <w:tc>
          <w:tcPr>
            <w:tcW w:w="526" w:type="pct"/>
            <w:tcBorders>
              <w:left w:val="single" w:sz="12" w:space="0" w:color="auto"/>
            </w:tcBorders>
            <w:vAlign w:val="center"/>
          </w:tcPr>
          <w:p w:rsidR="005A63D9" w:rsidRPr="00E27ED8" w:rsidRDefault="005A63D9" w:rsidP="00CF365D">
            <w:pPr>
              <w:spacing w:after="144"/>
              <w:jc w:val="center"/>
            </w:pPr>
            <w:r w:rsidRPr="00E27ED8">
              <w:t>267,8</w:t>
            </w:r>
          </w:p>
        </w:tc>
        <w:tc>
          <w:tcPr>
            <w:tcW w:w="451" w:type="pct"/>
            <w:vAlign w:val="center"/>
          </w:tcPr>
          <w:p w:rsidR="005A63D9" w:rsidRPr="00E27ED8" w:rsidRDefault="005A63D9" w:rsidP="00CF365D">
            <w:pPr>
              <w:spacing w:after="144"/>
              <w:jc w:val="center"/>
            </w:pPr>
            <w:r w:rsidRPr="00E27ED8">
              <w:t>1,9</w:t>
            </w:r>
          </w:p>
        </w:tc>
      </w:tr>
      <w:tr w:rsidR="005A63D9" w:rsidRPr="00E27ED8" w:rsidTr="00510C04">
        <w:tc>
          <w:tcPr>
            <w:tcW w:w="1094" w:type="pct"/>
            <w:tcBorders>
              <w:bottom w:val="single" w:sz="12" w:space="0" w:color="auto"/>
              <w:right w:val="single" w:sz="12" w:space="0" w:color="auto"/>
            </w:tcBorders>
            <w:vAlign w:val="center"/>
          </w:tcPr>
          <w:p w:rsidR="005A63D9" w:rsidRPr="00E27ED8" w:rsidRDefault="005A63D9">
            <w:pPr>
              <w:pStyle w:val="ListParagraph"/>
              <w:numPr>
                <w:ilvl w:val="0"/>
                <w:numId w:val="43"/>
              </w:numPr>
              <w:spacing w:afterLines="0"/>
              <w:ind w:left="142" w:hanging="142"/>
            </w:pPr>
            <w:r w:rsidRPr="00E27ED8">
              <w:t>Ekologie, ochrana přírody, udržitelné využívání</w:t>
            </w:r>
          </w:p>
        </w:tc>
        <w:tc>
          <w:tcPr>
            <w:tcW w:w="526" w:type="pct"/>
            <w:tcBorders>
              <w:left w:val="single" w:sz="12" w:space="0" w:color="auto"/>
              <w:bottom w:val="single" w:sz="12" w:space="0" w:color="auto"/>
            </w:tcBorders>
            <w:vAlign w:val="center"/>
          </w:tcPr>
          <w:p w:rsidR="005A63D9" w:rsidRPr="00E27ED8" w:rsidRDefault="005A63D9" w:rsidP="00CF365D">
            <w:pPr>
              <w:spacing w:after="144"/>
              <w:jc w:val="center"/>
            </w:pPr>
            <w:r w:rsidRPr="00E27ED8">
              <w:t>234,6</w:t>
            </w:r>
          </w:p>
        </w:tc>
        <w:tc>
          <w:tcPr>
            <w:tcW w:w="451" w:type="pct"/>
            <w:tcBorders>
              <w:bottom w:val="single" w:sz="12" w:space="0" w:color="auto"/>
              <w:right w:val="single" w:sz="12" w:space="0" w:color="auto"/>
            </w:tcBorders>
            <w:vAlign w:val="center"/>
          </w:tcPr>
          <w:p w:rsidR="005A63D9" w:rsidRPr="00E27ED8" w:rsidRDefault="005A63D9" w:rsidP="00CF365D">
            <w:pPr>
              <w:spacing w:after="144"/>
              <w:jc w:val="center"/>
            </w:pPr>
            <w:r w:rsidRPr="00E27ED8">
              <w:t>1,8</w:t>
            </w:r>
          </w:p>
        </w:tc>
        <w:tc>
          <w:tcPr>
            <w:tcW w:w="526" w:type="pct"/>
            <w:tcBorders>
              <w:left w:val="single" w:sz="12" w:space="0" w:color="auto"/>
              <w:bottom w:val="single" w:sz="12" w:space="0" w:color="auto"/>
            </w:tcBorders>
            <w:vAlign w:val="center"/>
          </w:tcPr>
          <w:p w:rsidR="005A63D9" w:rsidRPr="00E27ED8" w:rsidRDefault="005A63D9" w:rsidP="00CF365D">
            <w:pPr>
              <w:spacing w:after="144"/>
              <w:jc w:val="center"/>
            </w:pPr>
            <w:r w:rsidRPr="00E27ED8">
              <w:t>246,7</w:t>
            </w:r>
          </w:p>
        </w:tc>
        <w:tc>
          <w:tcPr>
            <w:tcW w:w="451" w:type="pct"/>
            <w:tcBorders>
              <w:bottom w:val="single" w:sz="12" w:space="0" w:color="auto"/>
              <w:right w:val="single" w:sz="12" w:space="0" w:color="auto"/>
            </w:tcBorders>
            <w:vAlign w:val="center"/>
          </w:tcPr>
          <w:p w:rsidR="005A63D9" w:rsidRPr="00E27ED8" w:rsidRDefault="005A63D9" w:rsidP="00CF365D">
            <w:pPr>
              <w:spacing w:after="144"/>
              <w:jc w:val="center"/>
            </w:pPr>
            <w:r w:rsidRPr="00E27ED8">
              <w:t>1,8</w:t>
            </w:r>
          </w:p>
        </w:tc>
        <w:tc>
          <w:tcPr>
            <w:tcW w:w="526" w:type="pct"/>
            <w:tcBorders>
              <w:left w:val="single" w:sz="12" w:space="0" w:color="auto"/>
              <w:bottom w:val="single" w:sz="12" w:space="0" w:color="auto"/>
            </w:tcBorders>
            <w:vAlign w:val="center"/>
          </w:tcPr>
          <w:p w:rsidR="005A63D9" w:rsidRPr="00E27ED8" w:rsidRDefault="005A63D9" w:rsidP="00CF365D">
            <w:pPr>
              <w:spacing w:after="144"/>
              <w:jc w:val="center"/>
            </w:pPr>
            <w:r w:rsidRPr="00E27ED8">
              <w:t>249,2</w:t>
            </w:r>
          </w:p>
        </w:tc>
        <w:tc>
          <w:tcPr>
            <w:tcW w:w="451" w:type="pct"/>
            <w:tcBorders>
              <w:bottom w:val="single" w:sz="12" w:space="0" w:color="auto"/>
              <w:right w:val="single" w:sz="12" w:space="0" w:color="auto"/>
            </w:tcBorders>
            <w:vAlign w:val="center"/>
          </w:tcPr>
          <w:p w:rsidR="005A63D9" w:rsidRPr="00E27ED8" w:rsidRDefault="005A63D9" w:rsidP="00CF365D">
            <w:pPr>
              <w:spacing w:after="144"/>
              <w:jc w:val="center"/>
            </w:pPr>
            <w:r w:rsidRPr="00E27ED8">
              <w:t>1,7</w:t>
            </w:r>
          </w:p>
        </w:tc>
        <w:tc>
          <w:tcPr>
            <w:tcW w:w="526" w:type="pct"/>
            <w:tcBorders>
              <w:left w:val="single" w:sz="12" w:space="0" w:color="auto"/>
              <w:bottom w:val="single" w:sz="12" w:space="0" w:color="auto"/>
            </w:tcBorders>
            <w:vAlign w:val="center"/>
          </w:tcPr>
          <w:p w:rsidR="005A63D9" w:rsidRPr="00E27ED8" w:rsidRDefault="005A63D9" w:rsidP="00CF365D">
            <w:pPr>
              <w:spacing w:after="144"/>
              <w:jc w:val="center"/>
            </w:pPr>
            <w:r w:rsidRPr="00E27ED8">
              <w:t>249,9</w:t>
            </w:r>
          </w:p>
        </w:tc>
        <w:tc>
          <w:tcPr>
            <w:tcW w:w="451" w:type="pct"/>
            <w:tcBorders>
              <w:bottom w:val="single" w:sz="12" w:space="0" w:color="auto"/>
            </w:tcBorders>
            <w:vAlign w:val="center"/>
          </w:tcPr>
          <w:p w:rsidR="005A63D9" w:rsidRPr="00E27ED8" w:rsidRDefault="005A63D9" w:rsidP="00CF365D">
            <w:pPr>
              <w:spacing w:after="144"/>
              <w:jc w:val="center"/>
            </w:pPr>
            <w:r w:rsidRPr="00E27ED8">
              <w:t>1,7</w:t>
            </w:r>
          </w:p>
        </w:tc>
      </w:tr>
      <w:tr w:rsidR="005A63D9" w:rsidRPr="00E27ED8" w:rsidTr="00510C04">
        <w:trPr>
          <w:trHeight w:val="227"/>
        </w:trPr>
        <w:tc>
          <w:tcPr>
            <w:tcW w:w="1094"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b/>
              </w:rPr>
            </w:pPr>
            <w:r w:rsidRPr="00E27ED8">
              <w:rPr>
                <w:b/>
              </w:rPr>
              <w:t>CELKEM</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13 286</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13 475</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14 459</w:t>
            </w:r>
          </w:p>
        </w:tc>
        <w:tc>
          <w:tcPr>
            <w:tcW w:w="451"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26"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14 404</w:t>
            </w:r>
          </w:p>
        </w:tc>
        <w:tc>
          <w:tcPr>
            <w:tcW w:w="451" w:type="pct"/>
            <w:tcBorders>
              <w:top w:val="single" w:sz="12" w:space="0" w:color="auto"/>
              <w:bottom w:val="single" w:sz="12" w:space="0" w:color="auto"/>
            </w:tcBorders>
          </w:tcPr>
          <w:p w:rsidR="005A63D9" w:rsidRPr="00E27ED8" w:rsidRDefault="005A63D9" w:rsidP="00CF365D">
            <w:pPr>
              <w:spacing w:after="144"/>
              <w:jc w:val="center"/>
              <w:rPr>
                <w:b/>
              </w:rPr>
            </w:pPr>
            <w:r w:rsidRPr="00E27ED8">
              <w:rPr>
                <w:b/>
              </w:rPr>
              <w:t>100</w:t>
            </w:r>
          </w:p>
        </w:tc>
      </w:tr>
    </w:tbl>
    <w:p w:rsidR="005A63D9" w:rsidRPr="00CF365D" w:rsidRDefault="005A63D9" w:rsidP="0008405A">
      <w:pPr>
        <w:pStyle w:val="ZDROJovan"/>
        <w:spacing w:after="144" w:line="288" w:lineRule="auto"/>
        <w:jc w:val="both"/>
      </w:pPr>
      <w:r w:rsidRPr="00CF365D">
        <w:t>Zdroj: BMBF, Bundesbericht Forschung und Innovation 2014;</w:t>
      </w:r>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V Německu všechny vládní orgány (14 ministerstev, Úřad spolkové kancléřky, Všeobecná finanční správa) vynakládají finanční prostředky na VaV. V následující tabulce jsou uvedeni tři největší poskytovatelé a s respektováním účelu podkladu i výdaje Spolkového ministerstva pro životní prostředí, stavebnictví a bezpečnost reaktorů.</w:t>
      </w:r>
    </w:p>
    <w:p w:rsidR="005A63D9" w:rsidRDefault="005A63D9">
      <w:pPr>
        <w:spacing w:afterLines="0" w:line="259" w:lineRule="auto"/>
        <w:contextualSpacing w:val="0"/>
        <w:rPr>
          <w:color w:val="000000"/>
          <w:shd w:val="clear" w:color="auto" w:fill="FFFFFF"/>
          <w:lang w:eastAsia="cs-CZ"/>
        </w:rPr>
      </w:pPr>
    </w:p>
    <w:p w:rsidR="005A63D9" w:rsidRPr="00414F4E" w:rsidRDefault="005A63D9" w:rsidP="00414F4E">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19</w:t>
      </w:r>
      <w:r w:rsidRPr="00414F4E">
        <w:rPr>
          <w:b/>
          <w:color w:val="000000"/>
          <w:shd w:val="clear" w:color="auto" w:fill="FFFFFF"/>
          <w:lang w:eastAsia="cs-CZ"/>
        </w:rPr>
        <w:t xml:space="preserve"> </w:t>
      </w:r>
      <w:r w:rsidRPr="00414F4E">
        <w:rPr>
          <w:color w:val="000000"/>
          <w:shd w:val="clear" w:color="auto" w:fill="FFFFFF"/>
          <w:lang w:eastAsia="cs-CZ"/>
        </w:rPr>
        <w:t>Výdaje vybraných spolkových ministerstev na VaV</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910"/>
        <w:gridCol w:w="1102"/>
        <w:gridCol w:w="743"/>
        <w:gridCol w:w="1101"/>
        <w:gridCol w:w="743"/>
        <w:gridCol w:w="1101"/>
        <w:gridCol w:w="743"/>
        <w:gridCol w:w="1101"/>
        <w:gridCol w:w="743"/>
      </w:tblGrid>
      <w:tr w:rsidR="005A63D9" w:rsidRPr="00E27ED8" w:rsidTr="00510C04">
        <w:tc>
          <w:tcPr>
            <w:tcW w:w="1028" w:type="pct"/>
            <w:vMerge w:val="restart"/>
            <w:tcBorders>
              <w:top w:val="single" w:sz="12" w:space="0" w:color="auto"/>
              <w:right w:val="single" w:sz="12" w:space="0" w:color="auto"/>
            </w:tcBorders>
            <w:shd w:val="clear" w:color="auto" w:fill="BFBFBF"/>
            <w:vAlign w:val="center"/>
          </w:tcPr>
          <w:p w:rsidR="005A63D9" w:rsidRPr="00E27ED8" w:rsidRDefault="005A63D9" w:rsidP="0008405A">
            <w:pPr>
              <w:spacing w:after="144"/>
              <w:jc w:val="both"/>
              <w:rPr>
                <w:b/>
                <w:sz w:val="18"/>
                <w:szCs w:val="18"/>
              </w:rPr>
            </w:pPr>
            <w:r w:rsidRPr="00E27ED8">
              <w:rPr>
                <w:b/>
                <w:sz w:val="18"/>
                <w:szCs w:val="18"/>
              </w:rPr>
              <w:t>Oblast VaV</w:t>
            </w:r>
          </w:p>
        </w:tc>
        <w:tc>
          <w:tcPr>
            <w:tcW w:w="993"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2011</w:t>
            </w:r>
          </w:p>
        </w:tc>
        <w:tc>
          <w:tcPr>
            <w:tcW w:w="993"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2012</w:t>
            </w:r>
          </w:p>
        </w:tc>
        <w:tc>
          <w:tcPr>
            <w:tcW w:w="993"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CF365D">
            <w:pPr>
              <w:spacing w:after="144"/>
              <w:jc w:val="center"/>
              <w:rPr>
                <w:b/>
                <w:sz w:val="18"/>
                <w:szCs w:val="18"/>
              </w:rPr>
            </w:pPr>
            <w:r w:rsidRPr="00E27ED8">
              <w:rPr>
                <w:b/>
                <w:sz w:val="18"/>
                <w:szCs w:val="18"/>
              </w:rPr>
              <w:t>2013</w:t>
            </w:r>
          </w:p>
        </w:tc>
        <w:tc>
          <w:tcPr>
            <w:tcW w:w="993" w:type="pct"/>
            <w:gridSpan w:val="2"/>
            <w:tcBorders>
              <w:top w:val="single" w:sz="12" w:space="0" w:color="auto"/>
              <w:left w:val="single" w:sz="12" w:space="0" w:color="auto"/>
            </w:tcBorders>
            <w:shd w:val="clear" w:color="auto" w:fill="BFBFBF"/>
            <w:vAlign w:val="center"/>
          </w:tcPr>
          <w:p w:rsidR="005A63D9" w:rsidRPr="00E27ED8" w:rsidRDefault="005A63D9" w:rsidP="00CF365D">
            <w:pPr>
              <w:spacing w:after="144"/>
              <w:jc w:val="center"/>
              <w:rPr>
                <w:b/>
                <w:sz w:val="18"/>
                <w:szCs w:val="18"/>
                <w:vertAlign w:val="superscript"/>
              </w:rPr>
            </w:pPr>
            <w:r w:rsidRPr="00E27ED8">
              <w:rPr>
                <w:b/>
                <w:sz w:val="18"/>
                <w:szCs w:val="18"/>
              </w:rPr>
              <w:t>2014</w:t>
            </w:r>
            <w:r w:rsidRPr="00E27ED8">
              <w:rPr>
                <w:rStyle w:val="FootnoteReference"/>
                <w:rFonts w:cs="Arial"/>
                <w:b/>
                <w:sz w:val="18"/>
                <w:szCs w:val="18"/>
              </w:rPr>
              <w:footnoteReference w:id="25"/>
            </w:r>
          </w:p>
        </w:tc>
      </w:tr>
      <w:tr w:rsidR="005A63D9" w:rsidRPr="00E27ED8" w:rsidTr="00510C04">
        <w:tc>
          <w:tcPr>
            <w:tcW w:w="1028" w:type="pct"/>
            <w:vMerge/>
            <w:tcBorders>
              <w:bottom w:val="double" w:sz="4" w:space="0" w:color="auto"/>
              <w:right w:val="single" w:sz="12" w:space="0" w:color="auto"/>
            </w:tcBorders>
            <w:shd w:val="clear" w:color="auto" w:fill="BFBFBF"/>
            <w:vAlign w:val="center"/>
          </w:tcPr>
          <w:p w:rsidR="005A63D9" w:rsidRPr="00E27ED8" w:rsidRDefault="005A63D9" w:rsidP="0008405A">
            <w:pPr>
              <w:spacing w:after="144"/>
              <w:jc w:val="both"/>
            </w:pPr>
          </w:p>
        </w:tc>
        <w:tc>
          <w:tcPr>
            <w:tcW w:w="593"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399"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93"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00"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93"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00" w:type="pct"/>
            <w:tcBorders>
              <w:bottom w:val="double" w:sz="4" w:space="0" w:color="auto"/>
              <w:right w:val="single" w:sz="12" w:space="0" w:color="auto"/>
            </w:tcBorders>
            <w:shd w:val="clear" w:color="auto" w:fill="BFBFBF"/>
            <w:vAlign w:val="center"/>
          </w:tcPr>
          <w:p w:rsidR="005A63D9" w:rsidRPr="00E27ED8" w:rsidRDefault="005A63D9" w:rsidP="00CF365D">
            <w:pPr>
              <w:spacing w:after="144"/>
              <w:jc w:val="center"/>
            </w:pPr>
            <w:r w:rsidRPr="00E27ED8">
              <w:t>(%)</w:t>
            </w:r>
          </w:p>
        </w:tc>
        <w:tc>
          <w:tcPr>
            <w:tcW w:w="593" w:type="pct"/>
            <w:tcBorders>
              <w:left w:val="single" w:sz="12" w:space="0" w:color="auto"/>
              <w:bottom w:val="double" w:sz="4" w:space="0" w:color="auto"/>
            </w:tcBorders>
            <w:shd w:val="clear" w:color="auto" w:fill="BFBFBF"/>
            <w:vAlign w:val="center"/>
          </w:tcPr>
          <w:p w:rsidR="005A63D9" w:rsidRPr="00E27ED8" w:rsidRDefault="005A63D9" w:rsidP="00CF365D">
            <w:pPr>
              <w:spacing w:after="144"/>
              <w:jc w:val="center"/>
            </w:pPr>
            <w:r w:rsidRPr="00E27ED8">
              <w:t>(mil. €)</w:t>
            </w:r>
          </w:p>
        </w:tc>
        <w:tc>
          <w:tcPr>
            <w:tcW w:w="400" w:type="pct"/>
            <w:tcBorders>
              <w:bottom w:val="double" w:sz="4" w:space="0" w:color="auto"/>
            </w:tcBorders>
            <w:shd w:val="clear" w:color="auto" w:fill="BFBFBF"/>
            <w:vAlign w:val="center"/>
          </w:tcPr>
          <w:p w:rsidR="005A63D9" w:rsidRPr="00E27ED8" w:rsidRDefault="005A63D9" w:rsidP="00CF365D">
            <w:pPr>
              <w:spacing w:after="144"/>
              <w:jc w:val="center"/>
            </w:pPr>
            <w:r w:rsidRPr="00E27ED8">
              <w:t>(%)</w:t>
            </w:r>
          </w:p>
        </w:tc>
      </w:tr>
      <w:tr w:rsidR="005A63D9" w:rsidRPr="00E27ED8" w:rsidTr="00510C04">
        <w:tc>
          <w:tcPr>
            <w:tcW w:w="1028" w:type="pct"/>
            <w:tcBorders>
              <w:top w:val="double" w:sz="4" w:space="0" w:color="auto"/>
              <w:right w:val="single" w:sz="12" w:space="0" w:color="auto"/>
            </w:tcBorders>
            <w:vAlign w:val="center"/>
          </w:tcPr>
          <w:p w:rsidR="005A63D9" w:rsidRPr="00E27ED8" w:rsidRDefault="005A63D9">
            <w:pPr>
              <w:spacing w:after="144"/>
            </w:pPr>
            <w:r w:rsidRPr="00E27ED8">
              <w:t>Spolkové ministerstvo pro vzdělání a výzkum</w:t>
            </w:r>
          </w:p>
        </w:tc>
        <w:tc>
          <w:tcPr>
            <w:tcW w:w="593" w:type="pct"/>
            <w:tcBorders>
              <w:top w:val="double" w:sz="4" w:space="0" w:color="auto"/>
              <w:left w:val="single" w:sz="12" w:space="0" w:color="auto"/>
            </w:tcBorders>
            <w:vAlign w:val="center"/>
          </w:tcPr>
          <w:p w:rsidR="005A63D9" w:rsidRPr="00E27ED8" w:rsidRDefault="005A63D9" w:rsidP="00CF365D">
            <w:pPr>
              <w:spacing w:after="144"/>
              <w:jc w:val="center"/>
            </w:pPr>
            <w:r w:rsidRPr="00E27ED8">
              <w:t>7 604,2</w:t>
            </w:r>
          </w:p>
        </w:tc>
        <w:tc>
          <w:tcPr>
            <w:tcW w:w="399" w:type="pct"/>
            <w:tcBorders>
              <w:top w:val="double" w:sz="4" w:space="0" w:color="auto"/>
              <w:right w:val="single" w:sz="12" w:space="0" w:color="auto"/>
            </w:tcBorders>
            <w:vAlign w:val="center"/>
          </w:tcPr>
          <w:p w:rsidR="005A63D9" w:rsidRPr="00E27ED8" w:rsidRDefault="005A63D9" w:rsidP="00CF365D">
            <w:pPr>
              <w:spacing w:after="144"/>
              <w:jc w:val="center"/>
            </w:pPr>
            <w:r w:rsidRPr="00E27ED8">
              <w:t>57,2</w:t>
            </w:r>
          </w:p>
        </w:tc>
        <w:tc>
          <w:tcPr>
            <w:tcW w:w="593" w:type="pct"/>
            <w:tcBorders>
              <w:top w:val="double" w:sz="4" w:space="0" w:color="auto"/>
              <w:left w:val="single" w:sz="12" w:space="0" w:color="auto"/>
            </w:tcBorders>
            <w:vAlign w:val="center"/>
          </w:tcPr>
          <w:p w:rsidR="005A63D9" w:rsidRPr="00E27ED8" w:rsidRDefault="005A63D9" w:rsidP="00CF365D">
            <w:pPr>
              <w:spacing w:after="144"/>
              <w:jc w:val="center"/>
            </w:pPr>
            <w:r w:rsidRPr="00E27ED8">
              <w:t>8 036,4</w:t>
            </w:r>
          </w:p>
        </w:tc>
        <w:tc>
          <w:tcPr>
            <w:tcW w:w="400" w:type="pct"/>
            <w:tcBorders>
              <w:top w:val="double" w:sz="4" w:space="0" w:color="auto"/>
              <w:right w:val="single" w:sz="12" w:space="0" w:color="auto"/>
            </w:tcBorders>
            <w:vAlign w:val="center"/>
          </w:tcPr>
          <w:p w:rsidR="005A63D9" w:rsidRPr="00E27ED8" w:rsidRDefault="005A63D9" w:rsidP="00CF365D">
            <w:pPr>
              <w:spacing w:after="144"/>
              <w:jc w:val="center"/>
            </w:pPr>
            <w:r w:rsidRPr="00E27ED8">
              <w:t>59,6</w:t>
            </w:r>
          </w:p>
        </w:tc>
        <w:tc>
          <w:tcPr>
            <w:tcW w:w="593" w:type="pct"/>
            <w:tcBorders>
              <w:top w:val="double" w:sz="4" w:space="0" w:color="auto"/>
              <w:left w:val="single" w:sz="12" w:space="0" w:color="auto"/>
            </w:tcBorders>
            <w:vAlign w:val="center"/>
          </w:tcPr>
          <w:p w:rsidR="005A63D9" w:rsidRPr="00E27ED8" w:rsidRDefault="005A63D9" w:rsidP="00CF365D">
            <w:pPr>
              <w:spacing w:after="144"/>
              <w:jc w:val="center"/>
            </w:pPr>
            <w:r w:rsidRPr="00E27ED8">
              <w:t>8 262,7</w:t>
            </w:r>
          </w:p>
        </w:tc>
        <w:tc>
          <w:tcPr>
            <w:tcW w:w="400" w:type="pct"/>
            <w:tcBorders>
              <w:top w:val="double" w:sz="4" w:space="0" w:color="auto"/>
              <w:right w:val="single" w:sz="12" w:space="0" w:color="auto"/>
            </w:tcBorders>
            <w:vAlign w:val="center"/>
          </w:tcPr>
          <w:p w:rsidR="005A63D9" w:rsidRPr="00E27ED8" w:rsidRDefault="005A63D9" w:rsidP="00CF365D">
            <w:pPr>
              <w:spacing w:after="144"/>
              <w:jc w:val="center"/>
            </w:pPr>
            <w:r w:rsidRPr="00E27ED8">
              <w:t>57,1</w:t>
            </w:r>
          </w:p>
        </w:tc>
        <w:tc>
          <w:tcPr>
            <w:tcW w:w="593" w:type="pct"/>
            <w:tcBorders>
              <w:top w:val="double" w:sz="4" w:space="0" w:color="auto"/>
              <w:left w:val="single" w:sz="12" w:space="0" w:color="auto"/>
            </w:tcBorders>
            <w:vAlign w:val="center"/>
          </w:tcPr>
          <w:p w:rsidR="005A63D9" w:rsidRPr="00E27ED8" w:rsidRDefault="005A63D9" w:rsidP="00CF365D">
            <w:pPr>
              <w:spacing w:after="144"/>
              <w:jc w:val="center"/>
            </w:pPr>
            <w:r w:rsidRPr="00E27ED8">
              <w:t>8 442,4</w:t>
            </w:r>
          </w:p>
        </w:tc>
        <w:tc>
          <w:tcPr>
            <w:tcW w:w="400" w:type="pct"/>
            <w:tcBorders>
              <w:top w:val="double" w:sz="4" w:space="0" w:color="auto"/>
            </w:tcBorders>
            <w:vAlign w:val="center"/>
          </w:tcPr>
          <w:p w:rsidR="005A63D9" w:rsidRPr="00E27ED8" w:rsidRDefault="005A63D9" w:rsidP="00CF365D">
            <w:pPr>
              <w:spacing w:after="144"/>
              <w:jc w:val="center"/>
            </w:pPr>
            <w:r w:rsidRPr="00E27ED8">
              <w:t>58,6</w:t>
            </w:r>
          </w:p>
        </w:tc>
      </w:tr>
      <w:tr w:rsidR="005A63D9" w:rsidRPr="00E27ED8" w:rsidTr="00510C04">
        <w:tc>
          <w:tcPr>
            <w:tcW w:w="1028" w:type="pct"/>
            <w:tcBorders>
              <w:top w:val="nil"/>
              <w:right w:val="single" w:sz="12" w:space="0" w:color="auto"/>
            </w:tcBorders>
            <w:vAlign w:val="center"/>
          </w:tcPr>
          <w:p w:rsidR="005A63D9" w:rsidRPr="00E27ED8" w:rsidRDefault="005A63D9">
            <w:pPr>
              <w:spacing w:after="144"/>
            </w:pPr>
            <w:r w:rsidRPr="00E27ED8">
              <w:t>Spolkové ministerstvo pro hospodářství a technologie</w:t>
            </w:r>
          </w:p>
        </w:tc>
        <w:tc>
          <w:tcPr>
            <w:tcW w:w="593" w:type="pct"/>
            <w:tcBorders>
              <w:top w:val="nil"/>
              <w:left w:val="single" w:sz="12" w:space="0" w:color="auto"/>
            </w:tcBorders>
            <w:vAlign w:val="center"/>
          </w:tcPr>
          <w:p w:rsidR="005A63D9" w:rsidRPr="00E27ED8" w:rsidRDefault="005A63D9" w:rsidP="00CF365D">
            <w:pPr>
              <w:spacing w:after="144"/>
              <w:jc w:val="center"/>
            </w:pPr>
            <w:r w:rsidRPr="00E27ED8">
              <w:t>2 526,6</w:t>
            </w:r>
          </w:p>
        </w:tc>
        <w:tc>
          <w:tcPr>
            <w:tcW w:w="399" w:type="pct"/>
            <w:tcBorders>
              <w:top w:val="nil"/>
              <w:right w:val="single" w:sz="12" w:space="0" w:color="auto"/>
            </w:tcBorders>
            <w:vAlign w:val="center"/>
          </w:tcPr>
          <w:p w:rsidR="005A63D9" w:rsidRPr="00E27ED8" w:rsidRDefault="005A63D9" w:rsidP="00CF365D">
            <w:pPr>
              <w:spacing w:after="144"/>
              <w:jc w:val="center"/>
            </w:pPr>
            <w:r w:rsidRPr="00E27ED8">
              <w:t>19,0</w:t>
            </w:r>
          </w:p>
        </w:tc>
        <w:tc>
          <w:tcPr>
            <w:tcW w:w="593" w:type="pct"/>
            <w:tcBorders>
              <w:top w:val="nil"/>
              <w:left w:val="single" w:sz="12" w:space="0" w:color="auto"/>
            </w:tcBorders>
            <w:vAlign w:val="center"/>
          </w:tcPr>
          <w:p w:rsidR="005A63D9" w:rsidRPr="00E27ED8" w:rsidRDefault="005A63D9" w:rsidP="00CF365D">
            <w:pPr>
              <w:spacing w:after="144"/>
              <w:jc w:val="center"/>
            </w:pPr>
            <w:r w:rsidRPr="00E27ED8">
              <w:t>2 748,5</w:t>
            </w:r>
          </w:p>
        </w:tc>
        <w:tc>
          <w:tcPr>
            <w:tcW w:w="400" w:type="pct"/>
            <w:tcBorders>
              <w:top w:val="nil"/>
              <w:right w:val="single" w:sz="12" w:space="0" w:color="auto"/>
            </w:tcBorders>
            <w:vAlign w:val="center"/>
          </w:tcPr>
          <w:p w:rsidR="005A63D9" w:rsidRPr="00E27ED8" w:rsidRDefault="005A63D9" w:rsidP="00CF365D">
            <w:pPr>
              <w:spacing w:after="144"/>
              <w:jc w:val="center"/>
            </w:pPr>
            <w:r w:rsidRPr="00E27ED8">
              <w:t>20,4</w:t>
            </w:r>
          </w:p>
        </w:tc>
        <w:tc>
          <w:tcPr>
            <w:tcW w:w="593" w:type="pct"/>
            <w:tcBorders>
              <w:top w:val="nil"/>
              <w:left w:val="single" w:sz="12" w:space="0" w:color="auto"/>
            </w:tcBorders>
            <w:vAlign w:val="center"/>
          </w:tcPr>
          <w:p w:rsidR="005A63D9" w:rsidRPr="00E27ED8" w:rsidRDefault="005A63D9" w:rsidP="00CF365D">
            <w:pPr>
              <w:spacing w:after="144"/>
              <w:jc w:val="center"/>
            </w:pPr>
            <w:r w:rsidRPr="00E27ED8">
              <w:t>2 948,7</w:t>
            </w:r>
          </w:p>
        </w:tc>
        <w:tc>
          <w:tcPr>
            <w:tcW w:w="400" w:type="pct"/>
            <w:tcBorders>
              <w:top w:val="nil"/>
              <w:right w:val="single" w:sz="12" w:space="0" w:color="auto"/>
            </w:tcBorders>
            <w:vAlign w:val="center"/>
          </w:tcPr>
          <w:p w:rsidR="005A63D9" w:rsidRPr="00E27ED8" w:rsidRDefault="005A63D9" w:rsidP="00CF365D">
            <w:pPr>
              <w:spacing w:after="144"/>
              <w:jc w:val="center"/>
            </w:pPr>
            <w:r w:rsidRPr="00E27ED8">
              <w:t>20,3</w:t>
            </w:r>
          </w:p>
        </w:tc>
        <w:tc>
          <w:tcPr>
            <w:tcW w:w="593" w:type="pct"/>
            <w:tcBorders>
              <w:top w:val="nil"/>
              <w:left w:val="single" w:sz="12" w:space="0" w:color="auto"/>
            </w:tcBorders>
            <w:vAlign w:val="center"/>
          </w:tcPr>
          <w:p w:rsidR="005A63D9" w:rsidRPr="00E27ED8" w:rsidRDefault="005A63D9" w:rsidP="00CF365D">
            <w:pPr>
              <w:spacing w:after="144"/>
              <w:jc w:val="center"/>
            </w:pPr>
            <w:r w:rsidRPr="00E27ED8">
              <w:t>2 965,5</w:t>
            </w:r>
          </w:p>
        </w:tc>
        <w:tc>
          <w:tcPr>
            <w:tcW w:w="400" w:type="pct"/>
            <w:tcBorders>
              <w:top w:val="nil"/>
            </w:tcBorders>
            <w:vAlign w:val="center"/>
          </w:tcPr>
          <w:p w:rsidR="005A63D9" w:rsidRPr="00E27ED8" w:rsidRDefault="005A63D9" w:rsidP="00CF365D">
            <w:pPr>
              <w:spacing w:after="144"/>
              <w:jc w:val="center"/>
            </w:pPr>
            <w:r w:rsidRPr="00E27ED8">
              <w:t>20,6</w:t>
            </w:r>
          </w:p>
        </w:tc>
      </w:tr>
      <w:tr w:rsidR="005A63D9" w:rsidRPr="00E27ED8" w:rsidTr="00510C04">
        <w:tc>
          <w:tcPr>
            <w:tcW w:w="1028" w:type="pct"/>
            <w:tcBorders>
              <w:right w:val="single" w:sz="12" w:space="0" w:color="auto"/>
            </w:tcBorders>
            <w:vAlign w:val="center"/>
          </w:tcPr>
          <w:p w:rsidR="005A63D9" w:rsidRPr="00E27ED8" w:rsidRDefault="005A63D9">
            <w:pPr>
              <w:spacing w:after="144"/>
            </w:pPr>
            <w:r w:rsidRPr="00E27ED8">
              <w:t>Spolkové ministerstvo obrany</w:t>
            </w:r>
          </w:p>
        </w:tc>
        <w:tc>
          <w:tcPr>
            <w:tcW w:w="593" w:type="pct"/>
            <w:tcBorders>
              <w:left w:val="single" w:sz="12" w:space="0" w:color="auto"/>
            </w:tcBorders>
            <w:vAlign w:val="center"/>
          </w:tcPr>
          <w:p w:rsidR="005A63D9" w:rsidRPr="00E27ED8" w:rsidRDefault="005A63D9" w:rsidP="00CF365D">
            <w:pPr>
              <w:spacing w:after="144"/>
              <w:jc w:val="center"/>
            </w:pPr>
            <w:r w:rsidRPr="00E27ED8">
              <w:t>974,8</w:t>
            </w:r>
          </w:p>
        </w:tc>
        <w:tc>
          <w:tcPr>
            <w:tcW w:w="399" w:type="pct"/>
            <w:tcBorders>
              <w:right w:val="single" w:sz="12" w:space="0" w:color="auto"/>
            </w:tcBorders>
            <w:vAlign w:val="center"/>
          </w:tcPr>
          <w:p w:rsidR="005A63D9" w:rsidRPr="00E27ED8" w:rsidRDefault="005A63D9" w:rsidP="00CF365D">
            <w:pPr>
              <w:spacing w:after="144"/>
              <w:jc w:val="center"/>
            </w:pPr>
            <w:r w:rsidRPr="00E27ED8">
              <w:t>7,3</w:t>
            </w:r>
          </w:p>
        </w:tc>
        <w:tc>
          <w:tcPr>
            <w:tcW w:w="593" w:type="pct"/>
            <w:tcBorders>
              <w:left w:val="single" w:sz="12" w:space="0" w:color="auto"/>
            </w:tcBorders>
            <w:vAlign w:val="center"/>
          </w:tcPr>
          <w:p w:rsidR="005A63D9" w:rsidRPr="00E27ED8" w:rsidRDefault="005A63D9" w:rsidP="00CF365D">
            <w:pPr>
              <w:spacing w:after="144"/>
              <w:jc w:val="center"/>
            </w:pPr>
            <w:r w:rsidRPr="00E27ED8">
              <w:t>937,2</w:t>
            </w:r>
          </w:p>
        </w:tc>
        <w:tc>
          <w:tcPr>
            <w:tcW w:w="400" w:type="pct"/>
            <w:tcBorders>
              <w:right w:val="single" w:sz="12" w:space="0" w:color="auto"/>
            </w:tcBorders>
            <w:vAlign w:val="center"/>
          </w:tcPr>
          <w:p w:rsidR="005A63D9" w:rsidRPr="00E27ED8" w:rsidRDefault="005A63D9" w:rsidP="00CF365D">
            <w:pPr>
              <w:spacing w:after="144"/>
              <w:jc w:val="center"/>
            </w:pPr>
            <w:r w:rsidRPr="00E27ED8">
              <w:t>7,0</w:t>
            </w:r>
          </w:p>
        </w:tc>
        <w:tc>
          <w:tcPr>
            <w:tcW w:w="593" w:type="pct"/>
            <w:tcBorders>
              <w:left w:val="single" w:sz="12" w:space="0" w:color="auto"/>
            </w:tcBorders>
            <w:vAlign w:val="center"/>
          </w:tcPr>
          <w:p w:rsidR="005A63D9" w:rsidRPr="00E27ED8" w:rsidRDefault="005A63D9" w:rsidP="00CF365D">
            <w:pPr>
              <w:spacing w:after="144"/>
              <w:jc w:val="center"/>
            </w:pPr>
            <w:r w:rsidRPr="00E27ED8">
              <w:t>981,6</w:t>
            </w:r>
          </w:p>
        </w:tc>
        <w:tc>
          <w:tcPr>
            <w:tcW w:w="400" w:type="pct"/>
            <w:tcBorders>
              <w:right w:val="single" w:sz="12" w:space="0" w:color="auto"/>
            </w:tcBorders>
            <w:vAlign w:val="center"/>
          </w:tcPr>
          <w:p w:rsidR="005A63D9" w:rsidRPr="00E27ED8" w:rsidRDefault="005A63D9" w:rsidP="00CF365D">
            <w:pPr>
              <w:spacing w:after="144"/>
              <w:jc w:val="center"/>
            </w:pPr>
            <w:r w:rsidRPr="00E27ED8">
              <w:t>6,8</w:t>
            </w:r>
          </w:p>
        </w:tc>
        <w:tc>
          <w:tcPr>
            <w:tcW w:w="593" w:type="pct"/>
            <w:tcBorders>
              <w:left w:val="single" w:sz="12" w:space="0" w:color="auto"/>
            </w:tcBorders>
            <w:vAlign w:val="center"/>
          </w:tcPr>
          <w:p w:rsidR="005A63D9" w:rsidRPr="00E27ED8" w:rsidRDefault="005A63D9" w:rsidP="00CF365D">
            <w:pPr>
              <w:spacing w:after="144"/>
              <w:jc w:val="center"/>
            </w:pPr>
            <w:r w:rsidRPr="00E27ED8">
              <w:t>873,0</w:t>
            </w:r>
          </w:p>
        </w:tc>
        <w:tc>
          <w:tcPr>
            <w:tcW w:w="400" w:type="pct"/>
            <w:vAlign w:val="center"/>
          </w:tcPr>
          <w:p w:rsidR="005A63D9" w:rsidRPr="00E27ED8" w:rsidRDefault="005A63D9" w:rsidP="00CF365D">
            <w:pPr>
              <w:spacing w:after="144"/>
              <w:jc w:val="center"/>
            </w:pPr>
            <w:r w:rsidRPr="00E27ED8">
              <w:t>6,1</w:t>
            </w:r>
          </w:p>
        </w:tc>
      </w:tr>
      <w:tr w:rsidR="005A63D9" w:rsidRPr="00E27ED8" w:rsidTr="00510C04">
        <w:tc>
          <w:tcPr>
            <w:tcW w:w="1028" w:type="pct"/>
            <w:tcBorders>
              <w:right w:val="single" w:sz="12" w:space="0" w:color="auto"/>
            </w:tcBorders>
            <w:vAlign w:val="center"/>
          </w:tcPr>
          <w:p w:rsidR="005A63D9" w:rsidRPr="00E27ED8" w:rsidRDefault="005A63D9">
            <w:pPr>
              <w:spacing w:after="144"/>
            </w:pPr>
            <w:r w:rsidRPr="00E27ED8">
              <w:t>Spolkové ministerstvo pro životní prostředí, ochranu přírody a bezpečnost reaktorů</w:t>
            </w:r>
          </w:p>
        </w:tc>
        <w:tc>
          <w:tcPr>
            <w:tcW w:w="593" w:type="pct"/>
            <w:tcBorders>
              <w:left w:val="single" w:sz="12" w:space="0" w:color="auto"/>
            </w:tcBorders>
            <w:vAlign w:val="center"/>
          </w:tcPr>
          <w:p w:rsidR="005A63D9" w:rsidRPr="00E27ED8" w:rsidRDefault="005A63D9" w:rsidP="00CF365D">
            <w:pPr>
              <w:spacing w:after="144"/>
              <w:jc w:val="center"/>
            </w:pPr>
            <w:r w:rsidRPr="00E27ED8">
              <w:t>243,8</w:t>
            </w:r>
          </w:p>
        </w:tc>
        <w:tc>
          <w:tcPr>
            <w:tcW w:w="399" w:type="pct"/>
            <w:tcBorders>
              <w:right w:val="single" w:sz="12" w:space="0" w:color="auto"/>
            </w:tcBorders>
            <w:vAlign w:val="center"/>
          </w:tcPr>
          <w:p w:rsidR="005A63D9" w:rsidRPr="00E27ED8" w:rsidRDefault="005A63D9" w:rsidP="00CF365D">
            <w:pPr>
              <w:spacing w:after="144"/>
              <w:jc w:val="center"/>
            </w:pPr>
            <w:r w:rsidRPr="00E27ED8">
              <w:t>1,8</w:t>
            </w:r>
          </w:p>
        </w:tc>
        <w:tc>
          <w:tcPr>
            <w:tcW w:w="593" w:type="pct"/>
            <w:tcBorders>
              <w:left w:val="single" w:sz="12" w:space="0" w:color="auto"/>
            </w:tcBorders>
            <w:vAlign w:val="center"/>
          </w:tcPr>
          <w:p w:rsidR="005A63D9" w:rsidRPr="00E27ED8" w:rsidRDefault="005A63D9" w:rsidP="00CF365D">
            <w:pPr>
              <w:spacing w:after="144"/>
              <w:jc w:val="center"/>
            </w:pPr>
            <w:r w:rsidRPr="00E27ED8">
              <w:t>274,1</w:t>
            </w:r>
          </w:p>
        </w:tc>
        <w:tc>
          <w:tcPr>
            <w:tcW w:w="400" w:type="pct"/>
            <w:tcBorders>
              <w:right w:val="single" w:sz="12" w:space="0" w:color="auto"/>
            </w:tcBorders>
            <w:vAlign w:val="center"/>
          </w:tcPr>
          <w:p w:rsidR="005A63D9" w:rsidRPr="00E27ED8" w:rsidRDefault="005A63D9" w:rsidP="00CF365D">
            <w:pPr>
              <w:spacing w:after="144"/>
              <w:jc w:val="center"/>
            </w:pPr>
            <w:r w:rsidRPr="00E27ED8">
              <w:t>2,0</w:t>
            </w:r>
          </w:p>
        </w:tc>
        <w:tc>
          <w:tcPr>
            <w:tcW w:w="593" w:type="pct"/>
            <w:tcBorders>
              <w:left w:val="single" w:sz="12" w:space="0" w:color="auto"/>
            </w:tcBorders>
            <w:vAlign w:val="center"/>
          </w:tcPr>
          <w:p w:rsidR="005A63D9" w:rsidRPr="00E27ED8" w:rsidRDefault="005A63D9" w:rsidP="00CF365D">
            <w:pPr>
              <w:spacing w:after="144"/>
              <w:jc w:val="center"/>
            </w:pPr>
            <w:r w:rsidRPr="00E27ED8">
              <w:t>297,6</w:t>
            </w:r>
          </w:p>
        </w:tc>
        <w:tc>
          <w:tcPr>
            <w:tcW w:w="400" w:type="pct"/>
            <w:tcBorders>
              <w:right w:val="single" w:sz="12" w:space="0" w:color="auto"/>
            </w:tcBorders>
            <w:vAlign w:val="center"/>
          </w:tcPr>
          <w:p w:rsidR="005A63D9" w:rsidRPr="00E27ED8" w:rsidRDefault="005A63D9" w:rsidP="00CF365D">
            <w:pPr>
              <w:spacing w:after="144"/>
              <w:jc w:val="center"/>
            </w:pPr>
            <w:r w:rsidRPr="00E27ED8">
              <w:t>2,1</w:t>
            </w:r>
          </w:p>
        </w:tc>
        <w:tc>
          <w:tcPr>
            <w:tcW w:w="593" w:type="pct"/>
            <w:tcBorders>
              <w:left w:val="single" w:sz="12" w:space="0" w:color="auto"/>
            </w:tcBorders>
            <w:vAlign w:val="center"/>
          </w:tcPr>
          <w:p w:rsidR="005A63D9" w:rsidRPr="00E27ED8" w:rsidRDefault="005A63D9" w:rsidP="00CF365D">
            <w:pPr>
              <w:spacing w:after="144"/>
              <w:jc w:val="center"/>
            </w:pPr>
            <w:r w:rsidRPr="00E27ED8">
              <w:t>293,7</w:t>
            </w:r>
          </w:p>
        </w:tc>
        <w:tc>
          <w:tcPr>
            <w:tcW w:w="400" w:type="pct"/>
            <w:vAlign w:val="center"/>
          </w:tcPr>
          <w:p w:rsidR="005A63D9" w:rsidRPr="00E27ED8" w:rsidRDefault="005A63D9" w:rsidP="00CF365D">
            <w:pPr>
              <w:spacing w:after="144"/>
              <w:jc w:val="center"/>
            </w:pPr>
            <w:r w:rsidRPr="00E27ED8">
              <w:t>2,0</w:t>
            </w:r>
          </w:p>
        </w:tc>
      </w:tr>
      <w:tr w:rsidR="005A63D9" w:rsidRPr="00E27ED8" w:rsidTr="00510C04">
        <w:trPr>
          <w:trHeight w:val="227"/>
        </w:trPr>
        <w:tc>
          <w:tcPr>
            <w:tcW w:w="1028"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b/>
              </w:rPr>
            </w:pPr>
            <w:r w:rsidRPr="00E27ED8">
              <w:rPr>
                <w:b/>
              </w:rPr>
              <w:t>CELKEM</w:t>
            </w:r>
          </w:p>
        </w:tc>
        <w:tc>
          <w:tcPr>
            <w:tcW w:w="593"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13 285,8</w:t>
            </w:r>
          </w:p>
        </w:tc>
        <w:tc>
          <w:tcPr>
            <w:tcW w:w="399"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93"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13 474,8</w:t>
            </w:r>
          </w:p>
        </w:tc>
        <w:tc>
          <w:tcPr>
            <w:tcW w:w="400"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93"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14 458,5</w:t>
            </w:r>
          </w:p>
        </w:tc>
        <w:tc>
          <w:tcPr>
            <w:tcW w:w="400"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b/>
              </w:rPr>
            </w:pPr>
            <w:r w:rsidRPr="00E27ED8">
              <w:rPr>
                <w:b/>
              </w:rPr>
              <w:t>100</w:t>
            </w:r>
          </w:p>
        </w:tc>
        <w:tc>
          <w:tcPr>
            <w:tcW w:w="593"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b/>
              </w:rPr>
            </w:pPr>
            <w:r w:rsidRPr="00E27ED8">
              <w:rPr>
                <w:b/>
              </w:rPr>
              <w:t>14 404,0</w:t>
            </w:r>
          </w:p>
        </w:tc>
        <w:tc>
          <w:tcPr>
            <w:tcW w:w="400" w:type="pct"/>
            <w:tcBorders>
              <w:top w:val="single" w:sz="12" w:space="0" w:color="auto"/>
              <w:bottom w:val="single" w:sz="12" w:space="0" w:color="auto"/>
            </w:tcBorders>
          </w:tcPr>
          <w:p w:rsidR="005A63D9" w:rsidRPr="00E27ED8" w:rsidRDefault="005A63D9" w:rsidP="00CF365D">
            <w:pPr>
              <w:spacing w:after="144"/>
              <w:jc w:val="center"/>
              <w:rPr>
                <w:b/>
              </w:rPr>
            </w:pPr>
            <w:r w:rsidRPr="00E27ED8">
              <w:rPr>
                <w:b/>
              </w:rPr>
              <w:t>100</w:t>
            </w:r>
          </w:p>
        </w:tc>
      </w:tr>
    </w:tbl>
    <w:p w:rsidR="005A63D9" w:rsidRPr="00CF365D" w:rsidRDefault="005A63D9" w:rsidP="0008405A">
      <w:pPr>
        <w:pStyle w:val="ZDROJovan"/>
        <w:spacing w:after="144" w:line="288" w:lineRule="auto"/>
        <w:jc w:val="both"/>
      </w:pPr>
      <w:r w:rsidRPr="00CF365D">
        <w:t>Zdroj: BMBF, Bundesbericht</w:t>
      </w:r>
      <w:r>
        <w:t xml:space="preserve"> Forschung und Innovation 2014;</w:t>
      </w:r>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p>
    <w:p w:rsidR="005A63D9" w:rsidRPr="00414F4E" w:rsidRDefault="005A63D9" w:rsidP="00414F4E">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17" w:name="_Toc440897426"/>
      <w:bookmarkStart w:id="118" w:name="_Toc441760828"/>
      <w:bookmarkStart w:id="119" w:name="_Toc441849491"/>
      <w:r>
        <w:rPr>
          <w:rFonts w:cs="Arial"/>
          <w:bCs/>
          <w:iCs/>
          <w:color w:val="000000"/>
          <w:shd w:val="clear" w:color="auto" w:fill="FFFFFF"/>
          <w:lang/>
        </w:rPr>
        <w:t xml:space="preserve">4.3. </w:t>
      </w:r>
      <w:r w:rsidRPr="00414F4E">
        <w:rPr>
          <w:rFonts w:cs="Arial"/>
          <w:bCs/>
          <w:iCs/>
          <w:color w:val="000000"/>
          <w:shd w:val="clear" w:color="auto" w:fill="FFFFFF"/>
          <w:lang/>
        </w:rPr>
        <w:t>Organizace zabývající se VaV životního prostředí</w:t>
      </w:r>
      <w:bookmarkEnd w:id="117"/>
      <w:bookmarkEnd w:id="118"/>
      <w:bookmarkEnd w:id="119"/>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V Německu při existenci čtyř velkých sdružení výzkumných ústavů (Společnost Maxe Plancka, Helmholtzovo společenství výzkumných ce</w:t>
      </w:r>
      <w:r>
        <w:rPr>
          <w:color w:val="000000"/>
          <w:shd w:val="clear" w:color="auto" w:fill="FFFFFF"/>
          <w:lang w:eastAsia="cs-CZ"/>
        </w:rPr>
        <w:t>nter, Leibnizovo společenství a </w:t>
      </w:r>
      <w:r w:rsidRPr="00414F4E">
        <w:rPr>
          <w:color w:val="000000"/>
          <w:shd w:val="clear" w:color="auto" w:fill="FFFFFF"/>
          <w:lang w:eastAsia="cs-CZ"/>
        </w:rPr>
        <w:t>Fraunhoferova společnost) existují resortní instituce, které s</w:t>
      </w:r>
      <w:r>
        <w:rPr>
          <w:color w:val="000000"/>
          <w:shd w:val="clear" w:color="auto" w:fill="FFFFFF"/>
          <w:lang w:eastAsia="cs-CZ"/>
        </w:rPr>
        <w:t>e kromě jiných úkolů zabývají i </w:t>
      </w:r>
      <w:r w:rsidRPr="00414F4E">
        <w:rPr>
          <w:color w:val="000000"/>
          <w:shd w:val="clear" w:color="auto" w:fill="FFFFFF"/>
          <w:lang w:eastAsia="cs-CZ"/>
        </w:rPr>
        <w:t xml:space="preserve">VaV. </w:t>
      </w:r>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r w:rsidRPr="00414F4E">
        <w:rPr>
          <w:color w:val="000000"/>
          <w:shd w:val="clear" w:color="auto" w:fill="FFFFFF"/>
          <w:lang w:eastAsia="cs-CZ"/>
        </w:rPr>
        <w:t>Spolkové ministerstvo pro životní prostředí, ochranu přírody a bezpečnost reaktorů má tři: Spolkový úřad pro životní prostředí; Spolkový úřad pro ochranu přírody, Spolkový úřad pro ochranu před radioaktivním zářením. Pro srovnání - Spolk</w:t>
      </w:r>
      <w:r>
        <w:rPr>
          <w:color w:val="000000"/>
          <w:shd w:val="clear" w:color="auto" w:fill="FFFFFF"/>
          <w:lang w:eastAsia="cs-CZ"/>
        </w:rPr>
        <w:t>ové ministerstvo pro vzdělání a </w:t>
      </w:r>
      <w:r w:rsidRPr="00414F4E">
        <w:rPr>
          <w:color w:val="000000"/>
          <w:shd w:val="clear" w:color="auto" w:fill="FFFFFF"/>
          <w:lang w:eastAsia="cs-CZ"/>
        </w:rPr>
        <w:t>výzkum má jen jednu takovou instituci, Spolkový ustav pro profesní vzdělávání.</w:t>
      </w:r>
    </w:p>
    <w:p w:rsidR="005A63D9" w:rsidRPr="00414F4E"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20" w:name="_Toc440897427"/>
      <w:bookmarkStart w:id="121" w:name="_Toc441760829"/>
      <w:bookmarkStart w:id="122" w:name="_Toc441849492"/>
      <w:r w:rsidRPr="00442A0C">
        <w:rPr>
          <w:bCs/>
          <w:shd w:val="clear" w:color="auto" w:fill="FFFFFF"/>
          <w:lang/>
        </w:rPr>
        <w:t>Společnost Maxe Plancka</w:t>
      </w:r>
      <w:bookmarkEnd w:id="120"/>
      <w:bookmarkEnd w:id="121"/>
      <w:bookmarkEnd w:id="122"/>
    </w:p>
    <w:p w:rsidR="005A63D9" w:rsidRPr="008B6572" w:rsidRDefault="005A63D9" w:rsidP="008B6572">
      <w:pPr>
        <w:widowControl w:val="0"/>
        <w:adjustRightInd w:val="0"/>
        <w:spacing w:afterLines="0"/>
        <w:contextualSpacing w:val="0"/>
        <w:jc w:val="both"/>
        <w:textAlignment w:val="baseline"/>
        <w:rPr>
          <w:color w:val="000000"/>
          <w:shd w:val="clear" w:color="auto" w:fill="FFFFFF"/>
          <w:lang w:eastAsia="cs-CZ"/>
        </w:rPr>
      </w:pPr>
      <w:r w:rsidRPr="008B6572">
        <w:rPr>
          <w:color w:val="000000"/>
          <w:shd w:val="clear" w:color="auto" w:fill="FFFFFF"/>
          <w:lang w:eastAsia="cs-CZ"/>
        </w:rPr>
        <w:t xml:space="preserve">(Max-Planck Gesellschaft – www.mpg.de) </w:t>
      </w:r>
    </w:p>
    <w:p w:rsidR="005A63D9" w:rsidRPr="008B6572" w:rsidRDefault="005A63D9" w:rsidP="008B6572">
      <w:pPr>
        <w:widowControl w:val="0"/>
        <w:adjustRightInd w:val="0"/>
        <w:spacing w:afterLines="0"/>
        <w:ind w:firstLine="539"/>
        <w:contextualSpacing w:val="0"/>
        <w:jc w:val="both"/>
        <w:textAlignment w:val="baseline"/>
        <w:rPr>
          <w:color w:val="000000"/>
          <w:shd w:val="clear" w:color="auto" w:fill="FFFFFF"/>
          <w:lang w:eastAsia="cs-CZ"/>
        </w:rPr>
      </w:pPr>
      <w:r w:rsidRPr="008B6572">
        <w:rPr>
          <w:color w:val="000000"/>
          <w:shd w:val="clear" w:color="auto" w:fill="FFFFFF"/>
          <w:lang w:eastAsia="cs-CZ"/>
        </w:rPr>
        <w:t>Jde o sdružení 90 výzkumných ústavů a samostatných pracovišť, které se zabývají především základním výzkumem. Rozhodující části jejího financování je institucionální podpora poskytovaná státem a spolkovou zemí, v které ústav sídlí. Problematikou životního prostředí se zabývá jediný ústav, Ústav Maxe Plancka pro chemickou ekologii.</w:t>
      </w:r>
    </w:p>
    <w:p w:rsidR="005A63D9" w:rsidRPr="005364B5" w:rsidRDefault="005A63D9" w:rsidP="005364B5">
      <w:pPr>
        <w:widowControl w:val="0"/>
        <w:adjustRightInd w:val="0"/>
        <w:spacing w:afterLines="0"/>
        <w:contextualSpacing w:val="0"/>
        <w:jc w:val="both"/>
        <w:textAlignment w:val="baseline"/>
        <w:rPr>
          <w:b/>
          <w:color w:val="000000"/>
          <w:shd w:val="clear" w:color="auto" w:fill="FFFFFF"/>
          <w:lang w:eastAsia="cs-CZ"/>
        </w:rPr>
      </w:pPr>
      <w:r w:rsidRPr="005364B5">
        <w:rPr>
          <w:b/>
          <w:color w:val="000000"/>
          <w:shd w:val="clear" w:color="auto" w:fill="FFFFFF"/>
          <w:lang w:eastAsia="cs-CZ"/>
        </w:rPr>
        <w:t>Ústav Maxe Plancka pro chemickou ekologii</w:t>
      </w: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(Max-Planck-Institut für chemische Ökologie, Jena – www.ice.mpg.de)</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Ústav zkoumá úlohu, rozmanitost a vlastnosti chemických signálů, které řídí interakce mezi organismy a jejich prostředím. Práce mají interdis</w:t>
      </w:r>
      <w:r>
        <w:rPr>
          <w:color w:val="000000"/>
          <w:shd w:val="clear" w:color="auto" w:fill="FFFFFF"/>
          <w:lang w:eastAsia="cs-CZ"/>
        </w:rPr>
        <w:t>ciplinární povahu, kombinují se </w:t>
      </w:r>
      <w:r w:rsidRPr="00797C06">
        <w:rPr>
          <w:color w:val="000000"/>
          <w:shd w:val="clear" w:color="auto" w:fill="FFFFFF"/>
          <w:lang w:eastAsia="cs-CZ"/>
        </w:rPr>
        <w:t xml:space="preserve">postupy ekologie, biochemie, organické chemie, entomologie a fyziologie. V centru pozornosti pracovníků ústavu je koevoluce rostlin a hmyzu.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Ústav má pět sekcí: Molekulární ekologie; Biochemie; Bio-organická chemie; Evoluční neuroethologie, Entomologie. V ústavu pracuje 200 výzkumníků (195 plus 5 ředitelů sekcí) z 34 zemí, z toho je 108 doktorandů. Ústav jako celek má cca 400 pracovníků. Jedním z hlavních úkolů ústavu je výchova mladých vědeckých pracovníků. Při ústavu pracuje pět „výzkumných“ skupin, což je jeden z nástrojů podpory, které požívá největší německá agentura pro kompetitivní podporu výzkumu Německé výzkumné společenství (DFG). </w:t>
      </w:r>
    </w:p>
    <w:p w:rsidR="005A63D9"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Kromě toho je v ústavu zřízena Max Planck Research School, které poskytuje mladým špičkovým vědeckým pracovníkům z celého světa možnost ucházet se o studijní o pobyt v ústavu a při pobytu výrazně zvýšit svoji odbornou úroveň.</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23" w:name="_Toc440897428"/>
      <w:bookmarkStart w:id="124" w:name="_Toc441760830"/>
      <w:bookmarkStart w:id="125" w:name="_Toc441849493"/>
      <w:r w:rsidRPr="00442A0C">
        <w:rPr>
          <w:bCs/>
          <w:shd w:val="clear" w:color="auto" w:fill="FFFFFF"/>
          <w:lang/>
        </w:rPr>
        <w:t>Fraunhoferova společnost</w:t>
      </w:r>
      <w:bookmarkEnd w:id="123"/>
      <w:bookmarkEnd w:id="124"/>
      <w:bookmarkEnd w:id="125"/>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(Fraunhofer Gesselschaft FhG – www.fhg.de)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Jedná se o sdružení 82 ústavů a výzkumných pracovišť, která se zabývají především aplikovaným výzkumem, experimentálním vývojem a inovacemi. Podíl institucionální podpory (státu a spolkových zemí) je nižší než u Společnosti Maxe Plancka. Relativně značný podíl na celkových příjmech FhG mají podnikové prostředky (zakázkový VaVaI).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Problematikou životního prostředí se plně nebo částečně zabývají tyto ústavy:</w:t>
      </w: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Fraunhoferův ústav pro molekulární biologii a aplikovanou ekologii</w:t>
      </w: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(Fraunhofer-Institut für Molekularbiologie und Angewandte Oekologie, IME – www.ime.fraunhofer.de).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Cílem prací ústavu je zjišťovat rizika syntetických a </w:t>
      </w:r>
      <w:r>
        <w:rPr>
          <w:color w:val="000000"/>
          <w:shd w:val="clear" w:color="auto" w:fill="FFFFFF"/>
          <w:lang w:eastAsia="cs-CZ"/>
        </w:rPr>
        <w:t>biogenních látek, hodnotit je a </w:t>
      </w:r>
      <w:r w:rsidRPr="00797C06">
        <w:rPr>
          <w:color w:val="000000"/>
          <w:shd w:val="clear" w:color="auto" w:fill="FFFFFF"/>
          <w:lang w:eastAsia="cs-CZ"/>
        </w:rPr>
        <w:t>minimalizovat. Ústav ověřuje a hodnotí ekologickou snášenlivost (přijatelnost) rostlinných ochranných prostředků, biocidů</w:t>
      </w:r>
      <w:r>
        <w:rPr>
          <w:color w:val="000000"/>
          <w:shd w:val="clear" w:color="auto" w:fill="FFFFFF"/>
          <w:lang w:eastAsia="cs-CZ"/>
        </w:rPr>
        <w:t>,</w:t>
      </w:r>
      <w:r w:rsidRPr="00797C06">
        <w:rPr>
          <w:color w:val="000000"/>
          <w:shd w:val="clear" w:color="auto" w:fill="FFFFFF"/>
          <w:lang w:eastAsia="cs-CZ"/>
        </w:rPr>
        <w:t xml:space="preserve"> humánních a veterinárních medikamentů, průmyslových chemikálií a vybraných produktů, např. nanomateriálů. Ústav se zabývá následujícími obory: Funkční aplikovaná genomika; Vývoj farmaceutických produktů; Rostlinné biotechnologie; Průmyslové biotechnologie; Biozdroje a insekt biotechnologie; Molekulární biotechnologie; Translační (translationale) medicína a farmaceutika; Předklinické hledání účinných látek – chytré molekuly. Cca poloviční podíl prací tvoří zakázkový výzkum pro průmysl.</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V roce 2014 činil roční rozpočet ústavu cca 25 mil. €, z toho 11,5 mil. € činily příjmy z</w:t>
      </w:r>
      <w:r>
        <w:rPr>
          <w:color w:val="000000"/>
          <w:shd w:val="clear" w:color="auto" w:fill="FFFFFF"/>
          <w:lang w:eastAsia="cs-CZ"/>
        </w:rPr>
        <w:t xml:space="preserve">e státního </w:t>
      </w:r>
      <w:r w:rsidRPr="00797C06">
        <w:rPr>
          <w:color w:val="000000"/>
          <w:shd w:val="clear" w:color="auto" w:fill="FFFFFF"/>
          <w:lang w:eastAsia="cs-CZ"/>
        </w:rPr>
        <w:t>rozpočt</w:t>
      </w:r>
      <w:r>
        <w:rPr>
          <w:color w:val="000000"/>
          <w:shd w:val="clear" w:color="auto" w:fill="FFFFFF"/>
          <w:lang w:eastAsia="cs-CZ"/>
        </w:rPr>
        <w:t>u</w:t>
      </w:r>
      <w:r w:rsidRPr="00797C06">
        <w:rPr>
          <w:color w:val="000000"/>
          <w:shd w:val="clear" w:color="auto" w:fill="FFFFFF"/>
          <w:lang w:eastAsia="cs-CZ"/>
        </w:rPr>
        <w:t>, 12 mil. € institucionální a účelová veřejná podpora (stát a spolkové země). Příjmy z EU činily jen velmi malý podíl. V roce 2014 došlo k výraznému zvýšení veřejné podpory. V roce 2014 měl ústav 410 pracovníků (růst o 20,6 % proti r</w:t>
      </w:r>
      <w:r>
        <w:rPr>
          <w:color w:val="000000"/>
          <w:shd w:val="clear" w:color="auto" w:fill="FFFFFF"/>
          <w:lang w:eastAsia="cs-CZ"/>
        </w:rPr>
        <w:t>oku 2013). Podíl žen činil 43,9 </w:t>
      </w:r>
      <w:r w:rsidRPr="00797C06">
        <w:rPr>
          <w:color w:val="000000"/>
          <w:shd w:val="clear" w:color="auto" w:fill="FFFFFF"/>
          <w:lang w:eastAsia="cs-CZ"/>
        </w:rPr>
        <w:t>%.</w:t>
      </w: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Fraunhoferův ústav pro technologie a techniku životního prostředí, bezpečnosti a energetických systémů, Oberhausen</w:t>
      </w: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(Fraunhofer-Institut für Umwelt-, Sicherheits- und Energietechnik UMSICHT – www.umsicht.fraunhofer.de)</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Ústav má čtyři divize a pobočku v Sulzbach–Rosenbergu. Divize Energie má 5 odborů, divize Procesy 4 odbory (jedním je odbor Biorafinerie), divize Organizace 6 odborů.</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Ústav v Oberhausenu měl v roce 2014 celkem 435 pracovníků (z toho 192 výzkumných pracovníků) pobočka 124 pracovníků (z toho 71 výzkumných pracovníků). V Tab. č. 20. jsou uvedeny hlavní položky příjmů v roce 2014.</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b/>
          <w:color w:val="000000"/>
          <w:shd w:val="clear" w:color="auto" w:fill="FFFFFF"/>
          <w:lang w:eastAsia="cs-CZ"/>
        </w:rPr>
        <w:t>T</w:t>
      </w:r>
      <w:r>
        <w:rPr>
          <w:b/>
          <w:color w:val="000000"/>
          <w:shd w:val="clear" w:color="auto" w:fill="FFFFFF"/>
          <w:lang w:eastAsia="cs-CZ"/>
        </w:rPr>
        <w:t>ab. č. 20</w:t>
      </w:r>
      <w:r w:rsidRPr="00797C06">
        <w:rPr>
          <w:b/>
          <w:color w:val="000000"/>
          <w:shd w:val="clear" w:color="auto" w:fill="FFFFFF"/>
          <w:lang w:eastAsia="cs-CZ"/>
        </w:rPr>
        <w:t xml:space="preserve"> </w:t>
      </w:r>
      <w:r w:rsidRPr="00797C06">
        <w:rPr>
          <w:color w:val="000000"/>
          <w:shd w:val="clear" w:color="auto" w:fill="FFFFFF"/>
          <w:lang w:eastAsia="cs-CZ"/>
        </w:rPr>
        <w:t>Příjmy ústavu UMSICH a jeho pobočky v Sulzbachu–Rosenbergu v roce 2014</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221"/>
        <w:gridCol w:w="1267"/>
        <w:gridCol w:w="1267"/>
        <w:gridCol w:w="1267"/>
        <w:gridCol w:w="1265"/>
      </w:tblGrid>
      <w:tr w:rsidR="005A63D9" w:rsidRPr="00E27ED8" w:rsidTr="00510C04">
        <w:tc>
          <w:tcPr>
            <w:tcW w:w="2273"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color w:val="000000"/>
                <w:sz w:val="18"/>
                <w:szCs w:val="18"/>
              </w:rPr>
            </w:pPr>
          </w:p>
        </w:tc>
        <w:tc>
          <w:tcPr>
            <w:tcW w:w="1363" w:type="pct"/>
            <w:gridSpan w:val="2"/>
            <w:tcBorders>
              <w:top w:val="single" w:sz="12" w:space="0" w:color="auto"/>
              <w:left w:val="single" w:sz="12" w:space="0" w:color="auto"/>
              <w:bottom w:val="double" w:sz="4" w:space="0" w:color="auto"/>
              <w:right w:val="single" w:sz="12" w:space="0" w:color="auto"/>
            </w:tcBorders>
            <w:shd w:val="clear" w:color="auto" w:fill="BFBFBF"/>
            <w:vAlign w:val="center"/>
          </w:tcPr>
          <w:p w:rsidR="005A63D9" w:rsidRPr="00E27ED8" w:rsidRDefault="005A63D9" w:rsidP="00CF365D">
            <w:pPr>
              <w:spacing w:after="144"/>
              <w:jc w:val="center"/>
              <w:rPr>
                <w:color w:val="000000"/>
                <w:sz w:val="18"/>
                <w:szCs w:val="18"/>
              </w:rPr>
            </w:pPr>
            <w:r w:rsidRPr="00E27ED8">
              <w:rPr>
                <w:color w:val="000000"/>
                <w:sz w:val="18"/>
                <w:szCs w:val="18"/>
              </w:rPr>
              <w:t>UMSICHT Oberhausen</w:t>
            </w:r>
          </w:p>
        </w:tc>
        <w:tc>
          <w:tcPr>
            <w:tcW w:w="1363" w:type="pct"/>
            <w:gridSpan w:val="2"/>
            <w:tcBorders>
              <w:top w:val="single" w:sz="12" w:space="0" w:color="auto"/>
              <w:left w:val="single" w:sz="12" w:space="0" w:color="auto"/>
              <w:bottom w:val="double" w:sz="4" w:space="0" w:color="auto"/>
            </w:tcBorders>
            <w:shd w:val="clear" w:color="auto" w:fill="BFBFBF"/>
            <w:vAlign w:val="center"/>
          </w:tcPr>
          <w:p w:rsidR="005A63D9" w:rsidRPr="00E27ED8" w:rsidRDefault="005A63D9" w:rsidP="00CF365D">
            <w:pPr>
              <w:spacing w:after="144"/>
              <w:jc w:val="center"/>
              <w:rPr>
                <w:color w:val="000000"/>
                <w:sz w:val="18"/>
                <w:szCs w:val="18"/>
              </w:rPr>
            </w:pPr>
            <w:r w:rsidRPr="00E27ED8">
              <w:rPr>
                <w:color w:val="000000"/>
                <w:sz w:val="18"/>
                <w:szCs w:val="18"/>
              </w:rPr>
              <w:t>Pobočka Sulzbach</w:t>
            </w:r>
          </w:p>
        </w:tc>
      </w:tr>
      <w:tr w:rsidR="005A63D9" w:rsidRPr="00E27ED8" w:rsidTr="00510C04">
        <w:tc>
          <w:tcPr>
            <w:tcW w:w="2273" w:type="pct"/>
            <w:vMerge/>
            <w:tcBorders>
              <w:right w:val="single" w:sz="12" w:space="0" w:color="auto"/>
            </w:tcBorders>
          </w:tcPr>
          <w:p w:rsidR="005A63D9" w:rsidRPr="00E27ED8" w:rsidRDefault="005A63D9" w:rsidP="0008405A">
            <w:pPr>
              <w:spacing w:after="144"/>
              <w:jc w:val="both"/>
              <w:rPr>
                <w:color w:val="000000"/>
              </w:rPr>
            </w:pPr>
          </w:p>
        </w:tc>
        <w:tc>
          <w:tcPr>
            <w:tcW w:w="682" w:type="pct"/>
            <w:tcBorders>
              <w:top w:val="double" w:sz="4" w:space="0" w:color="auto"/>
              <w:left w:val="single" w:sz="12" w:space="0" w:color="auto"/>
            </w:tcBorders>
            <w:vAlign w:val="center"/>
          </w:tcPr>
          <w:p w:rsidR="005A63D9" w:rsidRPr="00E27ED8" w:rsidRDefault="005A63D9" w:rsidP="00CF365D">
            <w:pPr>
              <w:spacing w:after="144"/>
              <w:jc w:val="center"/>
              <w:rPr>
                <w:color w:val="000000"/>
              </w:rPr>
            </w:pPr>
            <w:r w:rsidRPr="00E27ED8">
              <w:rPr>
                <w:color w:val="000000"/>
              </w:rPr>
              <w:t>(mil. €)</w:t>
            </w:r>
          </w:p>
        </w:tc>
        <w:tc>
          <w:tcPr>
            <w:tcW w:w="682" w:type="pct"/>
            <w:tcBorders>
              <w:top w:val="double" w:sz="4" w:space="0" w:color="auto"/>
              <w:right w:val="single" w:sz="12" w:space="0" w:color="auto"/>
            </w:tcBorders>
            <w:vAlign w:val="center"/>
          </w:tcPr>
          <w:p w:rsidR="005A63D9" w:rsidRPr="00E27ED8" w:rsidRDefault="005A63D9" w:rsidP="00CF365D">
            <w:pPr>
              <w:spacing w:after="144"/>
              <w:jc w:val="center"/>
              <w:rPr>
                <w:color w:val="000000"/>
              </w:rPr>
            </w:pPr>
            <w:r w:rsidRPr="00E27ED8">
              <w:rPr>
                <w:color w:val="000000"/>
              </w:rPr>
              <w:t>(%)</w:t>
            </w:r>
          </w:p>
        </w:tc>
        <w:tc>
          <w:tcPr>
            <w:tcW w:w="682" w:type="pct"/>
            <w:tcBorders>
              <w:top w:val="double" w:sz="4" w:space="0" w:color="auto"/>
              <w:left w:val="single" w:sz="12" w:space="0" w:color="auto"/>
            </w:tcBorders>
            <w:vAlign w:val="center"/>
          </w:tcPr>
          <w:p w:rsidR="005A63D9" w:rsidRPr="00E27ED8" w:rsidRDefault="005A63D9" w:rsidP="00CF365D">
            <w:pPr>
              <w:spacing w:after="144"/>
              <w:jc w:val="center"/>
              <w:rPr>
                <w:color w:val="000000"/>
              </w:rPr>
            </w:pPr>
            <w:r w:rsidRPr="00E27ED8">
              <w:rPr>
                <w:color w:val="000000"/>
              </w:rPr>
              <w:t>(mil. €)</w:t>
            </w:r>
          </w:p>
        </w:tc>
        <w:tc>
          <w:tcPr>
            <w:tcW w:w="682" w:type="pct"/>
            <w:tcBorders>
              <w:top w:val="double" w:sz="4" w:space="0" w:color="auto"/>
            </w:tcBorders>
            <w:vAlign w:val="center"/>
          </w:tcPr>
          <w:p w:rsidR="005A63D9" w:rsidRPr="00E27ED8" w:rsidRDefault="005A63D9" w:rsidP="00CF365D">
            <w:pPr>
              <w:spacing w:after="144"/>
              <w:jc w:val="center"/>
              <w:rPr>
                <w:color w:val="000000"/>
              </w:rPr>
            </w:pPr>
            <w:r w:rsidRPr="00E27ED8">
              <w:rPr>
                <w:color w:val="000000"/>
              </w:rPr>
              <w:t>(%)</w:t>
            </w:r>
          </w:p>
        </w:tc>
      </w:tr>
      <w:tr w:rsidR="005A63D9" w:rsidRPr="00E27ED8" w:rsidTr="00510C04">
        <w:tc>
          <w:tcPr>
            <w:tcW w:w="2273" w:type="pct"/>
            <w:tcBorders>
              <w:right w:val="single" w:sz="12" w:space="0" w:color="auto"/>
            </w:tcBorders>
            <w:vAlign w:val="center"/>
          </w:tcPr>
          <w:p w:rsidR="005A63D9" w:rsidRPr="00E27ED8" w:rsidRDefault="005A63D9" w:rsidP="0008405A">
            <w:pPr>
              <w:spacing w:after="144"/>
              <w:jc w:val="both"/>
              <w:rPr>
                <w:color w:val="000000"/>
                <w:sz w:val="18"/>
                <w:szCs w:val="18"/>
              </w:rPr>
            </w:pPr>
            <w:r w:rsidRPr="00E27ED8">
              <w:rPr>
                <w:color w:val="000000"/>
                <w:sz w:val="18"/>
                <w:szCs w:val="18"/>
              </w:rPr>
              <w:t>Zakázky podniků</w:t>
            </w:r>
          </w:p>
        </w:tc>
        <w:tc>
          <w:tcPr>
            <w:tcW w:w="682" w:type="pct"/>
            <w:tcBorders>
              <w:lef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11,494</w:t>
            </w:r>
          </w:p>
        </w:tc>
        <w:tc>
          <w:tcPr>
            <w:tcW w:w="682" w:type="pct"/>
            <w:tcBorders>
              <w:righ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36,5</w:t>
            </w:r>
          </w:p>
        </w:tc>
        <w:tc>
          <w:tcPr>
            <w:tcW w:w="682" w:type="pct"/>
            <w:tcBorders>
              <w:lef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0,538</w:t>
            </w:r>
          </w:p>
        </w:tc>
        <w:tc>
          <w:tcPr>
            <w:tcW w:w="682" w:type="pct"/>
            <w:vAlign w:val="center"/>
          </w:tcPr>
          <w:p w:rsidR="005A63D9" w:rsidRPr="00E27ED8" w:rsidRDefault="005A63D9" w:rsidP="00CF365D">
            <w:pPr>
              <w:spacing w:after="144"/>
              <w:jc w:val="center"/>
              <w:rPr>
                <w:color w:val="000000"/>
                <w:sz w:val="18"/>
                <w:szCs w:val="18"/>
              </w:rPr>
            </w:pPr>
            <w:r w:rsidRPr="00E27ED8">
              <w:rPr>
                <w:color w:val="000000"/>
                <w:sz w:val="18"/>
                <w:szCs w:val="18"/>
              </w:rPr>
              <w:t>8,1</w:t>
            </w:r>
          </w:p>
        </w:tc>
      </w:tr>
      <w:tr w:rsidR="005A63D9" w:rsidRPr="00E27ED8" w:rsidTr="00510C04">
        <w:tc>
          <w:tcPr>
            <w:tcW w:w="2273" w:type="pct"/>
            <w:tcBorders>
              <w:right w:val="single" w:sz="12" w:space="0" w:color="auto"/>
            </w:tcBorders>
            <w:vAlign w:val="center"/>
          </w:tcPr>
          <w:p w:rsidR="005A63D9" w:rsidRPr="00E27ED8" w:rsidRDefault="005A63D9" w:rsidP="0008405A">
            <w:pPr>
              <w:spacing w:after="144"/>
              <w:jc w:val="both"/>
              <w:rPr>
                <w:color w:val="000000"/>
                <w:sz w:val="18"/>
                <w:szCs w:val="18"/>
              </w:rPr>
            </w:pPr>
            <w:r w:rsidRPr="00E27ED8">
              <w:rPr>
                <w:color w:val="000000"/>
                <w:sz w:val="18"/>
                <w:szCs w:val="18"/>
              </w:rPr>
              <w:t>Institucionální podpora (stát a spolkové země)</w:t>
            </w:r>
          </w:p>
        </w:tc>
        <w:tc>
          <w:tcPr>
            <w:tcW w:w="682" w:type="pct"/>
            <w:tcBorders>
              <w:lef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9,844</w:t>
            </w:r>
          </w:p>
        </w:tc>
        <w:tc>
          <w:tcPr>
            <w:tcW w:w="682" w:type="pct"/>
            <w:tcBorders>
              <w:righ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31,3</w:t>
            </w:r>
          </w:p>
        </w:tc>
        <w:tc>
          <w:tcPr>
            <w:tcW w:w="682" w:type="pct"/>
            <w:tcBorders>
              <w:lef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w:t>
            </w:r>
          </w:p>
        </w:tc>
        <w:tc>
          <w:tcPr>
            <w:tcW w:w="682" w:type="pct"/>
            <w:vAlign w:val="center"/>
          </w:tcPr>
          <w:p w:rsidR="005A63D9" w:rsidRPr="00E27ED8" w:rsidRDefault="005A63D9" w:rsidP="00CF365D">
            <w:pPr>
              <w:spacing w:after="144"/>
              <w:jc w:val="center"/>
              <w:rPr>
                <w:color w:val="000000"/>
                <w:sz w:val="18"/>
                <w:szCs w:val="18"/>
              </w:rPr>
            </w:pPr>
            <w:r w:rsidRPr="00E27ED8">
              <w:rPr>
                <w:color w:val="000000"/>
                <w:sz w:val="18"/>
                <w:szCs w:val="18"/>
              </w:rPr>
              <w:t>-</w:t>
            </w:r>
          </w:p>
        </w:tc>
      </w:tr>
      <w:tr w:rsidR="005A63D9" w:rsidRPr="00E27ED8" w:rsidTr="00510C04">
        <w:tc>
          <w:tcPr>
            <w:tcW w:w="2273" w:type="pct"/>
            <w:tcBorders>
              <w:bottom w:val="single" w:sz="12" w:space="0" w:color="auto"/>
              <w:right w:val="single" w:sz="12" w:space="0" w:color="auto"/>
            </w:tcBorders>
            <w:vAlign w:val="center"/>
          </w:tcPr>
          <w:p w:rsidR="005A63D9" w:rsidRPr="00E27ED8" w:rsidRDefault="005A63D9" w:rsidP="0008405A">
            <w:pPr>
              <w:spacing w:after="144"/>
              <w:jc w:val="both"/>
              <w:rPr>
                <w:color w:val="000000"/>
                <w:sz w:val="18"/>
                <w:szCs w:val="18"/>
              </w:rPr>
            </w:pPr>
            <w:r w:rsidRPr="00E27ED8">
              <w:rPr>
                <w:color w:val="000000"/>
                <w:sz w:val="18"/>
                <w:szCs w:val="18"/>
              </w:rPr>
              <w:t>Veřejné zakázky</w:t>
            </w:r>
          </w:p>
        </w:tc>
        <w:tc>
          <w:tcPr>
            <w:tcW w:w="682" w:type="pct"/>
            <w:tcBorders>
              <w:left w:val="single" w:sz="12" w:space="0" w:color="auto"/>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7,098</w:t>
            </w:r>
          </w:p>
        </w:tc>
        <w:tc>
          <w:tcPr>
            <w:tcW w:w="682" w:type="pct"/>
            <w:tcBorders>
              <w:bottom w:val="single" w:sz="12" w:space="0" w:color="auto"/>
              <w:righ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22,6</w:t>
            </w:r>
          </w:p>
        </w:tc>
        <w:tc>
          <w:tcPr>
            <w:tcW w:w="682" w:type="pct"/>
            <w:tcBorders>
              <w:left w:val="single" w:sz="12" w:space="0" w:color="auto"/>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5,982</w:t>
            </w:r>
          </w:p>
        </w:tc>
        <w:tc>
          <w:tcPr>
            <w:tcW w:w="682" w:type="pct"/>
            <w:tcBorders>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90,1</w:t>
            </w:r>
          </w:p>
        </w:tc>
      </w:tr>
      <w:tr w:rsidR="005A63D9" w:rsidRPr="00E27ED8" w:rsidTr="00510C04">
        <w:tc>
          <w:tcPr>
            <w:tcW w:w="2273" w:type="pct"/>
            <w:tcBorders>
              <w:top w:val="single" w:sz="12" w:space="0" w:color="auto"/>
              <w:bottom w:val="single" w:sz="12" w:space="0" w:color="auto"/>
              <w:right w:val="single" w:sz="12" w:space="0" w:color="auto"/>
            </w:tcBorders>
            <w:vAlign w:val="center"/>
          </w:tcPr>
          <w:p w:rsidR="005A63D9" w:rsidRPr="00E27ED8" w:rsidRDefault="005A63D9" w:rsidP="0008405A">
            <w:pPr>
              <w:spacing w:after="144"/>
              <w:jc w:val="both"/>
              <w:rPr>
                <w:color w:val="000000"/>
                <w:sz w:val="18"/>
                <w:szCs w:val="18"/>
              </w:rPr>
            </w:pPr>
            <w:r w:rsidRPr="00E27ED8">
              <w:rPr>
                <w:color w:val="000000"/>
                <w:sz w:val="18"/>
                <w:szCs w:val="18"/>
              </w:rPr>
              <w:t>CELKEM</w:t>
            </w:r>
          </w:p>
        </w:tc>
        <w:tc>
          <w:tcPr>
            <w:tcW w:w="682"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31,482</w:t>
            </w:r>
          </w:p>
        </w:tc>
        <w:tc>
          <w:tcPr>
            <w:tcW w:w="682" w:type="pct"/>
            <w:tcBorders>
              <w:top w:val="single" w:sz="12" w:space="0" w:color="auto"/>
              <w:bottom w:val="single" w:sz="12" w:space="0" w:color="auto"/>
              <w:right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100</w:t>
            </w:r>
          </w:p>
        </w:tc>
        <w:tc>
          <w:tcPr>
            <w:tcW w:w="682" w:type="pct"/>
            <w:tcBorders>
              <w:top w:val="single" w:sz="12" w:space="0" w:color="auto"/>
              <w:left w:val="single" w:sz="12" w:space="0" w:color="auto"/>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6,639</w:t>
            </w:r>
          </w:p>
        </w:tc>
        <w:tc>
          <w:tcPr>
            <w:tcW w:w="682" w:type="pct"/>
            <w:tcBorders>
              <w:top w:val="single" w:sz="12" w:space="0" w:color="auto"/>
              <w:bottom w:val="single" w:sz="12" w:space="0" w:color="auto"/>
            </w:tcBorders>
            <w:vAlign w:val="center"/>
          </w:tcPr>
          <w:p w:rsidR="005A63D9" w:rsidRPr="00E27ED8" w:rsidRDefault="005A63D9" w:rsidP="00CF365D">
            <w:pPr>
              <w:spacing w:after="144"/>
              <w:jc w:val="center"/>
              <w:rPr>
                <w:color w:val="000000"/>
                <w:sz w:val="18"/>
                <w:szCs w:val="18"/>
              </w:rPr>
            </w:pPr>
            <w:r w:rsidRPr="00E27ED8">
              <w:rPr>
                <w:color w:val="000000"/>
                <w:sz w:val="18"/>
                <w:szCs w:val="18"/>
              </w:rPr>
              <w:t>100</w:t>
            </w:r>
          </w:p>
        </w:tc>
      </w:tr>
    </w:tbl>
    <w:p w:rsidR="005A63D9" w:rsidRPr="00A74D61" w:rsidRDefault="005A63D9" w:rsidP="0008405A">
      <w:pPr>
        <w:pStyle w:val="ZDROJovan"/>
        <w:spacing w:after="144" w:line="288" w:lineRule="auto"/>
        <w:jc w:val="both"/>
      </w:pPr>
      <w:r w:rsidRPr="00CF365D">
        <w:t>Zdroj: USICHT, Jahresbericht 2014. Vlastní výpočty podílů.</w:t>
      </w:r>
    </w:p>
    <w:p w:rsidR="005A63D9" w:rsidRDefault="005A63D9" w:rsidP="0008405A">
      <w:pPr>
        <w:spacing w:after="144"/>
        <w:jc w:val="both"/>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26" w:name="_Toc440897429"/>
      <w:bookmarkStart w:id="127" w:name="_Toc441760831"/>
      <w:bookmarkStart w:id="128" w:name="_Toc441849494"/>
      <w:r w:rsidRPr="00442A0C">
        <w:rPr>
          <w:bCs/>
          <w:shd w:val="clear" w:color="auto" w:fill="FFFFFF"/>
          <w:lang/>
        </w:rPr>
        <w:t>Helmholtzovo společenství</w:t>
      </w:r>
      <w:bookmarkEnd w:id="126"/>
      <w:bookmarkEnd w:id="127"/>
      <w:bookmarkEnd w:id="128"/>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(Helmholtz Gemeinschaft – www.hgf.de)</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Jde o sdružení 18 velkých výzkumných ústavů (center), která se zabývají celou šíří aktivit VaV, od základního výzkumu, přes experimentální vývoj až po stavbu a ověřování pokusných a pilotních zařízení. Problematikou životního prostředí se plně nebo částečně zabývají tři ústavy.</w:t>
      </w: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Ústav Alfréda Wegenera – Helmholtzovo centrum pro polární výzkum a výzkum moří</w:t>
      </w:r>
    </w:p>
    <w:p w:rsidR="005A63D9" w:rsidRPr="00797C06" w:rsidRDefault="005A63D9" w:rsidP="0008405A">
      <w:pPr>
        <w:tabs>
          <w:tab w:val="left" w:pos="426"/>
        </w:tabs>
        <w:spacing w:after="144"/>
        <w:jc w:val="both"/>
        <w:rPr>
          <w:color w:val="000000"/>
          <w:shd w:val="clear" w:color="auto" w:fill="FFFFFF"/>
          <w:lang w:eastAsia="cs-CZ"/>
        </w:rPr>
      </w:pPr>
      <w:r w:rsidRPr="00797C06">
        <w:rPr>
          <w:color w:val="000000"/>
          <w:shd w:val="clear" w:color="auto" w:fill="FFFFFF"/>
          <w:lang w:eastAsia="cs-CZ"/>
        </w:rPr>
        <w:t xml:space="preserve">(Zentrum für Polar- und Meeresforschung – www.awi.de).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Centrum má 4 velké sekce, v jejichž čele jsou univerzitní profesoři:</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Geovědy (5 odborů), která se zaměřuje na zkoumání, jak procesy geologického vývoje Země ovlivnily vývoj klimatu. Pracovníci této sekce zkoumají hluboko uložené sedimenty v oceánech a pevné částice v hlubokých vrstvách polárních ledovců;</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Biologické vědy (9 odborů) se zabývají ekologickými, fyziologickými a eko-toxikologickými problémy°;</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V sekci Klima (6 odborů) jsou zkoumány fyzikální a chemické procesy v systému oceán – led – atmosféra </w:t>
      </w:r>
      <w:r>
        <w:rPr>
          <w:color w:val="000000"/>
          <w:shd w:val="clear" w:color="auto" w:fill="FFFFFF"/>
          <w:lang w:eastAsia="cs-CZ"/>
        </w:rPr>
        <w:t xml:space="preserve">a </w:t>
      </w:r>
      <w:r w:rsidRPr="00797C06">
        <w:rPr>
          <w:color w:val="000000"/>
          <w:shd w:val="clear" w:color="auto" w:fill="FFFFFF"/>
          <w:lang w:eastAsia="cs-CZ"/>
        </w:rPr>
        <w:t>jejich významem pro celosvětové změny klimatu. Dále se zkoumá vliv mraků a moří na výměnu energie mezi oceány a atmosférou, cirkulace vodních mas v polárních oblastech a výzkum přírodních změn klimatu. Vynikajících výsledků dosahuje ústav v modelování atmosférické cirkulace v Arktidě;</w:t>
      </w:r>
    </w:p>
    <w:p w:rsidR="005A63D9"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Infrastruktura – vnitřní správa.</w:t>
      </w:r>
    </w:p>
    <w:p w:rsidR="005A63D9" w:rsidRPr="00797C06" w:rsidRDefault="005A63D9" w:rsidP="00663D77">
      <w:pPr>
        <w:pStyle w:val="ListParagraph"/>
        <w:widowControl w:val="0"/>
        <w:adjustRightInd w:val="0"/>
        <w:spacing w:afterLines="0"/>
        <w:ind w:left="851"/>
        <w:contextualSpacing w:val="0"/>
        <w:jc w:val="both"/>
        <w:textAlignment w:val="baseline"/>
        <w:rPr>
          <w:color w:val="000000"/>
          <w:shd w:val="clear" w:color="auto" w:fill="FFFFFF"/>
          <w:lang w:eastAsia="cs-CZ"/>
        </w:rPr>
      </w:pP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 xml:space="preserve">Tab. č. 21 </w:t>
      </w:r>
      <w:r w:rsidRPr="00797C06">
        <w:rPr>
          <w:color w:val="000000"/>
          <w:shd w:val="clear" w:color="auto" w:fill="FFFFFF"/>
          <w:lang w:eastAsia="cs-CZ"/>
        </w:rPr>
        <w:t>Příjmy centra AWI v roce 2013 a 2014</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417"/>
        <w:gridCol w:w="1467"/>
        <w:gridCol w:w="1467"/>
        <w:gridCol w:w="1467"/>
        <w:gridCol w:w="1469"/>
      </w:tblGrid>
      <w:tr w:rsidR="005A63D9" w:rsidRPr="00E27ED8" w:rsidTr="00510C04">
        <w:tc>
          <w:tcPr>
            <w:tcW w:w="1839"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sz w:val="18"/>
                <w:szCs w:val="18"/>
              </w:rPr>
            </w:pPr>
          </w:p>
        </w:tc>
        <w:tc>
          <w:tcPr>
            <w:tcW w:w="1580" w:type="pct"/>
            <w:gridSpan w:val="2"/>
            <w:tcBorders>
              <w:top w:val="single" w:sz="12" w:space="0" w:color="auto"/>
              <w:left w:val="single" w:sz="12" w:space="0" w:color="auto"/>
              <w:right w:val="single" w:sz="12" w:space="0" w:color="auto"/>
            </w:tcBorders>
            <w:shd w:val="clear" w:color="auto" w:fill="BFBFBF"/>
            <w:vAlign w:val="center"/>
          </w:tcPr>
          <w:p w:rsidR="005A63D9" w:rsidRPr="00E27ED8" w:rsidRDefault="005A63D9" w:rsidP="00AE604E">
            <w:pPr>
              <w:spacing w:after="144"/>
              <w:jc w:val="center"/>
              <w:rPr>
                <w:b/>
                <w:sz w:val="18"/>
                <w:szCs w:val="18"/>
              </w:rPr>
            </w:pPr>
            <w:r w:rsidRPr="00E27ED8">
              <w:rPr>
                <w:b/>
                <w:sz w:val="18"/>
                <w:szCs w:val="18"/>
              </w:rPr>
              <w:t>2013</w:t>
            </w:r>
          </w:p>
        </w:tc>
        <w:tc>
          <w:tcPr>
            <w:tcW w:w="1581" w:type="pct"/>
            <w:gridSpan w:val="2"/>
            <w:tcBorders>
              <w:top w:val="single" w:sz="12" w:space="0" w:color="auto"/>
              <w:left w:val="single" w:sz="12" w:space="0" w:color="auto"/>
            </w:tcBorders>
            <w:shd w:val="clear" w:color="auto" w:fill="BFBFBF"/>
            <w:vAlign w:val="center"/>
          </w:tcPr>
          <w:p w:rsidR="005A63D9" w:rsidRPr="00E27ED8" w:rsidRDefault="005A63D9" w:rsidP="00AE604E">
            <w:pPr>
              <w:spacing w:after="144"/>
              <w:jc w:val="center"/>
              <w:rPr>
                <w:b/>
                <w:sz w:val="18"/>
                <w:szCs w:val="18"/>
              </w:rPr>
            </w:pPr>
            <w:r w:rsidRPr="00E27ED8">
              <w:rPr>
                <w:b/>
                <w:sz w:val="18"/>
                <w:szCs w:val="18"/>
              </w:rPr>
              <w:t>2014</w:t>
            </w:r>
          </w:p>
        </w:tc>
      </w:tr>
      <w:tr w:rsidR="005A63D9" w:rsidRPr="00E27ED8" w:rsidTr="00510C04">
        <w:tc>
          <w:tcPr>
            <w:tcW w:w="1839"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b/>
              </w:rPr>
            </w:pPr>
          </w:p>
        </w:tc>
        <w:tc>
          <w:tcPr>
            <w:tcW w:w="790" w:type="pct"/>
            <w:tcBorders>
              <w:left w:val="single" w:sz="12" w:space="0" w:color="auto"/>
              <w:bottom w:val="double" w:sz="4" w:space="0" w:color="auto"/>
            </w:tcBorders>
            <w:shd w:val="clear" w:color="auto" w:fill="BFBFBF"/>
            <w:vAlign w:val="center"/>
          </w:tcPr>
          <w:p w:rsidR="005A63D9" w:rsidRPr="00E27ED8" w:rsidRDefault="005A63D9" w:rsidP="00AE604E">
            <w:pPr>
              <w:spacing w:after="144"/>
              <w:jc w:val="center"/>
            </w:pPr>
            <w:r w:rsidRPr="00E27ED8">
              <w:t>(mil. €)</w:t>
            </w:r>
          </w:p>
        </w:tc>
        <w:tc>
          <w:tcPr>
            <w:tcW w:w="790" w:type="pct"/>
            <w:tcBorders>
              <w:bottom w:val="double" w:sz="4" w:space="0" w:color="auto"/>
              <w:right w:val="single" w:sz="12" w:space="0" w:color="auto"/>
            </w:tcBorders>
            <w:shd w:val="clear" w:color="auto" w:fill="BFBFBF"/>
            <w:vAlign w:val="center"/>
          </w:tcPr>
          <w:p w:rsidR="005A63D9" w:rsidRPr="00E27ED8" w:rsidRDefault="005A63D9" w:rsidP="00AE604E">
            <w:pPr>
              <w:spacing w:after="144"/>
              <w:jc w:val="center"/>
            </w:pPr>
            <w:r w:rsidRPr="00E27ED8">
              <w:t>(%)</w:t>
            </w:r>
          </w:p>
        </w:tc>
        <w:tc>
          <w:tcPr>
            <w:tcW w:w="790" w:type="pct"/>
            <w:tcBorders>
              <w:left w:val="single" w:sz="12" w:space="0" w:color="auto"/>
              <w:bottom w:val="double" w:sz="4" w:space="0" w:color="auto"/>
            </w:tcBorders>
            <w:shd w:val="clear" w:color="auto" w:fill="BFBFBF"/>
            <w:vAlign w:val="center"/>
          </w:tcPr>
          <w:p w:rsidR="005A63D9" w:rsidRPr="00E27ED8" w:rsidRDefault="005A63D9" w:rsidP="00AE604E">
            <w:pPr>
              <w:spacing w:after="144"/>
              <w:jc w:val="center"/>
            </w:pPr>
            <w:r w:rsidRPr="00E27ED8">
              <w:t>(mil. €)</w:t>
            </w:r>
          </w:p>
        </w:tc>
        <w:tc>
          <w:tcPr>
            <w:tcW w:w="790" w:type="pct"/>
            <w:tcBorders>
              <w:bottom w:val="double" w:sz="4" w:space="0" w:color="auto"/>
            </w:tcBorders>
            <w:shd w:val="clear" w:color="auto" w:fill="BFBFBF"/>
            <w:vAlign w:val="center"/>
          </w:tcPr>
          <w:p w:rsidR="005A63D9" w:rsidRPr="00E27ED8" w:rsidRDefault="005A63D9" w:rsidP="00AE604E">
            <w:pPr>
              <w:spacing w:after="144"/>
              <w:jc w:val="center"/>
            </w:pPr>
            <w:r w:rsidRPr="00E27ED8">
              <w:t>(%)</w:t>
            </w:r>
          </w:p>
        </w:tc>
      </w:tr>
      <w:tr w:rsidR="005A63D9" w:rsidRPr="00E27ED8" w:rsidTr="00510C04">
        <w:tc>
          <w:tcPr>
            <w:tcW w:w="1839" w:type="pct"/>
            <w:tcBorders>
              <w:top w:val="double" w:sz="4" w:space="0" w:color="auto"/>
              <w:right w:val="single" w:sz="12" w:space="0" w:color="auto"/>
            </w:tcBorders>
          </w:tcPr>
          <w:p w:rsidR="005A63D9" w:rsidRPr="00E27ED8" w:rsidRDefault="005A63D9">
            <w:pPr>
              <w:spacing w:after="144"/>
              <w:rPr>
                <w:sz w:val="18"/>
                <w:szCs w:val="18"/>
              </w:rPr>
            </w:pPr>
            <w:r w:rsidRPr="00E27ED8">
              <w:rPr>
                <w:sz w:val="18"/>
                <w:szCs w:val="18"/>
              </w:rPr>
              <w:t>Institucionální podpora (stát a spolkové země)</w:t>
            </w:r>
          </w:p>
        </w:tc>
        <w:tc>
          <w:tcPr>
            <w:tcW w:w="790" w:type="pct"/>
            <w:tcBorders>
              <w:top w:val="double" w:sz="4" w:space="0" w:color="auto"/>
              <w:left w:val="single" w:sz="12" w:space="0" w:color="auto"/>
            </w:tcBorders>
            <w:vAlign w:val="center"/>
          </w:tcPr>
          <w:p w:rsidR="005A63D9" w:rsidRPr="00E27ED8" w:rsidRDefault="005A63D9" w:rsidP="00AE604E">
            <w:pPr>
              <w:spacing w:after="144"/>
              <w:jc w:val="center"/>
            </w:pPr>
            <w:r w:rsidRPr="00E27ED8">
              <w:t>88,090</w:t>
            </w:r>
          </w:p>
        </w:tc>
        <w:tc>
          <w:tcPr>
            <w:tcW w:w="790" w:type="pct"/>
            <w:tcBorders>
              <w:top w:val="double" w:sz="4" w:space="0" w:color="auto"/>
              <w:right w:val="single" w:sz="12" w:space="0" w:color="auto"/>
            </w:tcBorders>
            <w:vAlign w:val="center"/>
          </w:tcPr>
          <w:p w:rsidR="005A63D9" w:rsidRPr="00E27ED8" w:rsidRDefault="005A63D9" w:rsidP="00AE604E">
            <w:pPr>
              <w:spacing w:after="144"/>
              <w:jc w:val="center"/>
            </w:pPr>
            <w:r w:rsidRPr="00E27ED8">
              <w:t>81,1</w:t>
            </w:r>
          </w:p>
        </w:tc>
        <w:tc>
          <w:tcPr>
            <w:tcW w:w="790" w:type="pct"/>
            <w:tcBorders>
              <w:top w:val="double" w:sz="4" w:space="0" w:color="auto"/>
              <w:left w:val="single" w:sz="12" w:space="0" w:color="auto"/>
            </w:tcBorders>
            <w:vAlign w:val="center"/>
          </w:tcPr>
          <w:p w:rsidR="005A63D9" w:rsidRPr="00E27ED8" w:rsidRDefault="005A63D9" w:rsidP="00AE604E">
            <w:pPr>
              <w:spacing w:after="144"/>
              <w:jc w:val="center"/>
            </w:pPr>
            <w:r w:rsidRPr="00E27ED8">
              <w:t>97,641</w:t>
            </w:r>
          </w:p>
        </w:tc>
        <w:tc>
          <w:tcPr>
            <w:tcW w:w="790" w:type="pct"/>
            <w:tcBorders>
              <w:top w:val="double" w:sz="4" w:space="0" w:color="auto"/>
            </w:tcBorders>
            <w:vAlign w:val="center"/>
          </w:tcPr>
          <w:p w:rsidR="005A63D9" w:rsidRPr="00E27ED8" w:rsidRDefault="005A63D9" w:rsidP="00AE604E">
            <w:pPr>
              <w:spacing w:after="144"/>
              <w:jc w:val="center"/>
            </w:pPr>
            <w:r w:rsidRPr="00E27ED8">
              <w:t>83,0</w:t>
            </w:r>
          </w:p>
        </w:tc>
      </w:tr>
      <w:tr w:rsidR="005A63D9" w:rsidRPr="00E27ED8" w:rsidTr="00510C04">
        <w:tc>
          <w:tcPr>
            <w:tcW w:w="1839" w:type="pct"/>
            <w:tcBorders>
              <w:bottom w:val="single" w:sz="12" w:space="0" w:color="auto"/>
              <w:right w:val="single" w:sz="12" w:space="0" w:color="auto"/>
            </w:tcBorders>
          </w:tcPr>
          <w:p w:rsidR="005A63D9" w:rsidRPr="00E27ED8" w:rsidRDefault="005A63D9">
            <w:pPr>
              <w:spacing w:after="144"/>
              <w:rPr>
                <w:sz w:val="18"/>
                <w:szCs w:val="18"/>
              </w:rPr>
            </w:pPr>
            <w:r w:rsidRPr="00E27ED8">
              <w:rPr>
                <w:sz w:val="18"/>
                <w:szCs w:val="18"/>
              </w:rPr>
              <w:t>Třetí prostředky</w:t>
            </w:r>
          </w:p>
        </w:tc>
        <w:tc>
          <w:tcPr>
            <w:tcW w:w="790" w:type="pct"/>
            <w:tcBorders>
              <w:left w:val="single" w:sz="12" w:space="0" w:color="auto"/>
              <w:bottom w:val="single" w:sz="12" w:space="0" w:color="auto"/>
            </w:tcBorders>
            <w:vAlign w:val="center"/>
          </w:tcPr>
          <w:p w:rsidR="005A63D9" w:rsidRPr="00E27ED8" w:rsidRDefault="005A63D9" w:rsidP="00AE604E">
            <w:pPr>
              <w:spacing w:after="144"/>
              <w:jc w:val="center"/>
            </w:pPr>
            <w:r w:rsidRPr="00E27ED8">
              <w:t>20,554</w:t>
            </w:r>
          </w:p>
        </w:tc>
        <w:tc>
          <w:tcPr>
            <w:tcW w:w="790" w:type="pct"/>
            <w:tcBorders>
              <w:bottom w:val="single" w:sz="12" w:space="0" w:color="auto"/>
              <w:right w:val="single" w:sz="12" w:space="0" w:color="auto"/>
            </w:tcBorders>
            <w:vAlign w:val="center"/>
          </w:tcPr>
          <w:p w:rsidR="005A63D9" w:rsidRPr="00E27ED8" w:rsidRDefault="005A63D9" w:rsidP="00AE604E">
            <w:pPr>
              <w:spacing w:after="144"/>
              <w:jc w:val="center"/>
            </w:pPr>
            <w:r w:rsidRPr="00E27ED8">
              <w:t>23,3</w:t>
            </w:r>
          </w:p>
        </w:tc>
        <w:tc>
          <w:tcPr>
            <w:tcW w:w="790" w:type="pct"/>
            <w:tcBorders>
              <w:left w:val="single" w:sz="12" w:space="0" w:color="auto"/>
              <w:bottom w:val="single" w:sz="12" w:space="0" w:color="auto"/>
            </w:tcBorders>
            <w:vAlign w:val="center"/>
          </w:tcPr>
          <w:p w:rsidR="005A63D9" w:rsidRPr="00E27ED8" w:rsidRDefault="005A63D9" w:rsidP="00AE604E">
            <w:pPr>
              <w:spacing w:after="144"/>
              <w:jc w:val="center"/>
            </w:pPr>
            <w:r w:rsidRPr="00E27ED8">
              <w:t>20,000</w:t>
            </w:r>
          </w:p>
        </w:tc>
        <w:tc>
          <w:tcPr>
            <w:tcW w:w="790" w:type="pct"/>
            <w:tcBorders>
              <w:bottom w:val="single" w:sz="12" w:space="0" w:color="auto"/>
            </w:tcBorders>
            <w:vAlign w:val="center"/>
          </w:tcPr>
          <w:p w:rsidR="005A63D9" w:rsidRPr="00E27ED8" w:rsidRDefault="005A63D9" w:rsidP="00AE604E">
            <w:pPr>
              <w:spacing w:after="144"/>
              <w:jc w:val="center"/>
            </w:pPr>
            <w:r w:rsidRPr="00E27ED8">
              <w:t>17,0</w:t>
            </w:r>
          </w:p>
        </w:tc>
      </w:tr>
      <w:tr w:rsidR="005A63D9" w:rsidRPr="00E27ED8" w:rsidTr="00510C04">
        <w:tc>
          <w:tcPr>
            <w:tcW w:w="1839" w:type="pct"/>
            <w:tcBorders>
              <w:top w:val="single" w:sz="12" w:space="0" w:color="auto"/>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CELKEM</w:t>
            </w:r>
          </w:p>
        </w:tc>
        <w:tc>
          <w:tcPr>
            <w:tcW w:w="790" w:type="pct"/>
            <w:tcBorders>
              <w:top w:val="single" w:sz="12" w:space="0" w:color="auto"/>
              <w:left w:val="single" w:sz="12" w:space="0" w:color="auto"/>
              <w:bottom w:val="single" w:sz="12" w:space="0" w:color="auto"/>
            </w:tcBorders>
            <w:vAlign w:val="center"/>
          </w:tcPr>
          <w:p w:rsidR="005A63D9" w:rsidRPr="00E27ED8" w:rsidRDefault="005A63D9" w:rsidP="00AE604E">
            <w:pPr>
              <w:spacing w:after="144"/>
              <w:jc w:val="center"/>
            </w:pPr>
            <w:r w:rsidRPr="00E27ED8">
              <w:t>108,644</w:t>
            </w:r>
          </w:p>
        </w:tc>
        <w:tc>
          <w:tcPr>
            <w:tcW w:w="790" w:type="pct"/>
            <w:tcBorders>
              <w:top w:val="single" w:sz="12" w:space="0" w:color="auto"/>
              <w:bottom w:val="single" w:sz="12" w:space="0" w:color="auto"/>
              <w:right w:val="single" w:sz="12" w:space="0" w:color="auto"/>
            </w:tcBorders>
            <w:vAlign w:val="center"/>
          </w:tcPr>
          <w:p w:rsidR="005A63D9" w:rsidRPr="00E27ED8" w:rsidRDefault="005A63D9" w:rsidP="00AE604E">
            <w:pPr>
              <w:spacing w:after="144"/>
              <w:jc w:val="center"/>
            </w:pPr>
            <w:r w:rsidRPr="00E27ED8">
              <w:t>100</w:t>
            </w:r>
          </w:p>
        </w:tc>
        <w:tc>
          <w:tcPr>
            <w:tcW w:w="790" w:type="pct"/>
            <w:tcBorders>
              <w:top w:val="single" w:sz="12" w:space="0" w:color="auto"/>
              <w:left w:val="single" w:sz="12" w:space="0" w:color="auto"/>
              <w:bottom w:val="single" w:sz="12" w:space="0" w:color="auto"/>
            </w:tcBorders>
            <w:vAlign w:val="center"/>
          </w:tcPr>
          <w:p w:rsidR="005A63D9" w:rsidRPr="00E27ED8" w:rsidRDefault="005A63D9" w:rsidP="00AE604E">
            <w:pPr>
              <w:spacing w:after="144"/>
              <w:jc w:val="center"/>
            </w:pPr>
            <w:r w:rsidRPr="00E27ED8">
              <w:t>117,641</w:t>
            </w:r>
          </w:p>
        </w:tc>
        <w:tc>
          <w:tcPr>
            <w:tcW w:w="790" w:type="pct"/>
            <w:tcBorders>
              <w:top w:val="single" w:sz="12" w:space="0" w:color="auto"/>
              <w:bottom w:val="single" w:sz="12" w:space="0" w:color="auto"/>
            </w:tcBorders>
            <w:vAlign w:val="center"/>
          </w:tcPr>
          <w:p w:rsidR="005A63D9" w:rsidRPr="00E27ED8" w:rsidRDefault="005A63D9" w:rsidP="00AE604E">
            <w:pPr>
              <w:spacing w:after="144"/>
              <w:jc w:val="center"/>
            </w:pPr>
            <w:r w:rsidRPr="00E27ED8">
              <w:t>100</w:t>
            </w:r>
          </w:p>
        </w:tc>
      </w:tr>
    </w:tbl>
    <w:p w:rsidR="005A63D9" w:rsidRPr="00A74D61" w:rsidRDefault="005A63D9" w:rsidP="00AE604E">
      <w:pPr>
        <w:pStyle w:val="ZDROJovan"/>
        <w:spacing w:after="144" w:line="288" w:lineRule="auto"/>
        <w:jc w:val="both"/>
      </w:pPr>
      <w:r w:rsidRPr="00CF365D">
        <w:t>Zdroj: AWI, Geschäftsbericht 2014, Fakten und Zahlen. Vlastní výpočty podílů.</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Většina doktorandů jsou smluvní pracovníci centra. Největší podíl třetích prostředků přichází jako účelová podpora Spolkového ministerstva pro vzdělání a životní prostředí. Další třetí prostředky poskytly Helmholtzovo společenství</w:t>
      </w:r>
      <w:r>
        <w:rPr>
          <w:color w:val="000000"/>
          <w:shd w:val="clear" w:color="auto" w:fill="FFFFFF"/>
          <w:lang w:eastAsia="cs-CZ"/>
        </w:rPr>
        <w:t xml:space="preserve"> jako celek</w:t>
      </w:r>
      <w:r w:rsidRPr="00797C06">
        <w:rPr>
          <w:color w:val="000000"/>
          <w:shd w:val="clear" w:color="auto" w:fill="FFFFFF"/>
          <w:lang w:eastAsia="cs-CZ"/>
        </w:rPr>
        <w:t>, Německé výzkumné společenství (DFG) a EU.</w:t>
      </w: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Helmholtzovo centrum pro výzkum životního prostředí</w:t>
      </w: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(Helmholtz-Zentrum für Umweltforschung – www.ufz.de)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Centrum má tři pracoviště (Lipsko, Halle, Magdeburk), která mají celkem 38 sekcí (Departments). Centrum je zaměřeno na tři prioritní tematické oblasti:</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Využití krajiny, biodiverzita a procesy v ekosystémech / obnovitelné zdroje energií;</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Udržitelný management vodních zdrojů;</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Chemikálie v životním prostředí / zdraví.</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Centrum mělo k 31. 12. 2014 1 109 pracovníků </w:t>
      </w:r>
      <w:r>
        <w:rPr>
          <w:color w:val="000000"/>
          <w:shd w:val="clear" w:color="auto" w:fill="FFFFFF"/>
          <w:lang w:eastAsia="cs-CZ"/>
        </w:rPr>
        <w:t>(podíl žen 52,03 %), z toho 459 </w:t>
      </w:r>
      <w:r w:rsidRPr="00797C06">
        <w:rPr>
          <w:color w:val="000000"/>
          <w:shd w:val="clear" w:color="auto" w:fill="FFFFFF"/>
          <w:lang w:eastAsia="cs-CZ"/>
        </w:rPr>
        <w:t>výzkumných pracovníků a 172 doktorandů. Celkové</w:t>
      </w:r>
      <w:r>
        <w:rPr>
          <w:color w:val="000000"/>
          <w:shd w:val="clear" w:color="auto" w:fill="FFFFFF"/>
          <w:lang w:eastAsia="cs-CZ"/>
        </w:rPr>
        <w:t xml:space="preserve"> příjmy v roce 2014 činily 96,0 </w:t>
      </w:r>
      <w:r w:rsidRPr="00797C06">
        <w:rPr>
          <w:color w:val="000000"/>
          <w:shd w:val="clear" w:color="auto" w:fill="FFFFFF"/>
          <w:lang w:eastAsia="cs-CZ"/>
        </w:rPr>
        <w:t>mil. €, z toho 72 % činila institucionální podpora</w:t>
      </w:r>
      <w:r>
        <w:rPr>
          <w:color w:val="000000"/>
          <w:shd w:val="clear" w:color="auto" w:fill="FFFFFF"/>
          <w:lang w:eastAsia="cs-CZ"/>
        </w:rPr>
        <w:t xml:space="preserve"> od Spolkového ministerstva pro </w:t>
      </w:r>
      <w:r w:rsidRPr="00797C06">
        <w:rPr>
          <w:color w:val="000000"/>
          <w:shd w:val="clear" w:color="auto" w:fill="FFFFFF"/>
          <w:lang w:eastAsia="cs-CZ"/>
        </w:rPr>
        <w:t>vzdělání a výzkum a spolkových zemí Sasko a Sasko-Anhaltsko. 28 % činily prostředky z třetích zdrojů – účelová podpora od BMBF, DFG, EU aj.</w:t>
      </w:r>
    </w:p>
    <w:p w:rsidR="005A63D9" w:rsidRPr="00797C06" w:rsidRDefault="005A63D9" w:rsidP="00797C06">
      <w:pPr>
        <w:widowControl w:val="0"/>
        <w:adjustRightInd w:val="0"/>
        <w:spacing w:afterLines="0"/>
        <w:contextualSpacing w:val="0"/>
        <w:jc w:val="both"/>
        <w:textAlignment w:val="baseline"/>
        <w:rPr>
          <w:b/>
          <w:color w:val="000000"/>
          <w:shd w:val="clear" w:color="auto" w:fill="FFFFFF"/>
          <w:lang w:eastAsia="cs-CZ"/>
        </w:rPr>
      </w:pPr>
      <w:r w:rsidRPr="00797C06">
        <w:rPr>
          <w:b/>
          <w:color w:val="000000"/>
          <w:shd w:val="clear" w:color="auto" w:fill="FFFFFF"/>
          <w:lang w:eastAsia="cs-CZ"/>
        </w:rPr>
        <w:t>Helmholtzovo centrum Mnichov – Německé výzkumné centrum pro zdraví a životní prostředí</w:t>
      </w:r>
    </w:p>
    <w:p w:rsidR="005A63D9" w:rsidRPr="00797C06" w:rsidRDefault="005A63D9" w:rsidP="00797C06">
      <w:pPr>
        <w:widowControl w:val="0"/>
        <w:adjustRightInd w:val="0"/>
        <w:spacing w:afterLines="0"/>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(Deutsches Forschungszentrum für Gesundheit und Umwelt – www.helmholtz-muenchen.de). </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Centrum se zabývá především základním výzku</w:t>
      </w:r>
      <w:r>
        <w:rPr>
          <w:color w:val="000000"/>
          <w:shd w:val="clear" w:color="auto" w:fill="FFFFFF"/>
          <w:lang w:eastAsia="cs-CZ"/>
        </w:rPr>
        <w:t>mem běžných nemocí v kontextu s </w:t>
      </w:r>
      <w:r w:rsidRPr="00797C06">
        <w:rPr>
          <w:color w:val="000000"/>
          <w:shd w:val="clear" w:color="auto" w:fill="FFFFFF"/>
          <w:lang w:eastAsia="cs-CZ"/>
        </w:rPr>
        <w:t>faktory životního prostředí, životním stylem a genetickými dispozicemi. Centrum vyvíjí nové přístupy k prevenci, diagnostice a léčení</w:t>
      </w:r>
      <w:r>
        <w:rPr>
          <w:color w:val="000000"/>
          <w:shd w:val="clear" w:color="auto" w:fill="FFFFFF"/>
          <w:lang w:eastAsia="cs-CZ"/>
        </w:rPr>
        <w:t>.</w:t>
      </w:r>
      <w:r w:rsidRPr="00797C06">
        <w:rPr>
          <w:color w:val="000000"/>
          <w:shd w:val="clear" w:color="auto" w:fill="FFFFFF"/>
          <w:lang w:eastAsia="cs-CZ"/>
        </w:rPr>
        <w:t xml:space="preserve"> Důraz je kladen p</w:t>
      </w:r>
      <w:r>
        <w:rPr>
          <w:color w:val="000000"/>
          <w:shd w:val="clear" w:color="auto" w:fill="FFFFFF"/>
          <w:lang w:eastAsia="cs-CZ"/>
        </w:rPr>
        <w:t>ředevším na diabetes mellitus a </w:t>
      </w:r>
      <w:r w:rsidRPr="00797C06">
        <w:rPr>
          <w:color w:val="000000"/>
          <w:shd w:val="clear" w:color="auto" w:fill="FFFFFF"/>
          <w:lang w:eastAsia="cs-CZ"/>
        </w:rPr>
        <w:t>chronická onemocnění plic.</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 xml:space="preserve">Centrum mělo k 30. 6. 2014 2 250 pracovníků, z </w:t>
      </w:r>
      <w:r>
        <w:rPr>
          <w:color w:val="000000"/>
          <w:shd w:val="clear" w:color="auto" w:fill="FFFFFF"/>
          <w:lang w:eastAsia="cs-CZ"/>
        </w:rPr>
        <w:t>toho 748 vědeckých pracovníků a </w:t>
      </w:r>
      <w:r w:rsidRPr="00797C06">
        <w:rPr>
          <w:color w:val="000000"/>
          <w:shd w:val="clear" w:color="auto" w:fill="FFFFFF"/>
          <w:lang w:eastAsia="cs-CZ"/>
        </w:rPr>
        <w:t xml:space="preserve">postdoktorandů, 346 doktorandů, 966 technických a </w:t>
      </w:r>
      <w:r>
        <w:rPr>
          <w:color w:val="000000"/>
          <w:shd w:val="clear" w:color="auto" w:fill="FFFFFF"/>
          <w:lang w:eastAsia="cs-CZ"/>
        </w:rPr>
        <w:t>jiných pracovníků, 55 učňů; 145 </w:t>
      </w:r>
      <w:r w:rsidRPr="00797C06">
        <w:rPr>
          <w:color w:val="000000"/>
          <w:shd w:val="clear" w:color="auto" w:fill="FFFFFF"/>
          <w:lang w:eastAsia="cs-CZ"/>
        </w:rPr>
        <w:t>praktikujících studentů a pomocníků. Výzkum je koncipován do formy tří programů:</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Environmental Health;</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Systemic Analysis of Multi factorial Diseaes;</w:t>
      </w:r>
    </w:p>
    <w:p w:rsidR="005A63D9" w:rsidRPr="00797C06" w:rsidRDefault="005A63D9" w:rsidP="00797C06">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797C06">
        <w:rPr>
          <w:color w:val="000000"/>
          <w:shd w:val="clear" w:color="auto" w:fill="FFFFFF"/>
          <w:lang w:eastAsia="cs-CZ"/>
        </w:rPr>
        <w:t>Terrestrial Environment (Biochemická patologie rostlin, Půdní ekologie, Ekologie spodních vod, Interakce rostlin a mikrobů, Ekologická chemie, Genomika životního prostředí).</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Při centru, ve spolupráci se dvěma mnichovskými univerzitami, vznikla mezinárodní Helmholtz Graduate Scool Environmental Health (HELENA) pro vzdělávání doktorandů pro</w:t>
      </w:r>
      <w:r>
        <w:rPr>
          <w:color w:val="000000"/>
          <w:shd w:val="clear" w:color="auto" w:fill="FFFFFF"/>
          <w:lang w:eastAsia="cs-CZ"/>
        </w:rPr>
        <w:t> </w:t>
      </w:r>
      <w:r w:rsidRPr="00797C06">
        <w:rPr>
          <w:color w:val="000000"/>
          <w:shd w:val="clear" w:color="auto" w:fill="FFFFFF"/>
          <w:lang w:eastAsia="cs-CZ"/>
        </w:rPr>
        <w:t>výzkum, klinickou praxi, průmysl a management. Pracovn</w:t>
      </w:r>
      <w:r>
        <w:rPr>
          <w:color w:val="000000"/>
          <w:shd w:val="clear" w:color="auto" w:fill="FFFFFF"/>
          <w:lang w:eastAsia="cs-CZ"/>
        </w:rPr>
        <w:t>íci centra ročně publikují přes </w:t>
      </w:r>
      <w:r w:rsidRPr="00797C06">
        <w:rPr>
          <w:color w:val="000000"/>
          <w:shd w:val="clear" w:color="auto" w:fill="FFFFFF"/>
          <w:lang w:eastAsia="cs-CZ"/>
        </w:rPr>
        <w:t>tisíc článků v impaktovaných vědeckých časopisech.</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r w:rsidRPr="00797C06">
        <w:rPr>
          <w:color w:val="000000"/>
          <w:shd w:val="clear" w:color="auto" w:fill="FFFFFF"/>
          <w:lang w:eastAsia="cs-CZ"/>
        </w:rPr>
        <w:t>V roce 2012 činily celkové příjmy centra 211,2 mil. €, z toho téměř 78 % činila institucionální podpora BMBF a spolkové země Bavorsko. V roce 2013 vzrostly celkové příjmy na 224 mil. €, přičemž podíl institucionální podpory klesl na 60 %. Centrum je úspěšné v získávání grantů od Evropské rady pro výzkum (ERC).</w:t>
      </w:r>
    </w:p>
    <w:p w:rsidR="005A63D9" w:rsidRPr="00797C06" w:rsidRDefault="005A63D9" w:rsidP="00797C06">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29" w:name="_Toc440897430"/>
      <w:bookmarkStart w:id="130" w:name="_Toc441760832"/>
      <w:bookmarkStart w:id="131" w:name="_Toc441849495"/>
      <w:r w:rsidRPr="00442A0C">
        <w:rPr>
          <w:bCs/>
          <w:shd w:val="clear" w:color="auto" w:fill="FFFFFF"/>
          <w:lang/>
        </w:rPr>
        <w:t>Leibnizovo společenství</w:t>
      </w:r>
      <w:bookmarkEnd w:id="129"/>
      <w:bookmarkEnd w:id="130"/>
      <w:bookmarkEnd w:id="131"/>
    </w:p>
    <w:p w:rsidR="005A63D9" w:rsidRPr="00171047" w:rsidRDefault="005A63D9" w:rsidP="00171047">
      <w:pPr>
        <w:widowControl w:val="0"/>
        <w:adjustRightInd w:val="0"/>
        <w:spacing w:afterLines="0"/>
        <w:contextualSpacing w:val="0"/>
        <w:jc w:val="both"/>
        <w:textAlignment w:val="baseline"/>
        <w:rPr>
          <w:color w:val="000000"/>
          <w:shd w:val="clear" w:color="auto" w:fill="FFFFFF"/>
          <w:lang w:eastAsia="cs-CZ"/>
        </w:rPr>
      </w:pPr>
      <w:r w:rsidRPr="00171047">
        <w:rPr>
          <w:color w:val="000000"/>
          <w:shd w:val="clear" w:color="auto" w:fill="FFFFFF"/>
          <w:lang w:eastAsia="cs-CZ"/>
        </w:rPr>
        <w:t>(Leibniz Gemeinschaft – www.leibniz-gemeinschaft.de)</w:t>
      </w:r>
    </w:p>
    <w:p w:rsidR="005A63D9" w:rsidRPr="00171047" w:rsidRDefault="005A63D9" w:rsidP="00171047">
      <w:pPr>
        <w:widowControl w:val="0"/>
        <w:adjustRightInd w:val="0"/>
        <w:spacing w:afterLines="0"/>
        <w:ind w:firstLine="539"/>
        <w:contextualSpacing w:val="0"/>
        <w:jc w:val="both"/>
        <w:textAlignment w:val="baseline"/>
        <w:rPr>
          <w:color w:val="000000"/>
          <w:shd w:val="clear" w:color="auto" w:fill="FFFFFF"/>
          <w:lang w:eastAsia="cs-CZ"/>
        </w:rPr>
      </w:pPr>
      <w:r w:rsidRPr="00171047">
        <w:rPr>
          <w:color w:val="000000"/>
          <w:shd w:val="clear" w:color="auto" w:fill="FFFFFF"/>
          <w:lang w:eastAsia="cs-CZ"/>
        </w:rPr>
        <w:t xml:space="preserve">Je čtvrtým velkým sdružením výzkumných ústavů. Jeho součástí je i několik muzeí. Institucionální podporu poskytují ústavům stát a spolkové země. Doplňkově jsou ústavy financovány z třetích zdrojů, veřejných i soukromých. </w:t>
      </w:r>
    </w:p>
    <w:p w:rsidR="005A63D9" w:rsidRPr="00171047" w:rsidRDefault="005A63D9" w:rsidP="00171047">
      <w:pPr>
        <w:widowControl w:val="0"/>
        <w:adjustRightInd w:val="0"/>
        <w:spacing w:afterLines="0"/>
        <w:ind w:firstLine="539"/>
        <w:contextualSpacing w:val="0"/>
        <w:jc w:val="both"/>
        <w:textAlignment w:val="baseline"/>
        <w:rPr>
          <w:color w:val="000000"/>
          <w:shd w:val="clear" w:color="auto" w:fill="FFFFFF"/>
          <w:lang w:eastAsia="cs-CZ"/>
        </w:rPr>
      </w:pPr>
      <w:r w:rsidRPr="00171047">
        <w:rPr>
          <w:color w:val="000000"/>
          <w:shd w:val="clear" w:color="auto" w:fill="FFFFFF"/>
          <w:lang w:eastAsia="cs-CZ"/>
        </w:rPr>
        <w:t>Sdružení má pět sekcí:</w:t>
      </w:r>
    </w:p>
    <w:p w:rsidR="005A63D9" w:rsidRPr="00171047"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71047">
        <w:rPr>
          <w:color w:val="000000"/>
          <w:shd w:val="clear" w:color="auto" w:fill="FFFFFF"/>
          <w:lang w:eastAsia="cs-CZ"/>
        </w:rPr>
        <w:t>Sekce A – Humanitní vědy a výzkum vzdělání (17 ústavů);</w:t>
      </w:r>
    </w:p>
    <w:p w:rsidR="005A63D9" w:rsidRPr="00171047"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71047">
        <w:rPr>
          <w:color w:val="000000"/>
          <w:shd w:val="clear" w:color="auto" w:fill="FFFFFF"/>
          <w:lang w:eastAsia="cs-CZ"/>
        </w:rPr>
        <w:t>Sekce B – Ekonomické a společenské vědy (18 ústavů). Jedním z ústavů této sekce je i Ústav pro ekologický územní rozvoj, Drážďany;</w:t>
      </w:r>
    </w:p>
    <w:p w:rsidR="005A63D9" w:rsidRPr="00171047"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71047">
        <w:rPr>
          <w:color w:val="000000"/>
          <w:shd w:val="clear" w:color="auto" w:fill="FFFFFF"/>
          <w:lang w:eastAsia="cs-CZ"/>
        </w:rPr>
        <w:t>Sekce C – Vědy o živé přírodě 24 ústavů)</w:t>
      </w:r>
    </w:p>
    <w:p w:rsidR="005A63D9" w:rsidRPr="00171047"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71047">
        <w:rPr>
          <w:color w:val="000000"/>
          <w:shd w:val="clear" w:color="auto" w:fill="FFFFFF"/>
          <w:lang w:eastAsia="cs-CZ"/>
        </w:rPr>
        <w:t>Sekce D – Matematika, přírodní a technické vědy (22 ústavů)</w:t>
      </w:r>
    </w:p>
    <w:p w:rsidR="005A63D9" w:rsidRPr="00171047" w:rsidRDefault="005A63D9" w:rsidP="001710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71047">
        <w:rPr>
          <w:color w:val="000000"/>
          <w:shd w:val="clear" w:color="auto" w:fill="FFFFFF"/>
          <w:lang w:eastAsia="cs-CZ"/>
        </w:rPr>
        <w:t>Sekce – E Vědy o životním prostředí (9 ústavů)</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pro zemědělskou techniku, Postdam Bornim</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pro aplikovanou geofyziku, Hannover;</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pro objekty na pěstování zeleniny a okrasných rostlin; Erfurt</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sladkovodní ekologie a vnitrozemského rybářství, Berlín</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pro výzkum Baltického moře, Warnemünde;</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Leibnizův ústav pro výzkum troposféry, Lipsko;</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Leibnizovo centrum pro výzkum zemědělské krajiny, Müncheberg;</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Leibnizovo centrum pro ekologii tropických moří, Brémy;</w:t>
      </w:r>
    </w:p>
    <w:p w:rsidR="005A63D9" w:rsidRPr="003F5DCD" w:rsidRDefault="005A63D9" w:rsidP="003F5DCD">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Potsdamský ústav pro výzkum změn klimatu</w:t>
      </w:r>
    </w:p>
    <w:p w:rsidR="005A63D9" w:rsidRDefault="005A63D9" w:rsidP="003F5DCD">
      <w:pPr>
        <w:widowControl w:val="0"/>
        <w:adjustRightInd w:val="0"/>
        <w:spacing w:afterLines="0"/>
        <w:contextualSpacing w:val="0"/>
        <w:jc w:val="both"/>
        <w:textAlignment w:val="baseline"/>
        <w:rPr>
          <w:b/>
          <w:color w:val="000000"/>
          <w:shd w:val="clear" w:color="auto" w:fill="FFFFFF"/>
          <w:lang w:eastAsia="cs-CZ"/>
        </w:rPr>
      </w:pPr>
      <w:r w:rsidRPr="003F5DCD">
        <w:rPr>
          <w:b/>
          <w:color w:val="000000"/>
          <w:shd w:val="clear" w:color="auto" w:fill="FFFFFF"/>
          <w:lang w:eastAsia="cs-CZ"/>
        </w:rPr>
        <w:t>Leibnizův ústav sladkovodní ekologie a vnitrozemského rybolovu</w:t>
      </w:r>
    </w:p>
    <w:p w:rsidR="005A63D9" w:rsidRPr="003F5DCD" w:rsidRDefault="005A63D9" w:rsidP="003F5DCD">
      <w:pPr>
        <w:widowControl w:val="0"/>
        <w:adjustRightInd w:val="0"/>
        <w:spacing w:afterLines="0"/>
        <w:contextualSpacing w:val="0"/>
        <w:jc w:val="both"/>
        <w:textAlignment w:val="baseline"/>
        <w:rPr>
          <w:color w:val="000000"/>
          <w:shd w:val="clear" w:color="auto" w:fill="FFFFFF"/>
          <w:lang w:eastAsia="cs-CZ"/>
        </w:rPr>
      </w:pPr>
      <w:r w:rsidRPr="003F5DCD">
        <w:rPr>
          <w:color w:val="000000"/>
          <w:shd w:val="clear" w:color="auto" w:fill="FFFFFF"/>
          <w:lang w:eastAsia="cs-CZ"/>
        </w:rPr>
        <w:t>(Leibniz-Institut für Gewässerökologie und Binnenfischerei – www.igb-berlin.de)</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 xml:space="preserve">Ústav řeší tři průřezové programy: Vodní biodiverzita; Vodní hraniční zóny; Interakce člověk a vodní ekosystémy. V rámci těchto tří programů jsou řešeny témata značného výzkumného a společenského významu. Ústav spolupracuje s univerzitami a výzkumnými institucemi v regionu Berlín/Brandenburg a v zahraničí. </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Ústav má 6 výzkumných oddělení: Ekohydrologie (6 výzkumných skupin); Výzkum ekosystémů (8 výzkumných skupin); Experimentální li</w:t>
      </w:r>
      <w:r>
        <w:rPr>
          <w:color w:val="000000"/>
          <w:shd w:val="clear" w:color="auto" w:fill="FFFFFF"/>
          <w:lang w:eastAsia="cs-CZ"/>
        </w:rPr>
        <w:t>mnologie (6 skupin); Biologie a </w:t>
      </w:r>
      <w:r w:rsidRPr="003F5DCD">
        <w:rPr>
          <w:color w:val="000000"/>
          <w:shd w:val="clear" w:color="auto" w:fill="FFFFFF"/>
          <w:lang w:eastAsia="cs-CZ"/>
        </w:rPr>
        <w:t>ekologie ryb (7 skupin); Ekofyziologie a aquakultura (7 skupin); Chemické analýzy a bio-geochemie.</w:t>
      </w:r>
    </w:p>
    <w:p w:rsidR="005A63D9"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Počet pracovníků od roku 2010 (203) do roku 2014 (230) mírně rostl. Více než polovinu tvoří výzkumní pracovníci.</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p>
    <w:p w:rsidR="005A63D9" w:rsidRPr="003F5DCD" w:rsidRDefault="005A63D9" w:rsidP="003F5DCD">
      <w:pPr>
        <w:widowControl w:val="0"/>
        <w:adjustRightInd w:val="0"/>
        <w:spacing w:afterLines="0"/>
        <w:contextualSpacing w:val="0"/>
        <w:jc w:val="both"/>
        <w:textAlignment w:val="baseline"/>
        <w:rPr>
          <w:color w:val="000000"/>
          <w:shd w:val="clear" w:color="auto" w:fill="FFFFFF"/>
          <w:lang w:eastAsia="cs-CZ"/>
        </w:rPr>
      </w:pPr>
      <w:r w:rsidRPr="003F5DCD">
        <w:rPr>
          <w:b/>
          <w:color w:val="000000"/>
          <w:shd w:val="clear" w:color="auto" w:fill="FFFFFF"/>
          <w:lang w:eastAsia="cs-CZ"/>
        </w:rPr>
        <w:t xml:space="preserve">Tab. č. 22 </w:t>
      </w:r>
      <w:r w:rsidRPr="003F5DCD">
        <w:rPr>
          <w:color w:val="000000"/>
          <w:shd w:val="clear" w:color="auto" w:fill="FFFFFF"/>
          <w:lang w:eastAsia="cs-CZ"/>
        </w:rPr>
        <w:t>Financování Leibnizova institutu sladkovodní ekologie a rybářství (tis. €)</w:t>
      </w:r>
    </w:p>
    <w:tbl>
      <w:tblPr>
        <w:tblW w:w="5000" w:type="pct"/>
        <w:tblLook w:val="00A0"/>
      </w:tblPr>
      <w:tblGrid>
        <w:gridCol w:w="3315"/>
        <w:gridCol w:w="1195"/>
        <w:gridCol w:w="1195"/>
        <w:gridCol w:w="1194"/>
        <w:gridCol w:w="1194"/>
        <w:gridCol w:w="1194"/>
      </w:tblGrid>
      <w:tr w:rsidR="005A63D9" w:rsidRPr="00E27ED8" w:rsidTr="00AE604E">
        <w:trPr>
          <w:trHeight w:val="72"/>
        </w:trPr>
        <w:tc>
          <w:tcPr>
            <w:tcW w:w="1784" w:type="pct"/>
            <w:tcBorders>
              <w:top w:val="single" w:sz="12" w:space="0" w:color="auto"/>
              <w:left w:val="single" w:sz="12" w:space="0" w:color="auto"/>
              <w:bottom w:val="double" w:sz="4" w:space="0" w:color="auto"/>
              <w:right w:val="single" w:sz="12" w:space="0" w:color="auto"/>
            </w:tcBorders>
            <w:shd w:val="clear" w:color="auto" w:fill="BFBFBF"/>
          </w:tcPr>
          <w:p w:rsidR="005A63D9" w:rsidRPr="00AE604E" w:rsidRDefault="005A63D9" w:rsidP="0008405A">
            <w:pPr>
              <w:spacing w:after="144"/>
              <w:jc w:val="both"/>
              <w:outlineLvl w:val="4"/>
              <w:rPr>
                <w:rFonts w:cs="Times New Roman"/>
                <w:b/>
                <w:bCs/>
                <w:color w:val="333333"/>
                <w:lang w:eastAsia="cs-CZ"/>
              </w:rPr>
            </w:pPr>
            <w:r w:rsidRPr="00AE604E">
              <w:rPr>
                <w:rFonts w:cs="Times New Roman"/>
                <w:b/>
                <w:bCs/>
                <w:color w:val="333333"/>
                <w:lang w:eastAsia="cs-CZ"/>
              </w:rPr>
              <w:t>Zdroj financování</w:t>
            </w:r>
          </w:p>
        </w:tc>
        <w:tc>
          <w:tcPr>
            <w:tcW w:w="643" w:type="pct"/>
            <w:tcBorders>
              <w:top w:val="single" w:sz="12" w:space="0" w:color="auto"/>
              <w:left w:val="single" w:sz="12"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2010</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2011</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2012</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2013</w:t>
            </w:r>
          </w:p>
        </w:tc>
        <w:tc>
          <w:tcPr>
            <w:tcW w:w="643" w:type="pct"/>
            <w:tcBorders>
              <w:top w:val="single" w:sz="12" w:space="0" w:color="auto"/>
              <w:left w:val="single" w:sz="4" w:space="0" w:color="auto"/>
              <w:bottom w:val="double" w:sz="4" w:space="0" w:color="auto"/>
              <w:right w:val="single" w:sz="12"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2014</w:t>
            </w:r>
          </w:p>
        </w:tc>
      </w:tr>
      <w:tr w:rsidR="005A63D9" w:rsidRPr="00E27ED8" w:rsidTr="00AE604E">
        <w:tc>
          <w:tcPr>
            <w:tcW w:w="1784" w:type="pct"/>
            <w:tcBorders>
              <w:top w:val="double" w:sz="4" w:space="0" w:color="auto"/>
              <w:left w:val="single" w:sz="12" w:space="0" w:color="auto"/>
              <w:bottom w:val="single" w:sz="4"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Institucionální financování (stát a spolkové země)</w:t>
            </w:r>
          </w:p>
        </w:tc>
        <w:tc>
          <w:tcPr>
            <w:tcW w:w="643" w:type="pct"/>
            <w:tcBorders>
              <w:top w:val="double" w:sz="4" w:space="0" w:color="auto"/>
              <w:left w:val="single" w:sz="12"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10 770</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11 076</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12081</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12 316</w:t>
            </w:r>
          </w:p>
        </w:tc>
        <w:tc>
          <w:tcPr>
            <w:tcW w:w="643" w:type="pct"/>
            <w:tcBorders>
              <w:top w:val="double" w:sz="4" w:space="0" w:color="auto"/>
              <w:left w:val="single" w:sz="4" w:space="0" w:color="auto"/>
              <w:bottom w:val="single" w:sz="4"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12 896</w:t>
            </w:r>
          </w:p>
        </w:tc>
      </w:tr>
      <w:tr w:rsidR="005A63D9" w:rsidRPr="00E27ED8" w:rsidTr="00AE604E">
        <w:tc>
          <w:tcPr>
            <w:tcW w:w="1784" w:type="pct"/>
            <w:tcBorders>
              <w:top w:val="single" w:sz="4" w:space="0" w:color="auto"/>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Třetí zdroje</w:t>
            </w:r>
          </w:p>
        </w:tc>
        <w:tc>
          <w:tcPr>
            <w:tcW w:w="643" w:type="pct"/>
            <w:tcBorders>
              <w:top w:val="single" w:sz="4" w:space="0" w:color="auto"/>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4 922</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6 876</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9 438</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5 924</w:t>
            </w:r>
          </w:p>
        </w:tc>
        <w:tc>
          <w:tcPr>
            <w:tcW w:w="643" w:type="pct"/>
            <w:tcBorders>
              <w:top w:val="single" w:sz="4" w:space="0" w:color="auto"/>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5 495</w:t>
            </w:r>
          </w:p>
        </w:tc>
      </w:tr>
      <w:tr w:rsidR="005A63D9" w:rsidRPr="00E27ED8" w:rsidTr="00147F6E">
        <w:tc>
          <w:tcPr>
            <w:tcW w:w="1784" w:type="pct"/>
            <w:tcBorders>
              <w:top w:val="single" w:sz="12" w:space="0" w:color="auto"/>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CELKEM</w:t>
            </w:r>
          </w:p>
        </w:tc>
        <w:tc>
          <w:tcPr>
            <w:tcW w:w="643" w:type="pct"/>
            <w:tcBorders>
              <w:top w:val="single" w:sz="12" w:space="0" w:color="auto"/>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15 692</w:t>
            </w:r>
          </w:p>
        </w:tc>
        <w:tc>
          <w:tcPr>
            <w:tcW w:w="643" w:type="pct"/>
            <w:tcBorders>
              <w:top w:val="single" w:sz="12" w:space="0" w:color="auto"/>
              <w:left w:val="single" w:sz="4" w:space="0" w:color="auto"/>
              <w:bottom w:val="single" w:sz="12"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17 952</w:t>
            </w:r>
          </w:p>
        </w:tc>
        <w:tc>
          <w:tcPr>
            <w:tcW w:w="643" w:type="pct"/>
            <w:tcBorders>
              <w:top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21 519</w:t>
            </w:r>
          </w:p>
        </w:tc>
        <w:tc>
          <w:tcPr>
            <w:tcW w:w="643" w:type="pct"/>
            <w:tcBorders>
              <w:top w:val="single" w:sz="12"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18 420</w:t>
            </w:r>
          </w:p>
        </w:tc>
        <w:tc>
          <w:tcPr>
            <w:tcW w:w="643" w:type="pct"/>
            <w:tcBorders>
              <w:top w:val="single" w:sz="12" w:space="0" w:color="auto"/>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18 391</w:t>
            </w:r>
          </w:p>
        </w:tc>
      </w:tr>
    </w:tbl>
    <w:p w:rsidR="005A63D9" w:rsidRPr="004A24BB" w:rsidRDefault="005A63D9" w:rsidP="0008405A">
      <w:pPr>
        <w:pStyle w:val="ZDROJovan"/>
        <w:spacing w:after="144" w:line="288" w:lineRule="auto"/>
        <w:jc w:val="both"/>
      </w:pPr>
      <w:r w:rsidRPr="00AE604E">
        <w:t>Zdroj: igb, Jahresforschungsbericht 2014.</w:t>
      </w:r>
    </w:p>
    <w:p w:rsidR="005A63D9" w:rsidRPr="003F5DCD" w:rsidRDefault="005A63D9" w:rsidP="003F5DCD">
      <w:pPr>
        <w:widowControl w:val="0"/>
        <w:adjustRightInd w:val="0"/>
        <w:spacing w:afterLines="0"/>
        <w:contextualSpacing w:val="0"/>
        <w:jc w:val="both"/>
        <w:textAlignment w:val="baseline"/>
        <w:rPr>
          <w:b/>
          <w:color w:val="000000"/>
          <w:shd w:val="clear" w:color="auto" w:fill="FFFFFF"/>
          <w:lang w:eastAsia="cs-CZ"/>
        </w:rPr>
      </w:pPr>
      <w:r w:rsidRPr="003F5DCD">
        <w:rPr>
          <w:b/>
          <w:color w:val="000000"/>
          <w:shd w:val="clear" w:color="auto" w:fill="FFFFFF"/>
          <w:lang w:eastAsia="cs-CZ"/>
        </w:rPr>
        <w:t>Leibnizovo centrum pro výzkum zemědělské krajiny</w:t>
      </w:r>
    </w:p>
    <w:p w:rsidR="005A63D9" w:rsidRPr="00433982" w:rsidRDefault="005A63D9" w:rsidP="0008405A">
      <w:pPr>
        <w:spacing w:after="144"/>
        <w:jc w:val="both"/>
        <w:rPr>
          <w:lang w:eastAsia="cs-CZ"/>
        </w:rPr>
      </w:pPr>
      <w:r>
        <w:rPr>
          <w:lang w:eastAsia="cs-CZ"/>
        </w:rPr>
        <w:t>(</w:t>
      </w:r>
      <w:r w:rsidRPr="006E77B6">
        <w:rPr>
          <w:lang w:eastAsia="cs-CZ"/>
        </w:rPr>
        <w:t xml:space="preserve">Leibniz-Zentrum für Agrarlandschaftsforschung </w:t>
      </w:r>
      <w:r w:rsidRPr="00795296">
        <w:rPr>
          <w:color w:val="000000"/>
        </w:rPr>
        <w:t>–</w:t>
      </w:r>
      <w:r w:rsidRPr="009E484A">
        <w:rPr>
          <w:lang w:eastAsia="cs-CZ"/>
        </w:rPr>
        <w:t xml:space="preserve"> </w:t>
      </w:r>
      <w:r w:rsidRPr="00795296">
        <w:rPr>
          <w:rFonts w:cs="Times New Roman"/>
          <w:bCs/>
          <w:lang w:eastAsia="cs-CZ"/>
        </w:rPr>
        <w:t>www.zalf.de)</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Centrum je složeno z 6 menších ústavů (institutů): Ústav pro výzkum zemědělské krajiny, Ústav krajinné bio-geochemie, Ústav pro analýzy krajiny, Ústav pro systémy využití krajiny, Ustav pro vodní hospodářství krajiny, Ústav pro socioekonomii. Centrum se zabývá následujícími problematikami:</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Úlohy zemědělské krajiny při změnách klimatu (adaptace a zmírňování dopadů</w:t>
      </w:r>
      <w:r>
        <w:rPr>
          <w:color w:val="000000"/>
          <w:shd w:val="clear" w:color="auto" w:fill="FFFFFF"/>
          <w:lang w:eastAsia="cs-CZ"/>
        </w:rPr>
        <w:t>)</w:t>
      </w:r>
      <w:r w:rsidRPr="003F5DCD">
        <w:rPr>
          <w:color w:val="000000"/>
          <w:shd w:val="clear" w:color="auto" w:fill="FFFFFF"/>
          <w:lang w:eastAsia="cs-CZ"/>
        </w:rPr>
        <w:t>;</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Regionálně podmíněný rostoucí tlak na plochy;</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Rostoucí přírůstky geneticky změněných rostlin;</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Slučitelnost alternativních plodin s obvyklou produkcí, intenzivnější pěstování dorůstajících surovin nebo energetických rostlin;</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Ochrana přírody;</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Turismus;</w:t>
      </w:r>
    </w:p>
    <w:p w:rsidR="005A63D9" w:rsidRPr="003F5DCD" w:rsidRDefault="005A63D9" w:rsidP="003F5DCD">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3F5DCD">
        <w:rPr>
          <w:color w:val="000000"/>
          <w:shd w:val="clear" w:color="auto" w:fill="FFFFFF"/>
          <w:lang w:eastAsia="cs-CZ"/>
        </w:rPr>
        <w:t>Ochrana vody a požadavky vodního hospodářství.</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 xml:space="preserve">Ústav měl na konci roku </w:t>
      </w:r>
      <w:r>
        <w:rPr>
          <w:color w:val="000000"/>
          <w:shd w:val="clear" w:color="auto" w:fill="FFFFFF"/>
          <w:lang w:eastAsia="cs-CZ"/>
        </w:rPr>
        <w:t xml:space="preserve">2014 </w:t>
      </w:r>
      <w:r w:rsidRPr="003F5DCD">
        <w:rPr>
          <w:color w:val="000000"/>
          <w:shd w:val="clear" w:color="auto" w:fill="FFFFFF"/>
          <w:lang w:eastAsia="cs-CZ"/>
        </w:rPr>
        <w:t>381 zaměstnanců, z toho 191 výzkumných pracovníků (93 bylo financováno z institucionální podpory, 98 z třetích zdrojů). V roce 2014 měl ústav k dispozici 30,25 mil. €, z toho 23,17 mil. € institucionální po</w:t>
      </w:r>
      <w:r>
        <w:rPr>
          <w:color w:val="000000"/>
          <w:shd w:val="clear" w:color="auto" w:fill="FFFFFF"/>
          <w:lang w:eastAsia="cs-CZ"/>
        </w:rPr>
        <w:t>dpora státu a spolkových zemí a </w:t>
      </w:r>
      <w:r w:rsidRPr="003F5DCD">
        <w:rPr>
          <w:color w:val="000000"/>
          <w:shd w:val="clear" w:color="auto" w:fill="FFFFFF"/>
          <w:lang w:eastAsia="cs-CZ"/>
        </w:rPr>
        <w:t>7,08 mil. € z třetích zdrojů (státních, EU a podnikových). Padesát procent institucionální podpory poskytlo Spolkové ministerstvo pro výživu a zemědělství. Zbylých padesát procent poskytlo Spolkové Ministerstvo pro vědu, výzkum a kulturu spolkové země Braniborsko.</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32" w:name="_Toc440897431"/>
      <w:bookmarkStart w:id="133" w:name="_Toc441760833"/>
      <w:bookmarkStart w:id="134" w:name="_Toc441849496"/>
      <w:r w:rsidRPr="00442A0C">
        <w:rPr>
          <w:bCs/>
          <w:shd w:val="clear" w:color="auto" w:fill="FFFFFF"/>
          <w:lang/>
        </w:rPr>
        <w:t>Potsdamský ústav pro změny klimatu</w:t>
      </w:r>
      <w:bookmarkEnd w:id="132"/>
      <w:bookmarkEnd w:id="133"/>
      <w:bookmarkEnd w:id="134"/>
    </w:p>
    <w:p w:rsidR="005A63D9" w:rsidRPr="003F5DCD" w:rsidRDefault="005A63D9" w:rsidP="0008405A">
      <w:pPr>
        <w:spacing w:after="144"/>
        <w:jc w:val="both"/>
        <w:rPr>
          <w:lang w:eastAsia="cs-CZ"/>
        </w:rPr>
      </w:pPr>
      <w:r>
        <w:rPr>
          <w:lang w:eastAsia="cs-CZ"/>
        </w:rPr>
        <w:t>(</w:t>
      </w:r>
      <w:r w:rsidRPr="006E77B6">
        <w:rPr>
          <w:lang w:eastAsia="cs-CZ"/>
        </w:rPr>
        <w:t>Potsdam-Institut für Klimafolgenforschung</w:t>
      </w:r>
      <w:r>
        <w:rPr>
          <w:lang w:eastAsia="cs-CZ"/>
        </w:rPr>
        <w:t xml:space="preserve"> </w:t>
      </w:r>
      <w:r w:rsidRPr="003F5DCD">
        <w:rPr>
          <w:lang w:eastAsia="cs-CZ"/>
        </w:rPr>
        <w:t>–</w:t>
      </w:r>
      <w:r w:rsidRPr="009E484A">
        <w:rPr>
          <w:lang w:eastAsia="cs-CZ"/>
        </w:rPr>
        <w:t xml:space="preserve"> </w:t>
      </w:r>
      <w:r w:rsidRPr="003F5DCD">
        <w:rPr>
          <w:lang w:eastAsia="cs-CZ"/>
        </w:rPr>
        <w:t>www.pik-potsdam.de)</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Postdamský ústav vzniknul v roce 1992</w:t>
      </w:r>
      <w:r>
        <w:rPr>
          <w:color w:val="000000"/>
          <w:shd w:val="clear" w:color="auto" w:fill="FFFFFF"/>
          <w:lang w:eastAsia="cs-CZ"/>
        </w:rPr>
        <w:t xml:space="preserve"> a koncem roku 2014 měl cca 320 </w:t>
      </w:r>
      <w:r w:rsidRPr="003F5DCD">
        <w:rPr>
          <w:color w:val="000000"/>
          <w:shd w:val="clear" w:color="auto" w:fill="FFFFFF"/>
          <w:lang w:eastAsia="cs-CZ"/>
        </w:rPr>
        <w:t>zaměstnanců. Ústav má čtyři výzkumné sekce:</w:t>
      </w:r>
      <w:r>
        <w:rPr>
          <w:color w:val="000000"/>
          <w:shd w:val="clear" w:color="auto" w:fill="FFFFFF"/>
          <w:lang w:eastAsia="cs-CZ"/>
        </w:rPr>
        <w:t xml:space="preserve"> Analýza systému Země; Dopady a </w:t>
      </w:r>
      <w:r w:rsidRPr="003F5DCD">
        <w:rPr>
          <w:color w:val="000000"/>
          <w:shd w:val="clear" w:color="auto" w:fill="FFFFFF"/>
          <w:lang w:eastAsia="cs-CZ"/>
        </w:rPr>
        <w:t>zranitelnost klimatu; Strategie udržitelných řešení; Transdisciplinární koncepce a metody.</w:t>
      </w:r>
    </w:p>
    <w:p w:rsidR="005A63D9" w:rsidRDefault="005A63D9" w:rsidP="003F5DCD">
      <w:pPr>
        <w:widowControl w:val="0"/>
        <w:adjustRightInd w:val="0"/>
        <w:spacing w:afterLines="0"/>
        <w:contextualSpacing w:val="0"/>
        <w:jc w:val="both"/>
        <w:textAlignment w:val="baseline"/>
        <w:rPr>
          <w:b/>
          <w:color w:val="000000"/>
          <w:shd w:val="clear" w:color="auto" w:fill="FFFFFF"/>
          <w:lang w:eastAsia="cs-CZ"/>
        </w:rPr>
      </w:pPr>
    </w:p>
    <w:p w:rsidR="005A63D9" w:rsidRPr="003F5DCD" w:rsidRDefault="005A63D9" w:rsidP="003F5DCD">
      <w:pPr>
        <w:widowControl w:val="0"/>
        <w:adjustRightInd w:val="0"/>
        <w:spacing w:afterLines="0"/>
        <w:contextualSpacing w:val="0"/>
        <w:jc w:val="both"/>
        <w:textAlignment w:val="baseline"/>
        <w:rPr>
          <w:color w:val="000000"/>
          <w:shd w:val="clear" w:color="auto" w:fill="FFFFFF"/>
          <w:lang w:eastAsia="cs-CZ"/>
        </w:rPr>
      </w:pPr>
      <w:r w:rsidRPr="003F5DCD">
        <w:rPr>
          <w:b/>
          <w:color w:val="000000"/>
          <w:shd w:val="clear" w:color="auto" w:fill="FFFFFF"/>
          <w:lang w:eastAsia="cs-CZ"/>
        </w:rPr>
        <w:t xml:space="preserve">Tab. č. 23 </w:t>
      </w:r>
      <w:r w:rsidRPr="003F5DCD">
        <w:rPr>
          <w:color w:val="000000"/>
          <w:shd w:val="clear" w:color="auto" w:fill="FFFFFF"/>
          <w:lang w:eastAsia="cs-CZ"/>
        </w:rPr>
        <w:t>Financování Potsdamského ústavu pro změny klimatu (tis. €)</w:t>
      </w:r>
    </w:p>
    <w:tbl>
      <w:tblPr>
        <w:tblW w:w="5000" w:type="pct"/>
        <w:tblLook w:val="00A0"/>
      </w:tblPr>
      <w:tblGrid>
        <w:gridCol w:w="3316"/>
        <w:gridCol w:w="1195"/>
        <w:gridCol w:w="1194"/>
        <w:gridCol w:w="1194"/>
        <w:gridCol w:w="1194"/>
        <w:gridCol w:w="1194"/>
      </w:tblGrid>
      <w:tr w:rsidR="005A63D9" w:rsidRPr="00E27ED8" w:rsidTr="00795296">
        <w:trPr>
          <w:trHeight w:val="72"/>
        </w:trPr>
        <w:tc>
          <w:tcPr>
            <w:tcW w:w="1785" w:type="pct"/>
            <w:tcBorders>
              <w:top w:val="single" w:sz="12" w:space="0" w:color="auto"/>
              <w:left w:val="single" w:sz="12" w:space="0" w:color="auto"/>
              <w:bottom w:val="double" w:sz="4" w:space="0" w:color="auto"/>
              <w:right w:val="single" w:sz="12" w:space="0" w:color="auto"/>
            </w:tcBorders>
            <w:shd w:val="clear" w:color="auto" w:fill="BFBFBF"/>
          </w:tcPr>
          <w:p w:rsidR="005A63D9" w:rsidRPr="00AE604E" w:rsidRDefault="005A63D9" w:rsidP="0008405A">
            <w:pPr>
              <w:spacing w:after="144"/>
              <w:jc w:val="both"/>
              <w:outlineLvl w:val="4"/>
              <w:rPr>
                <w:rFonts w:cs="Times New Roman"/>
                <w:b/>
                <w:bCs/>
                <w:color w:val="333333"/>
                <w:lang w:eastAsia="cs-CZ"/>
              </w:rPr>
            </w:pPr>
            <w:r w:rsidRPr="00AE604E">
              <w:rPr>
                <w:rFonts w:cs="Times New Roman"/>
                <w:b/>
                <w:bCs/>
                <w:color w:val="333333"/>
                <w:lang w:eastAsia="cs-CZ"/>
              </w:rPr>
              <w:t>Zdroj financování</w:t>
            </w:r>
          </w:p>
        </w:tc>
        <w:tc>
          <w:tcPr>
            <w:tcW w:w="643" w:type="pct"/>
            <w:tcBorders>
              <w:top w:val="single" w:sz="12" w:space="0" w:color="auto"/>
              <w:left w:val="single" w:sz="12"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2010</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2011</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2012</w:t>
            </w:r>
          </w:p>
        </w:tc>
        <w:tc>
          <w:tcPr>
            <w:tcW w:w="643"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2013</w:t>
            </w:r>
          </w:p>
        </w:tc>
        <w:tc>
          <w:tcPr>
            <w:tcW w:w="643" w:type="pct"/>
            <w:tcBorders>
              <w:top w:val="single" w:sz="12" w:space="0" w:color="auto"/>
              <w:left w:val="single" w:sz="4" w:space="0" w:color="auto"/>
              <w:bottom w:val="double" w:sz="4" w:space="0" w:color="auto"/>
              <w:right w:val="single" w:sz="12"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2014</w:t>
            </w:r>
          </w:p>
        </w:tc>
      </w:tr>
      <w:tr w:rsidR="005A63D9" w:rsidRPr="00E27ED8" w:rsidTr="00795296">
        <w:tc>
          <w:tcPr>
            <w:tcW w:w="1785" w:type="pct"/>
            <w:tcBorders>
              <w:top w:val="double" w:sz="4" w:space="0" w:color="auto"/>
              <w:left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Institucionální financování (stát a spolkové země)</w:t>
            </w:r>
          </w:p>
        </w:tc>
        <w:tc>
          <w:tcPr>
            <w:tcW w:w="643" w:type="pct"/>
            <w:tcBorders>
              <w:top w:val="double" w:sz="4" w:space="0" w:color="auto"/>
              <w:left w:val="single" w:sz="12"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9 400</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10 900</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14 300</w:t>
            </w:r>
          </w:p>
        </w:tc>
        <w:tc>
          <w:tcPr>
            <w:tcW w:w="643"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14 600</w:t>
            </w:r>
          </w:p>
        </w:tc>
        <w:tc>
          <w:tcPr>
            <w:tcW w:w="643" w:type="pct"/>
            <w:tcBorders>
              <w:top w:val="double" w:sz="4" w:space="0" w:color="auto"/>
              <w:left w:val="single" w:sz="4" w:space="0" w:color="auto"/>
              <w:bottom w:val="single" w:sz="4"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15 200</w:t>
            </w:r>
          </w:p>
        </w:tc>
      </w:tr>
      <w:tr w:rsidR="005A63D9" w:rsidRPr="00E27ED8" w:rsidTr="00795296">
        <w:tc>
          <w:tcPr>
            <w:tcW w:w="1785" w:type="pct"/>
            <w:tcBorders>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Třetí zdroje</w:t>
            </w:r>
          </w:p>
        </w:tc>
        <w:tc>
          <w:tcPr>
            <w:tcW w:w="643" w:type="pct"/>
            <w:tcBorders>
              <w:top w:val="single" w:sz="4" w:space="0" w:color="auto"/>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8 100</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9 800</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11 100</w:t>
            </w:r>
          </w:p>
        </w:tc>
        <w:tc>
          <w:tcPr>
            <w:tcW w:w="643" w:type="pct"/>
            <w:tcBorders>
              <w:top w:val="single" w:sz="4"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13 200</w:t>
            </w:r>
          </w:p>
        </w:tc>
        <w:tc>
          <w:tcPr>
            <w:tcW w:w="643" w:type="pct"/>
            <w:tcBorders>
              <w:top w:val="single" w:sz="4" w:space="0" w:color="auto"/>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12 300</w:t>
            </w:r>
          </w:p>
        </w:tc>
      </w:tr>
      <w:tr w:rsidR="005A63D9" w:rsidRPr="00E27ED8" w:rsidTr="00795296">
        <w:tc>
          <w:tcPr>
            <w:tcW w:w="1785" w:type="pct"/>
            <w:tcBorders>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Ostatní</w:t>
            </w:r>
          </w:p>
        </w:tc>
        <w:tc>
          <w:tcPr>
            <w:tcW w:w="643" w:type="pct"/>
            <w:tcBorders>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4 500</w:t>
            </w:r>
          </w:p>
        </w:tc>
        <w:tc>
          <w:tcPr>
            <w:tcW w:w="643"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200</w:t>
            </w:r>
          </w:p>
        </w:tc>
        <w:tc>
          <w:tcPr>
            <w:tcW w:w="643"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w:t>
            </w:r>
          </w:p>
        </w:tc>
        <w:tc>
          <w:tcPr>
            <w:tcW w:w="643"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w:t>
            </w:r>
          </w:p>
        </w:tc>
        <w:tc>
          <w:tcPr>
            <w:tcW w:w="643" w:type="pct"/>
            <w:tcBorders>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w:t>
            </w:r>
          </w:p>
        </w:tc>
      </w:tr>
      <w:tr w:rsidR="005A63D9" w:rsidRPr="00E27ED8" w:rsidTr="00795296">
        <w:tc>
          <w:tcPr>
            <w:tcW w:w="1785" w:type="pct"/>
            <w:tcBorders>
              <w:top w:val="single" w:sz="12" w:space="0" w:color="auto"/>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CELKEM</w:t>
            </w:r>
          </w:p>
        </w:tc>
        <w:tc>
          <w:tcPr>
            <w:tcW w:w="643" w:type="pct"/>
            <w:tcBorders>
              <w:top w:val="single" w:sz="12" w:space="0" w:color="auto"/>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19 000</w:t>
            </w:r>
          </w:p>
        </w:tc>
        <w:tc>
          <w:tcPr>
            <w:tcW w:w="643" w:type="pct"/>
            <w:tcBorders>
              <w:top w:val="single" w:sz="12"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21 00</w:t>
            </w:r>
          </w:p>
        </w:tc>
        <w:tc>
          <w:tcPr>
            <w:tcW w:w="643" w:type="pct"/>
            <w:tcBorders>
              <w:top w:val="single" w:sz="12"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25 400</w:t>
            </w:r>
          </w:p>
        </w:tc>
        <w:tc>
          <w:tcPr>
            <w:tcW w:w="643" w:type="pct"/>
            <w:tcBorders>
              <w:top w:val="single" w:sz="12" w:space="0" w:color="auto"/>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27 800</w:t>
            </w:r>
          </w:p>
        </w:tc>
        <w:tc>
          <w:tcPr>
            <w:tcW w:w="643" w:type="pct"/>
            <w:tcBorders>
              <w:top w:val="single" w:sz="12" w:space="0" w:color="auto"/>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
                <w:bCs/>
                <w:color w:val="333333"/>
                <w:sz w:val="18"/>
                <w:szCs w:val="18"/>
                <w:lang w:eastAsia="cs-CZ"/>
              </w:rPr>
            </w:pPr>
            <w:r w:rsidRPr="00AE604E">
              <w:rPr>
                <w:rFonts w:cs="Times New Roman"/>
                <w:b/>
                <w:bCs/>
                <w:color w:val="333333"/>
                <w:sz w:val="18"/>
                <w:szCs w:val="18"/>
                <w:lang w:eastAsia="cs-CZ"/>
              </w:rPr>
              <w:t>27 500</w:t>
            </w:r>
          </w:p>
        </w:tc>
      </w:tr>
    </w:tbl>
    <w:p w:rsidR="005A63D9" w:rsidRPr="00AE604E" w:rsidRDefault="005A63D9" w:rsidP="0008405A">
      <w:pPr>
        <w:pStyle w:val="ZDROJovan"/>
        <w:spacing w:after="144" w:line="288" w:lineRule="auto"/>
        <w:jc w:val="both"/>
      </w:pPr>
      <w:r w:rsidRPr="00AE604E">
        <w:t>Zdroj: Potsdam Institut für Klimafolgenforschung; Forschungjahresbericht 2014</w:t>
      </w:r>
    </w:p>
    <w:p w:rsidR="005A63D9" w:rsidRDefault="005A63D9" w:rsidP="003F5DCD">
      <w:pPr>
        <w:widowControl w:val="0"/>
        <w:adjustRightInd w:val="0"/>
        <w:spacing w:afterLines="0"/>
        <w:contextualSpacing w:val="0"/>
        <w:jc w:val="both"/>
        <w:textAlignment w:val="baseline"/>
        <w:rPr>
          <w:b/>
          <w:color w:val="000000"/>
          <w:shd w:val="clear" w:color="auto" w:fill="FFFFFF"/>
          <w:lang w:eastAsia="cs-CZ"/>
        </w:rPr>
      </w:pPr>
    </w:p>
    <w:p w:rsidR="005A63D9" w:rsidRPr="003F5DCD" w:rsidRDefault="005A63D9" w:rsidP="003F5DCD">
      <w:pPr>
        <w:widowControl w:val="0"/>
        <w:adjustRightInd w:val="0"/>
        <w:spacing w:afterLines="0"/>
        <w:contextualSpacing w:val="0"/>
        <w:jc w:val="both"/>
        <w:textAlignment w:val="baseline"/>
        <w:rPr>
          <w:color w:val="000000"/>
          <w:shd w:val="clear" w:color="auto" w:fill="FFFFFF"/>
          <w:lang w:eastAsia="cs-CZ"/>
        </w:rPr>
      </w:pPr>
      <w:r>
        <w:rPr>
          <w:b/>
          <w:color w:val="000000"/>
          <w:shd w:val="clear" w:color="auto" w:fill="FFFFFF"/>
          <w:lang w:eastAsia="cs-CZ"/>
        </w:rPr>
        <w:t>Tab. č. 24</w:t>
      </w:r>
      <w:r w:rsidRPr="003F5DCD">
        <w:rPr>
          <w:b/>
          <w:color w:val="000000"/>
          <w:shd w:val="clear" w:color="auto" w:fill="FFFFFF"/>
          <w:lang w:eastAsia="cs-CZ"/>
        </w:rPr>
        <w:t xml:space="preserve"> </w:t>
      </w:r>
      <w:r w:rsidRPr="003F5DCD">
        <w:rPr>
          <w:color w:val="000000"/>
          <w:shd w:val="clear" w:color="auto" w:fill="FFFFFF"/>
          <w:lang w:eastAsia="cs-CZ"/>
        </w:rPr>
        <w:t>Vývoj počtu pracovníků Potsdamského ústavu pro změny klimatu</w:t>
      </w:r>
    </w:p>
    <w:tbl>
      <w:tblPr>
        <w:tblW w:w="5000" w:type="pct"/>
        <w:tblLook w:val="00A0"/>
      </w:tblPr>
      <w:tblGrid>
        <w:gridCol w:w="3716"/>
        <w:gridCol w:w="1115"/>
        <w:gridCol w:w="1114"/>
        <w:gridCol w:w="1114"/>
        <w:gridCol w:w="1114"/>
        <w:gridCol w:w="1114"/>
      </w:tblGrid>
      <w:tr w:rsidR="005A63D9" w:rsidRPr="00E27ED8" w:rsidTr="00795296">
        <w:trPr>
          <w:trHeight w:val="72"/>
        </w:trPr>
        <w:tc>
          <w:tcPr>
            <w:tcW w:w="2000" w:type="pct"/>
            <w:tcBorders>
              <w:top w:val="single" w:sz="12" w:space="0" w:color="auto"/>
              <w:left w:val="single" w:sz="12" w:space="0" w:color="auto"/>
              <w:bottom w:val="double" w:sz="4" w:space="0" w:color="auto"/>
              <w:right w:val="single" w:sz="12" w:space="0" w:color="auto"/>
            </w:tcBorders>
            <w:shd w:val="clear" w:color="auto" w:fill="BFBFBF"/>
          </w:tcPr>
          <w:p w:rsidR="005A63D9" w:rsidRPr="00AE604E" w:rsidRDefault="005A63D9" w:rsidP="0008405A">
            <w:pPr>
              <w:spacing w:after="144"/>
              <w:jc w:val="both"/>
              <w:outlineLvl w:val="4"/>
              <w:rPr>
                <w:rFonts w:cs="Times New Roman"/>
                <w:b/>
                <w:bCs/>
                <w:color w:val="333333"/>
                <w:lang w:eastAsia="cs-CZ"/>
              </w:rPr>
            </w:pPr>
            <w:r w:rsidRPr="00AE604E">
              <w:rPr>
                <w:rFonts w:cs="Times New Roman"/>
                <w:b/>
                <w:bCs/>
                <w:color w:val="333333"/>
                <w:lang w:eastAsia="cs-CZ"/>
              </w:rPr>
              <w:t>Zdroj financování</w:t>
            </w:r>
          </w:p>
        </w:tc>
        <w:tc>
          <w:tcPr>
            <w:tcW w:w="600" w:type="pct"/>
            <w:tcBorders>
              <w:top w:val="single" w:sz="12" w:space="0" w:color="auto"/>
              <w:left w:val="single" w:sz="12"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2010</w:t>
            </w:r>
          </w:p>
        </w:tc>
        <w:tc>
          <w:tcPr>
            <w:tcW w:w="600"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2011</w:t>
            </w:r>
          </w:p>
        </w:tc>
        <w:tc>
          <w:tcPr>
            <w:tcW w:w="600"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2012</w:t>
            </w:r>
          </w:p>
        </w:tc>
        <w:tc>
          <w:tcPr>
            <w:tcW w:w="600" w:type="pct"/>
            <w:tcBorders>
              <w:top w:val="single" w:sz="12" w:space="0" w:color="auto"/>
              <w:left w:val="single" w:sz="4" w:space="0" w:color="auto"/>
              <w:bottom w:val="double" w:sz="4" w:space="0" w:color="auto"/>
              <w:right w:val="single" w:sz="4"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2013</w:t>
            </w:r>
          </w:p>
        </w:tc>
        <w:tc>
          <w:tcPr>
            <w:tcW w:w="600" w:type="pct"/>
            <w:tcBorders>
              <w:top w:val="single" w:sz="12" w:space="0" w:color="auto"/>
              <w:left w:val="single" w:sz="4" w:space="0" w:color="auto"/>
              <w:bottom w:val="double" w:sz="4" w:space="0" w:color="auto"/>
              <w:right w:val="single" w:sz="12" w:space="0" w:color="auto"/>
            </w:tcBorders>
            <w:shd w:val="clear" w:color="auto" w:fill="BFBFBF"/>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2014</w:t>
            </w:r>
          </w:p>
        </w:tc>
      </w:tr>
      <w:tr w:rsidR="005A63D9" w:rsidRPr="00E27ED8" w:rsidTr="00795296">
        <w:tc>
          <w:tcPr>
            <w:tcW w:w="2000" w:type="pct"/>
            <w:tcBorders>
              <w:top w:val="double" w:sz="4" w:space="0" w:color="auto"/>
              <w:left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Výzkumní pracovníci</w:t>
            </w:r>
          </w:p>
        </w:tc>
        <w:tc>
          <w:tcPr>
            <w:tcW w:w="600" w:type="pct"/>
            <w:tcBorders>
              <w:top w:val="double" w:sz="4" w:space="0" w:color="auto"/>
              <w:left w:val="single" w:sz="12"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194</w:t>
            </w:r>
          </w:p>
        </w:tc>
        <w:tc>
          <w:tcPr>
            <w:tcW w:w="600"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198</w:t>
            </w:r>
          </w:p>
        </w:tc>
        <w:tc>
          <w:tcPr>
            <w:tcW w:w="600"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194</w:t>
            </w:r>
          </w:p>
        </w:tc>
        <w:tc>
          <w:tcPr>
            <w:tcW w:w="600" w:type="pct"/>
            <w:tcBorders>
              <w:top w:val="doub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188</w:t>
            </w:r>
          </w:p>
        </w:tc>
        <w:tc>
          <w:tcPr>
            <w:tcW w:w="600" w:type="pct"/>
            <w:tcBorders>
              <w:top w:val="double" w:sz="4" w:space="0" w:color="auto"/>
              <w:left w:val="single" w:sz="4" w:space="0" w:color="auto"/>
              <w:bottom w:val="single" w:sz="4"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201</w:t>
            </w:r>
          </w:p>
        </w:tc>
      </w:tr>
      <w:tr w:rsidR="005A63D9" w:rsidRPr="00E27ED8" w:rsidTr="00795296">
        <w:tc>
          <w:tcPr>
            <w:tcW w:w="2000" w:type="pct"/>
            <w:tcBorders>
              <w:left w:val="single" w:sz="12" w:space="0" w:color="auto"/>
              <w:bottom w:val="single" w:sz="4"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Techničtí a administrativní pracovníci</w:t>
            </w:r>
          </w:p>
        </w:tc>
        <w:tc>
          <w:tcPr>
            <w:tcW w:w="600" w:type="pct"/>
            <w:tcBorders>
              <w:top w:val="single" w:sz="4" w:space="0" w:color="auto"/>
              <w:left w:val="single" w:sz="12"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71</w:t>
            </w:r>
          </w:p>
        </w:tc>
        <w:tc>
          <w:tcPr>
            <w:tcW w:w="600" w:type="pct"/>
            <w:tcBorders>
              <w:top w:val="sing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83</w:t>
            </w:r>
          </w:p>
        </w:tc>
        <w:tc>
          <w:tcPr>
            <w:tcW w:w="600" w:type="pct"/>
            <w:tcBorders>
              <w:top w:val="sing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104</w:t>
            </w:r>
          </w:p>
        </w:tc>
        <w:tc>
          <w:tcPr>
            <w:tcW w:w="600" w:type="pct"/>
            <w:tcBorders>
              <w:top w:val="single" w:sz="4" w:space="0" w:color="auto"/>
              <w:left w:val="single" w:sz="4" w:space="0" w:color="auto"/>
              <w:bottom w:val="single" w:sz="4"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108</w:t>
            </w:r>
          </w:p>
        </w:tc>
        <w:tc>
          <w:tcPr>
            <w:tcW w:w="600" w:type="pct"/>
            <w:tcBorders>
              <w:top w:val="single" w:sz="4" w:space="0" w:color="auto"/>
              <w:left w:val="single" w:sz="4" w:space="0" w:color="auto"/>
              <w:bottom w:val="single" w:sz="4"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88</w:t>
            </w:r>
          </w:p>
        </w:tc>
      </w:tr>
      <w:tr w:rsidR="005A63D9" w:rsidRPr="00E27ED8" w:rsidTr="00795296">
        <w:tc>
          <w:tcPr>
            <w:tcW w:w="2000" w:type="pct"/>
            <w:tcBorders>
              <w:left w:val="single" w:sz="12" w:space="0" w:color="auto"/>
              <w:bottom w:val="single" w:sz="12" w:space="0" w:color="auto"/>
              <w:right w:val="single" w:sz="12" w:space="0" w:color="auto"/>
            </w:tcBorders>
            <w:vAlign w:val="center"/>
          </w:tcPr>
          <w:p w:rsidR="005A63D9" w:rsidRDefault="005A63D9">
            <w:pPr>
              <w:spacing w:after="144"/>
              <w:outlineLvl w:val="4"/>
              <w:rPr>
                <w:rFonts w:cs="Times New Roman"/>
                <w:b/>
                <w:bCs/>
                <w:color w:val="333333"/>
                <w:sz w:val="18"/>
                <w:szCs w:val="18"/>
                <w:lang w:eastAsia="cs-CZ"/>
              </w:rPr>
            </w:pPr>
            <w:r w:rsidRPr="00AE604E">
              <w:rPr>
                <w:rFonts w:cs="Times New Roman"/>
                <w:b/>
                <w:bCs/>
                <w:color w:val="333333"/>
                <w:sz w:val="18"/>
                <w:szCs w:val="18"/>
                <w:lang w:eastAsia="cs-CZ"/>
              </w:rPr>
              <w:t>Ostatní (studenti aj.)</w:t>
            </w:r>
          </w:p>
        </w:tc>
        <w:tc>
          <w:tcPr>
            <w:tcW w:w="600" w:type="pct"/>
            <w:tcBorders>
              <w:left w:val="single" w:sz="12"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27</w:t>
            </w:r>
          </w:p>
        </w:tc>
        <w:tc>
          <w:tcPr>
            <w:tcW w:w="600"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42</w:t>
            </w:r>
          </w:p>
        </w:tc>
        <w:tc>
          <w:tcPr>
            <w:tcW w:w="600"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49</w:t>
            </w:r>
          </w:p>
        </w:tc>
        <w:tc>
          <w:tcPr>
            <w:tcW w:w="600" w:type="pct"/>
            <w:tcBorders>
              <w:left w:val="single" w:sz="4" w:space="0" w:color="auto"/>
              <w:bottom w:val="single" w:sz="12" w:space="0" w:color="auto"/>
              <w:right w:val="single" w:sz="4"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30</w:t>
            </w:r>
          </w:p>
        </w:tc>
        <w:tc>
          <w:tcPr>
            <w:tcW w:w="600" w:type="pct"/>
            <w:tcBorders>
              <w:left w:val="single" w:sz="4" w:space="0" w:color="auto"/>
              <w:bottom w:val="single" w:sz="12" w:space="0" w:color="auto"/>
              <w:right w:val="single" w:sz="12" w:space="0" w:color="auto"/>
            </w:tcBorders>
            <w:vAlign w:val="center"/>
          </w:tcPr>
          <w:p w:rsidR="005A63D9" w:rsidRPr="00AE604E" w:rsidRDefault="005A63D9" w:rsidP="00AE604E">
            <w:pPr>
              <w:spacing w:after="144"/>
              <w:jc w:val="center"/>
              <w:outlineLvl w:val="4"/>
              <w:rPr>
                <w:rFonts w:cs="Times New Roman"/>
                <w:bCs/>
                <w:color w:val="333333"/>
                <w:sz w:val="18"/>
                <w:szCs w:val="18"/>
                <w:lang w:eastAsia="cs-CZ"/>
              </w:rPr>
            </w:pPr>
            <w:r w:rsidRPr="00AE604E">
              <w:rPr>
                <w:rFonts w:cs="Times New Roman"/>
                <w:bCs/>
                <w:color w:val="333333"/>
                <w:sz w:val="18"/>
                <w:szCs w:val="18"/>
                <w:lang w:eastAsia="cs-CZ"/>
              </w:rPr>
              <w:t>33</w:t>
            </w:r>
          </w:p>
        </w:tc>
      </w:tr>
      <w:tr w:rsidR="005A63D9" w:rsidRPr="00E27ED8" w:rsidTr="00795296">
        <w:tc>
          <w:tcPr>
            <w:tcW w:w="2000" w:type="pct"/>
            <w:tcBorders>
              <w:top w:val="single" w:sz="12" w:space="0" w:color="auto"/>
              <w:left w:val="single" w:sz="12" w:space="0" w:color="auto"/>
              <w:bottom w:val="single" w:sz="12" w:space="0" w:color="auto"/>
              <w:right w:val="single" w:sz="12" w:space="0" w:color="auto"/>
            </w:tcBorders>
            <w:vAlign w:val="center"/>
          </w:tcPr>
          <w:p w:rsidR="005A63D9" w:rsidRPr="00436201" w:rsidRDefault="005A63D9">
            <w:pPr>
              <w:pStyle w:val="ZDROJovan"/>
              <w:spacing w:after="144" w:line="288" w:lineRule="auto"/>
              <w:rPr>
                <w:rFonts w:cs="Arial"/>
                <w:sz w:val="18"/>
              </w:rPr>
            </w:pPr>
            <w:r w:rsidRPr="00436201">
              <w:rPr>
                <w:rFonts w:cs="Arial"/>
                <w:sz w:val="18"/>
              </w:rPr>
              <w:t>CELKEM</w:t>
            </w:r>
          </w:p>
        </w:tc>
        <w:tc>
          <w:tcPr>
            <w:tcW w:w="600" w:type="pct"/>
            <w:tcBorders>
              <w:top w:val="single" w:sz="12" w:space="0" w:color="auto"/>
              <w:left w:val="single" w:sz="12" w:space="0" w:color="auto"/>
              <w:bottom w:val="single" w:sz="12" w:space="0" w:color="auto"/>
              <w:right w:val="single" w:sz="4" w:space="0" w:color="auto"/>
            </w:tcBorders>
            <w:vAlign w:val="center"/>
          </w:tcPr>
          <w:p w:rsidR="005A63D9" w:rsidRPr="00436201" w:rsidRDefault="005A63D9" w:rsidP="00AE604E">
            <w:pPr>
              <w:pStyle w:val="ZDROJovan"/>
              <w:spacing w:after="144" w:line="288" w:lineRule="auto"/>
              <w:jc w:val="center"/>
              <w:rPr>
                <w:rFonts w:cs="Arial"/>
                <w:sz w:val="18"/>
              </w:rPr>
            </w:pPr>
            <w:r w:rsidRPr="00436201">
              <w:rPr>
                <w:rFonts w:cs="Arial"/>
                <w:sz w:val="18"/>
              </w:rPr>
              <w:t>292</w:t>
            </w:r>
          </w:p>
        </w:tc>
        <w:tc>
          <w:tcPr>
            <w:tcW w:w="600" w:type="pct"/>
            <w:tcBorders>
              <w:top w:val="single" w:sz="12" w:space="0" w:color="auto"/>
              <w:left w:val="single" w:sz="4" w:space="0" w:color="auto"/>
              <w:bottom w:val="single" w:sz="12" w:space="0" w:color="auto"/>
              <w:right w:val="single" w:sz="4" w:space="0" w:color="auto"/>
            </w:tcBorders>
            <w:vAlign w:val="center"/>
          </w:tcPr>
          <w:p w:rsidR="005A63D9" w:rsidRPr="00436201" w:rsidRDefault="005A63D9" w:rsidP="00AE604E">
            <w:pPr>
              <w:pStyle w:val="ZDROJovan"/>
              <w:spacing w:after="144" w:line="288" w:lineRule="auto"/>
              <w:jc w:val="center"/>
              <w:rPr>
                <w:rFonts w:cs="Arial"/>
                <w:sz w:val="18"/>
              </w:rPr>
            </w:pPr>
            <w:r w:rsidRPr="00436201">
              <w:rPr>
                <w:rFonts w:cs="Arial"/>
                <w:sz w:val="18"/>
              </w:rPr>
              <w:t>323</w:t>
            </w:r>
          </w:p>
        </w:tc>
        <w:tc>
          <w:tcPr>
            <w:tcW w:w="600" w:type="pct"/>
            <w:tcBorders>
              <w:top w:val="single" w:sz="12" w:space="0" w:color="auto"/>
              <w:left w:val="single" w:sz="4" w:space="0" w:color="auto"/>
              <w:bottom w:val="single" w:sz="12" w:space="0" w:color="auto"/>
              <w:right w:val="single" w:sz="4" w:space="0" w:color="auto"/>
            </w:tcBorders>
            <w:vAlign w:val="center"/>
          </w:tcPr>
          <w:p w:rsidR="005A63D9" w:rsidRPr="00436201" w:rsidRDefault="005A63D9" w:rsidP="00AE604E">
            <w:pPr>
              <w:pStyle w:val="ZDROJovan"/>
              <w:spacing w:after="144" w:line="288" w:lineRule="auto"/>
              <w:jc w:val="center"/>
              <w:rPr>
                <w:rFonts w:cs="Arial"/>
                <w:sz w:val="18"/>
              </w:rPr>
            </w:pPr>
            <w:r w:rsidRPr="00436201">
              <w:rPr>
                <w:rFonts w:cs="Arial"/>
                <w:sz w:val="18"/>
              </w:rPr>
              <w:t>347</w:t>
            </w:r>
          </w:p>
        </w:tc>
        <w:tc>
          <w:tcPr>
            <w:tcW w:w="600" w:type="pct"/>
            <w:tcBorders>
              <w:top w:val="single" w:sz="12" w:space="0" w:color="auto"/>
              <w:left w:val="single" w:sz="4" w:space="0" w:color="auto"/>
              <w:bottom w:val="single" w:sz="12" w:space="0" w:color="auto"/>
              <w:right w:val="single" w:sz="4" w:space="0" w:color="auto"/>
            </w:tcBorders>
            <w:vAlign w:val="center"/>
          </w:tcPr>
          <w:p w:rsidR="005A63D9" w:rsidRPr="00436201" w:rsidRDefault="005A63D9" w:rsidP="00AE604E">
            <w:pPr>
              <w:pStyle w:val="ZDROJovan"/>
              <w:spacing w:after="144" w:line="288" w:lineRule="auto"/>
              <w:jc w:val="center"/>
              <w:rPr>
                <w:rFonts w:cs="Arial"/>
                <w:sz w:val="18"/>
              </w:rPr>
            </w:pPr>
            <w:r w:rsidRPr="00436201">
              <w:rPr>
                <w:rFonts w:cs="Arial"/>
                <w:sz w:val="18"/>
              </w:rPr>
              <w:t>326</w:t>
            </w:r>
          </w:p>
        </w:tc>
        <w:tc>
          <w:tcPr>
            <w:tcW w:w="600" w:type="pct"/>
            <w:tcBorders>
              <w:top w:val="single" w:sz="12" w:space="0" w:color="auto"/>
              <w:left w:val="single" w:sz="4" w:space="0" w:color="auto"/>
              <w:bottom w:val="single" w:sz="12" w:space="0" w:color="auto"/>
              <w:right w:val="single" w:sz="12" w:space="0" w:color="auto"/>
            </w:tcBorders>
            <w:vAlign w:val="center"/>
          </w:tcPr>
          <w:p w:rsidR="005A63D9" w:rsidRPr="00436201" w:rsidRDefault="005A63D9" w:rsidP="00AE604E">
            <w:pPr>
              <w:pStyle w:val="ZDROJovan"/>
              <w:spacing w:after="144" w:line="288" w:lineRule="auto"/>
              <w:jc w:val="center"/>
              <w:rPr>
                <w:rFonts w:cs="Arial"/>
                <w:sz w:val="18"/>
              </w:rPr>
            </w:pPr>
            <w:r w:rsidRPr="00436201">
              <w:rPr>
                <w:rFonts w:cs="Arial"/>
                <w:sz w:val="18"/>
              </w:rPr>
              <w:t>322</w:t>
            </w:r>
          </w:p>
        </w:tc>
      </w:tr>
    </w:tbl>
    <w:p w:rsidR="005A63D9" w:rsidRPr="00762A77" w:rsidRDefault="005A63D9" w:rsidP="0008405A">
      <w:pPr>
        <w:pStyle w:val="ZDROJovan"/>
        <w:spacing w:after="144" w:line="288" w:lineRule="auto"/>
        <w:jc w:val="both"/>
      </w:pPr>
      <w:r w:rsidRPr="00AE604E">
        <w:t>Zdroj: Potsdam Institut für Klimafolgenforschung; Forschungjahresbericht 2014</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442A0C" w:rsidRDefault="005A63D9" w:rsidP="00442A0C">
      <w:pPr>
        <w:pStyle w:val="Heading3"/>
        <w:keepNext/>
        <w:spacing w:before="240" w:afterLines="0" w:line="240" w:lineRule="auto"/>
        <w:contextualSpacing w:val="0"/>
        <w:rPr>
          <w:bCs/>
          <w:shd w:val="clear" w:color="auto" w:fill="FFFFFF"/>
          <w:lang/>
        </w:rPr>
      </w:pPr>
      <w:bookmarkStart w:id="135" w:name="_Toc440897432"/>
      <w:bookmarkStart w:id="136" w:name="_Toc441760834"/>
      <w:bookmarkStart w:id="137" w:name="_Toc441849497"/>
      <w:r w:rsidRPr="00442A0C">
        <w:rPr>
          <w:bCs/>
          <w:shd w:val="clear" w:color="auto" w:fill="FFFFFF"/>
          <w:lang/>
        </w:rPr>
        <w:t>Německé výzkumné společenství</w:t>
      </w:r>
      <w:bookmarkEnd w:id="135"/>
      <w:bookmarkEnd w:id="136"/>
      <w:bookmarkEnd w:id="137"/>
    </w:p>
    <w:p w:rsidR="005A63D9" w:rsidRPr="003F5DCD" w:rsidRDefault="005A63D9" w:rsidP="0008405A">
      <w:pPr>
        <w:spacing w:after="144"/>
        <w:jc w:val="both"/>
        <w:rPr>
          <w:lang w:eastAsia="cs-CZ"/>
        </w:rPr>
      </w:pPr>
      <w:r w:rsidRPr="003F5DCD">
        <w:rPr>
          <w:lang w:eastAsia="cs-CZ"/>
        </w:rPr>
        <w:t>(Deutsche Forschungsgemeinschaft, DFG –</w:t>
      </w:r>
      <w:r w:rsidRPr="00BE7FB5">
        <w:rPr>
          <w:lang w:eastAsia="cs-CZ"/>
        </w:rPr>
        <w:t xml:space="preserve"> </w:t>
      </w:r>
      <w:r w:rsidRPr="003F5DCD">
        <w:rPr>
          <w:lang w:eastAsia="cs-CZ"/>
        </w:rPr>
        <w:t>www.dfg.de)</w:t>
      </w:r>
    </w:p>
    <w:p w:rsidR="005A63D9" w:rsidRPr="003F5DCD" w:rsidRDefault="005A63D9" w:rsidP="003F5DCD">
      <w:pPr>
        <w:widowControl w:val="0"/>
        <w:adjustRightInd w:val="0"/>
        <w:spacing w:afterLines="0"/>
        <w:ind w:firstLine="539"/>
        <w:contextualSpacing w:val="0"/>
        <w:jc w:val="both"/>
        <w:textAlignment w:val="baseline"/>
        <w:rPr>
          <w:color w:val="000000"/>
          <w:shd w:val="clear" w:color="auto" w:fill="FFFFFF"/>
          <w:lang w:eastAsia="cs-CZ"/>
        </w:rPr>
      </w:pPr>
      <w:r w:rsidRPr="003F5DCD">
        <w:rPr>
          <w:color w:val="000000"/>
          <w:shd w:val="clear" w:color="auto" w:fill="FFFFFF"/>
          <w:lang w:eastAsia="cs-CZ"/>
        </w:rPr>
        <w:t>DFG je velkou agenturou pro podporu zejména základního výzkumu na vysokých školách. DFG používá následující nástroje podpory:</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Standardní projekty bez tematického omezení</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Graduační školy</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Klastry excelence</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Zvláštní oblasti výzkumu</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Projekty Transregios</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Výzkumná centra</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Prioritní programy</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Výzkumné skupiny</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Skupiny pro klinický výzkum</w:t>
      </w:r>
    </w:p>
    <w:p w:rsidR="005A63D9" w:rsidRPr="00883685" w:rsidRDefault="005A63D9" w:rsidP="0088368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883685">
        <w:rPr>
          <w:color w:val="000000"/>
          <w:shd w:val="clear" w:color="auto" w:fill="FFFFFF"/>
          <w:lang w:eastAsia="cs-CZ"/>
        </w:rPr>
        <w:t>Graduační kolegia</w:t>
      </w:r>
    </w:p>
    <w:p w:rsidR="005A63D9" w:rsidRDefault="005A63D9" w:rsidP="00883685">
      <w:pPr>
        <w:widowControl w:val="0"/>
        <w:adjustRightInd w:val="0"/>
        <w:spacing w:afterLines="0"/>
        <w:ind w:firstLine="539"/>
        <w:contextualSpacing w:val="0"/>
        <w:jc w:val="both"/>
        <w:textAlignment w:val="baseline"/>
        <w:rPr>
          <w:color w:val="000000"/>
          <w:shd w:val="clear" w:color="auto" w:fill="FFFFFF"/>
          <w:lang w:eastAsia="cs-CZ"/>
        </w:rPr>
      </w:pPr>
      <w:r w:rsidRPr="00883685">
        <w:rPr>
          <w:color w:val="000000"/>
          <w:shd w:val="clear" w:color="auto" w:fill="FFFFFF"/>
          <w:lang w:eastAsia="cs-CZ"/>
        </w:rPr>
        <w:t>Ze seznamu podpor poskytovaných v roce 2014 vyplývá, že výzkum problematiky životního prostředí byl podpořen jen některými nástroji.</w:t>
      </w:r>
    </w:p>
    <w:p w:rsidR="005A63D9" w:rsidRPr="00AB1549" w:rsidRDefault="005A63D9" w:rsidP="00AB1549">
      <w:pPr>
        <w:widowControl w:val="0"/>
        <w:adjustRightInd w:val="0"/>
        <w:spacing w:afterLines="0"/>
        <w:contextualSpacing w:val="0"/>
        <w:jc w:val="both"/>
        <w:textAlignment w:val="baseline"/>
        <w:rPr>
          <w:color w:val="000000"/>
          <w:shd w:val="clear" w:color="auto" w:fill="FFFFFF"/>
          <w:lang w:eastAsia="cs-CZ"/>
        </w:rPr>
      </w:pPr>
      <w:r w:rsidRPr="00AB1549">
        <w:rPr>
          <w:b/>
          <w:color w:val="000000"/>
          <w:shd w:val="clear" w:color="auto" w:fill="FFFFFF"/>
          <w:lang w:eastAsia="cs-CZ"/>
        </w:rPr>
        <w:t>Klastry excelence</w:t>
      </w:r>
      <w:r w:rsidRPr="00AB1549">
        <w:rPr>
          <w:color w:val="000000"/>
          <w:shd w:val="clear" w:color="auto" w:fill="FFFFFF"/>
          <w:lang w:eastAsia="cs-CZ"/>
        </w:rPr>
        <w:t>; v roce 2014 bylo podpořeno celkem 49 klastrů, z toho jeden z oblasti životního prostředí:</w:t>
      </w:r>
    </w:p>
    <w:p w:rsidR="005A63D9" w:rsidRPr="00AB1549" w:rsidRDefault="005A63D9" w:rsidP="00AB154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B1549">
        <w:rPr>
          <w:color w:val="000000"/>
          <w:shd w:val="clear" w:color="auto" w:fill="FFFFFF"/>
          <w:lang w:eastAsia="cs-CZ"/>
        </w:rPr>
        <w:t>Výzkum atmosféry a moří, podpora je poskytována od roku 2006.</w:t>
      </w:r>
    </w:p>
    <w:p w:rsidR="005A63D9" w:rsidRPr="00AB1549" w:rsidRDefault="005A63D9" w:rsidP="00AB1549">
      <w:pPr>
        <w:widowControl w:val="0"/>
        <w:adjustRightInd w:val="0"/>
        <w:spacing w:afterLines="0"/>
        <w:contextualSpacing w:val="0"/>
        <w:jc w:val="both"/>
        <w:textAlignment w:val="baseline"/>
        <w:rPr>
          <w:color w:val="000000"/>
          <w:shd w:val="clear" w:color="auto" w:fill="FFFFFF"/>
          <w:lang w:eastAsia="cs-CZ"/>
        </w:rPr>
      </w:pPr>
      <w:r w:rsidRPr="00AB1549">
        <w:rPr>
          <w:b/>
          <w:color w:val="000000"/>
          <w:shd w:val="clear" w:color="auto" w:fill="FFFFFF"/>
          <w:lang w:eastAsia="cs-CZ"/>
        </w:rPr>
        <w:t xml:space="preserve">Zvláštní oblasti výzkumu; </w:t>
      </w:r>
      <w:r w:rsidRPr="00AB1549">
        <w:rPr>
          <w:color w:val="000000"/>
          <w:shd w:val="clear" w:color="auto" w:fill="FFFFFF"/>
          <w:lang w:eastAsia="cs-CZ"/>
        </w:rPr>
        <w:t>v roce 2014 podpořeno celkem 182 oblastí (projektů), z toho dva</w:t>
      </w:r>
      <w:r>
        <w:rPr>
          <w:color w:val="000000"/>
          <w:shd w:val="clear" w:color="auto" w:fill="FFFFFF"/>
          <w:lang w:eastAsia="cs-CZ"/>
        </w:rPr>
        <w:t> </w:t>
      </w:r>
      <w:r w:rsidRPr="00AB1549">
        <w:rPr>
          <w:color w:val="000000"/>
          <w:shd w:val="clear" w:color="auto" w:fill="FFFFFF"/>
          <w:lang w:eastAsia="cs-CZ"/>
        </w:rPr>
        <w:t>z oblasti životního prostředí:</w:t>
      </w:r>
    </w:p>
    <w:p w:rsidR="005A63D9" w:rsidRPr="00AB1549" w:rsidRDefault="005A63D9" w:rsidP="00AB154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B1549">
        <w:rPr>
          <w:color w:val="000000"/>
          <w:shd w:val="clear" w:color="auto" w:fill="FFFFFF"/>
          <w:lang w:eastAsia="cs-CZ"/>
        </w:rPr>
        <w:t>Ekologické a socioekonomické funkce tropických deštných pralesů – systémy v transformaci (Sumatra, Indonésie). Podpora je poskytována od roku 2012;</w:t>
      </w:r>
    </w:p>
    <w:p w:rsidR="005A63D9" w:rsidRPr="00AB1549" w:rsidRDefault="005A63D9" w:rsidP="00AB154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B1549">
        <w:rPr>
          <w:color w:val="000000"/>
          <w:shd w:val="clear" w:color="auto" w:fill="FFFFFF"/>
          <w:lang w:eastAsia="cs-CZ"/>
        </w:rPr>
        <w:t xml:space="preserve">Vzájemné účinky klimatu </w:t>
      </w:r>
      <w:r>
        <w:rPr>
          <w:color w:val="000000"/>
          <w:shd w:val="clear" w:color="auto" w:fill="FFFFFF"/>
          <w:lang w:eastAsia="cs-CZ"/>
        </w:rPr>
        <w:t xml:space="preserve">a </w:t>
      </w:r>
      <w:r w:rsidRPr="00AB1549">
        <w:rPr>
          <w:color w:val="000000"/>
          <w:shd w:val="clear" w:color="auto" w:fill="FFFFFF"/>
          <w:lang w:eastAsia="cs-CZ"/>
        </w:rPr>
        <w:t>bio-geochemie v tropických oceánech. Podpora je poskytována od roku 2008.</w:t>
      </w:r>
    </w:p>
    <w:p w:rsidR="005A63D9" w:rsidRPr="004E1848" w:rsidRDefault="005A63D9" w:rsidP="004E1848">
      <w:pPr>
        <w:widowControl w:val="0"/>
        <w:adjustRightInd w:val="0"/>
        <w:spacing w:afterLines="0"/>
        <w:contextualSpacing w:val="0"/>
        <w:jc w:val="both"/>
        <w:textAlignment w:val="baseline"/>
        <w:rPr>
          <w:color w:val="000000"/>
          <w:shd w:val="clear" w:color="auto" w:fill="FFFFFF"/>
          <w:lang w:eastAsia="cs-CZ"/>
        </w:rPr>
      </w:pPr>
      <w:r w:rsidRPr="004E1848">
        <w:rPr>
          <w:b/>
          <w:color w:val="000000"/>
          <w:shd w:val="clear" w:color="auto" w:fill="FFFFFF"/>
          <w:lang w:eastAsia="cs-CZ"/>
        </w:rPr>
        <w:t xml:space="preserve">Výzkumná centra; </w:t>
      </w:r>
      <w:r w:rsidRPr="004E1848">
        <w:rPr>
          <w:color w:val="000000"/>
          <w:shd w:val="clear" w:color="auto" w:fill="FFFFFF"/>
          <w:lang w:eastAsia="cs-CZ"/>
        </w:rPr>
        <w:t>v roce 2014 podpořena celkem 4 centra, z toho jedno z oblasti ŽP:</w:t>
      </w:r>
    </w:p>
    <w:p w:rsidR="005A63D9" w:rsidRPr="004E1848" w:rsidRDefault="005A63D9" w:rsidP="004E1848">
      <w:pPr>
        <w:widowControl w:val="0"/>
        <w:adjustRightInd w:val="0"/>
        <w:spacing w:afterLines="0"/>
        <w:contextualSpacing w:val="0"/>
        <w:jc w:val="both"/>
        <w:textAlignment w:val="baseline"/>
        <w:rPr>
          <w:color w:val="000000"/>
          <w:shd w:val="clear" w:color="auto" w:fill="FFFFFF"/>
          <w:lang w:eastAsia="cs-CZ"/>
        </w:rPr>
      </w:pPr>
      <w:r w:rsidRPr="004E1848">
        <w:rPr>
          <w:color w:val="000000"/>
          <w:shd w:val="clear" w:color="auto" w:fill="FFFFFF"/>
          <w:lang w:eastAsia="cs-CZ"/>
        </w:rPr>
        <w:t>German Centre for Integrative Biodiversity Research. Podpora je poskytována od roku 2012.</w:t>
      </w:r>
    </w:p>
    <w:p w:rsidR="005A63D9" w:rsidRPr="004E1848" w:rsidRDefault="005A63D9" w:rsidP="00084C97">
      <w:pPr>
        <w:keepLines/>
        <w:widowControl w:val="0"/>
        <w:adjustRightInd w:val="0"/>
        <w:spacing w:afterLines="0"/>
        <w:contextualSpacing w:val="0"/>
        <w:jc w:val="both"/>
        <w:textAlignment w:val="baseline"/>
        <w:rPr>
          <w:color w:val="000000"/>
          <w:shd w:val="clear" w:color="auto" w:fill="FFFFFF"/>
          <w:lang w:eastAsia="cs-CZ"/>
        </w:rPr>
      </w:pPr>
      <w:r w:rsidRPr="004E1848">
        <w:rPr>
          <w:b/>
          <w:color w:val="000000"/>
          <w:shd w:val="clear" w:color="auto" w:fill="FFFFFF"/>
          <w:lang w:eastAsia="cs-CZ"/>
        </w:rPr>
        <w:t xml:space="preserve">Prioritní programy; </w:t>
      </w:r>
      <w:r w:rsidRPr="004E1848">
        <w:rPr>
          <w:color w:val="000000"/>
          <w:shd w:val="clear" w:color="auto" w:fill="FFFFFF"/>
          <w:lang w:eastAsia="cs-CZ"/>
        </w:rPr>
        <w:t>v roce 2014 podpořeno celkem 105 pri</w:t>
      </w:r>
      <w:r>
        <w:rPr>
          <w:color w:val="000000"/>
          <w:shd w:val="clear" w:color="auto" w:fill="FFFFFF"/>
          <w:lang w:eastAsia="cs-CZ"/>
        </w:rPr>
        <w:t>oritních programů, z toho pět z </w:t>
      </w:r>
      <w:r w:rsidRPr="004E1848">
        <w:rPr>
          <w:color w:val="000000"/>
          <w:shd w:val="clear" w:color="auto" w:fill="FFFFFF"/>
          <w:lang w:eastAsia="cs-CZ"/>
        </w:rPr>
        <w:t>oblasti ŽP:</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Flexibilita rozhoduje: souhra funkční diverzity a ekologické dynamiky ve vodních společenstvích živočichů a rostlin. Podpora se poskytuje od roku 2014;</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Oživení ekosystémů: lesní strategie pro postupy s omezenými zdroji fosforu. Podpora je poskytována od roku 2013;</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Climate Engineering: rizika, požadavky, možnosti. Podpora je poskytována od roku 2013;</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Tibetan Plateau: formace, klima, ekosystémy. Podpora je poskytována od roku 2008;</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Ohnivzdornost – iniciativy pro snížení emisí. Podpora je poskytována od roku 2009.</w:t>
      </w:r>
    </w:p>
    <w:p w:rsidR="005A63D9" w:rsidRPr="004E1848" w:rsidRDefault="005A63D9" w:rsidP="004E1848">
      <w:pPr>
        <w:widowControl w:val="0"/>
        <w:adjustRightInd w:val="0"/>
        <w:spacing w:afterLines="0"/>
        <w:contextualSpacing w:val="0"/>
        <w:jc w:val="both"/>
        <w:textAlignment w:val="baseline"/>
        <w:rPr>
          <w:color w:val="000000"/>
          <w:shd w:val="clear" w:color="auto" w:fill="FFFFFF"/>
          <w:lang w:eastAsia="cs-CZ"/>
        </w:rPr>
      </w:pPr>
      <w:r w:rsidRPr="004E1848">
        <w:rPr>
          <w:b/>
          <w:color w:val="000000"/>
          <w:shd w:val="clear" w:color="auto" w:fill="FFFFFF"/>
          <w:lang w:eastAsia="cs-CZ"/>
        </w:rPr>
        <w:t xml:space="preserve">Graduační kolegia, </w:t>
      </w:r>
      <w:r w:rsidRPr="004E1848">
        <w:rPr>
          <w:color w:val="000000"/>
          <w:shd w:val="clear" w:color="auto" w:fill="FFFFFF"/>
          <w:lang w:eastAsia="cs-CZ"/>
        </w:rPr>
        <w:t xml:space="preserve">v roce 2014 podpořeno celkem 240 </w:t>
      </w:r>
      <w:r>
        <w:rPr>
          <w:color w:val="000000"/>
          <w:shd w:val="clear" w:color="auto" w:fill="FFFFFF"/>
          <w:lang w:eastAsia="cs-CZ"/>
        </w:rPr>
        <w:t>graduačních kolegií, z toho 7 z </w:t>
      </w:r>
      <w:r w:rsidRPr="004E1848">
        <w:rPr>
          <w:color w:val="000000"/>
          <w:shd w:val="clear" w:color="auto" w:fill="FFFFFF"/>
          <w:lang w:eastAsia="cs-CZ"/>
        </w:rPr>
        <w:t>oblasti ŽP:</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ArcTrain – Procesy a účinky změn klimatu v Severoatlatickém oceánu a v kanadské Arktidě. Podpora je poskytována od roku 2013;</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 xml:space="preserve">Efektivnost zdrojů v podnikatelských sítích </w:t>
      </w:r>
      <w:r>
        <w:rPr>
          <w:color w:val="000000"/>
          <w:shd w:val="clear" w:color="auto" w:fill="FFFFFF"/>
          <w:lang w:eastAsia="cs-CZ"/>
        </w:rPr>
        <w:t>– Metody podnikového a </w:t>
      </w:r>
      <w:r w:rsidRPr="004E1848">
        <w:rPr>
          <w:color w:val="000000"/>
          <w:shd w:val="clear" w:color="auto" w:fill="FFFFFF"/>
          <w:lang w:eastAsia="cs-CZ"/>
        </w:rPr>
        <w:t>nadpodnikového plánování využití obnovitelných surovin. Podpora je poskytována od roku 2012;</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Integrované modelování hydrosystémů. Podpora je poskytována od roku 2012;</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Zlepšení tvorby a užití norem v integrované ochraně přírody kooperací právních a přírodních věd. Podpora je poskytována v období 2006 až 2015;</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Vzájemné vztahy tektoniky, klimatu a biosféry v afro-asijské monzunové oblasti. Podpora je poskytována v období 2006 až 2015;</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Řízení hospodaření s humusem a živinami v ekologickém zemědělství. Podpora je poskytována v období 2007 až 2015;</w:t>
      </w:r>
    </w:p>
    <w:p w:rsidR="005A63D9" w:rsidRPr="004E1848" w:rsidRDefault="005A63D9" w:rsidP="004E1848">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E1848">
        <w:rPr>
          <w:color w:val="000000"/>
          <w:shd w:val="clear" w:color="auto" w:fill="FFFFFF"/>
          <w:lang w:eastAsia="cs-CZ"/>
        </w:rPr>
        <w:t>INTERCOAST – Integrovaný výzkum pobřeží a šelfových moří. Podpora je poskytována od roku 2009.</w:t>
      </w:r>
    </w:p>
    <w:p w:rsidR="005A63D9" w:rsidRDefault="005A63D9" w:rsidP="0008405A">
      <w:pPr>
        <w:spacing w:afterLines="0"/>
        <w:contextualSpacing w:val="0"/>
        <w:jc w:val="both"/>
        <w:rPr>
          <w:rFonts w:cs="Tahoma"/>
          <w:color w:val="000000"/>
          <w:lang w:val="nl-BE"/>
        </w:rPr>
      </w:pPr>
      <w:r>
        <w:rPr>
          <w:rFonts w:cs="Tahoma"/>
          <w:color w:val="000000"/>
          <w:lang w:val="nl-BE"/>
        </w:rPr>
        <w:br w:type="page"/>
      </w:r>
    </w:p>
    <w:p w:rsidR="005A63D9" w:rsidRPr="0098492B" w:rsidRDefault="005A63D9" w:rsidP="0098492B">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138" w:name="_Toc440897433"/>
      <w:bookmarkStart w:id="139" w:name="_Toc441760835"/>
      <w:bookmarkStart w:id="140" w:name="_Toc441849498"/>
      <w:r w:rsidRPr="0098492B">
        <w:rPr>
          <w:rFonts w:cs="Arial"/>
          <w:bCs/>
          <w:color w:val="000000"/>
          <w:kern w:val="32"/>
          <w:szCs w:val="32"/>
          <w:shd w:val="clear" w:color="auto" w:fill="FFFFFF"/>
          <w:lang/>
        </w:rPr>
        <w:t>5. Velká Británie</w:t>
      </w:r>
      <w:bookmarkEnd w:id="138"/>
      <w:bookmarkEnd w:id="139"/>
      <w:bookmarkEnd w:id="140"/>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Systém podpory VaV ve Velké Británii je relativně</w:t>
      </w:r>
      <w:r>
        <w:rPr>
          <w:color w:val="000000"/>
          <w:shd w:val="clear" w:color="auto" w:fill="FFFFFF"/>
          <w:lang w:eastAsia="cs-CZ"/>
        </w:rPr>
        <w:t xml:space="preserve"> komplikovaný především tím, že </w:t>
      </w:r>
      <w:r w:rsidRPr="0098492B">
        <w:rPr>
          <w:color w:val="000000"/>
          <w:shd w:val="clear" w:color="auto" w:fill="FFFFFF"/>
          <w:lang w:eastAsia="cs-CZ"/>
        </w:rPr>
        <w:t>kompetitivní podporu především základního výzkumu poskytuje několik Rad pro výzkum (Research Councils) a dále Fondy pro podporu vysokých škol ve všech zemích Spojeného království. V Anglii je to HEFCE (Higher Education Founding Council of England).</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HEFCE a obdobné instituce v Severním Irsku, Skotsku a Walesu jsou nevládními veřejnými organizacemi (non-departmenal public body – NDPD). Tyto fondy jsou financovány z rozpočtu Ministerstva pro podnikání, inovace a dovednosti (BIS). Prostředky pro fondy jsou v rozpočtu ministerstva účelově vázány zákonem. To samé platí i pro Rady pro výzkum. Prostředky HEFCE jsou rozdělovány grantovým systémem na výuku, výzkum, transfer poznatků a některé další účely.</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Ve Velké Británii je důsledně dodržován systém finančních toků. Většinu statistik zpracovávají věcně příslušná ministerstva.</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p>
    <w:p w:rsidR="005A63D9" w:rsidRPr="0098492B" w:rsidRDefault="005A63D9" w:rsidP="0098492B">
      <w:pPr>
        <w:widowControl w:val="0"/>
        <w:adjustRightInd w:val="0"/>
        <w:spacing w:afterLines="0"/>
        <w:contextualSpacing w:val="0"/>
        <w:jc w:val="both"/>
        <w:textAlignment w:val="baseline"/>
        <w:rPr>
          <w:color w:val="000000"/>
          <w:shd w:val="clear" w:color="auto" w:fill="FFFFFF"/>
          <w:lang w:eastAsia="cs-CZ"/>
        </w:rPr>
      </w:pPr>
      <w:r w:rsidRPr="0098492B">
        <w:rPr>
          <w:b/>
          <w:color w:val="000000"/>
          <w:shd w:val="clear" w:color="auto" w:fill="FFFFFF"/>
          <w:lang w:eastAsia="cs-CZ"/>
        </w:rPr>
        <w:t xml:space="preserve">Tab. č. 25 </w:t>
      </w:r>
      <w:r w:rsidRPr="0098492B">
        <w:rPr>
          <w:color w:val="000000"/>
          <w:shd w:val="clear" w:color="auto" w:fill="FFFFFF"/>
          <w:lang w:eastAsia="cs-CZ"/>
        </w:rPr>
        <w:t>Výdaje HEFCE (mld.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651"/>
        <w:gridCol w:w="1659"/>
        <w:gridCol w:w="1659"/>
        <w:gridCol w:w="1659"/>
        <w:gridCol w:w="1659"/>
      </w:tblGrid>
      <w:tr w:rsidR="005A63D9" w:rsidRPr="00E27ED8" w:rsidTr="00510C04">
        <w:tc>
          <w:tcPr>
            <w:tcW w:w="1428" w:type="pct"/>
            <w:tcBorders>
              <w:top w:val="single" w:sz="12" w:space="0" w:color="auto"/>
              <w:bottom w:val="double" w:sz="4" w:space="0" w:color="auto"/>
              <w:right w:val="single" w:sz="12" w:space="0" w:color="auto"/>
            </w:tcBorders>
            <w:shd w:val="clear" w:color="auto" w:fill="BFBFBF"/>
          </w:tcPr>
          <w:p w:rsidR="005A63D9" w:rsidRPr="00E27ED8" w:rsidRDefault="005A63D9" w:rsidP="0008405A">
            <w:pPr>
              <w:spacing w:after="144"/>
              <w:jc w:val="both"/>
              <w:rPr>
                <w:sz w:val="20"/>
                <w:szCs w:val="20"/>
              </w:rPr>
            </w:pPr>
          </w:p>
        </w:tc>
        <w:tc>
          <w:tcPr>
            <w:tcW w:w="893" w:type="pct"/>
            <w:tcBorders>
              <w:top w:val="single" w:sz="12" w:space="0" w:color="auto"/>
              <w:left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2012–2013</w:t>
            </w:r>
          </w:p>
        </w:tc>
        <w:tc>
          <w:tcPr>
            <w:tcW w:w="893"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2013–2014</w:t>
            </w:r>
          </w:p>
        </w:tc>
        <w:tc>
          <w:tcPr>
            <w:tcW w:w="893"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2014–2015</w:t>
            </w:r>
          </w:p>
        </w:tc>
        <w:tc>
          <w:tcPr>
            <w:tcW w:w="893"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2015–2016</w:t>
            </w:r>
          </w:p>
        </w:tc>
      </w:tr>
      <w:tr w:rsidR="005A63D9" w:rsidRPr="00E27ED8" w:rsidTr="00510C04">
        <w:tc>
          <w:tcPr>
            <w:tcW w:w="1428" w:type="pct"/>
            <w:tcBorders>
              <w:top w:val="double" w:sz="4" w:space="0" w:color="auto"/>
              <w:right w:val="single" w:sz="12" w:space="0" w:color="auto"/>
            </w:tcBorders>
          </w:tcPr>
          <w:p w:rsidR="005A63D9" w:rsidRPr="00E27ED8" w:rsidRDefault="005A63D9" w:rsidP="0008405A">
            <w:pPr>
              <w:spacing w:after="144"/>
              <w:jc w:val="both"/>
              <w:rPr>
                <w:sz w:val="20"/>
                <w:szCs w:val="20"/>
              </w:rPr>
            </w:pPr>
            <w:r w:rsidRPr="00E27ED8">
              <w:rPr>
                <w:sz w:val="20"/>
                <w:szCs w:val="20"/>
              </w:rPr>
              <w:t>Výuka</w:t>
            </w:r>
          </w:p>
        </w:tc>
        <w:tc>
          <w:tcPr>
            <w:tcW w:w="893" w:type="pct"/>
            <w:tcBorders>
              <w:top w:val="double" w:sz="4" w:space="0" w:color="auto"/>
              <w:left w:val="single" w:sz="12" w:space="0" w:color="auto"/>
            </w:tcBorders>
          </w:tcPr>
          <w:p w:rsidR="005A63D9" w:rsidRPr="00E27ED8" w:rsidRDefault="005A63D9" w:rsidP="00221B9C">
            <w:pPr>
              <w:spacing w:after="144"/>
              <w:jc w:val="center"/>
              <w:rPr>
                <w:sz w:val="20"/>
                <w:szCs w:val="20"/>
              </w:rPr>
            </w:pPr>
            <w:r w:rsidRPr="00E27ED8">
              <w:rPr>
                <w:sz w:val="20"/>
                <w:szCs w:val="20"/>
              </w:rPr>
              <w:t>3,222</w:t>
            </w:r>
          </w:p>
        </w:tc>
        <w:tc>
          <w:tcPr>
            <w:tcW w:w="893" w:type="pct"/>
            <w:tcBorders>
              <w:top w:val="double" w:sz="4" w:space="0" w:color="auto"/>
            </w:tcBorders>
          </w:tcPr>
          <w:p w:rsidR="005A63D9" w:rsidRPr="00E27ED8" w:rsidRDefault="005A63D9" w:rsidP="00221B9C">
            <w:pPr>
              <w:spacing w:after="144"/>
              <w:jc w:val="center"/>
              <w:rPr>
                <w:sz w:val="20"/>
                <w:szCs w:val="20"/>
              </w:rPr>
            </w:pPr>
            <w:r w:rsidRPr="00E27ED8">
              <w:rPr>
                <w:sz w:val="20"/>
                <w:szCs w:val="20"/>
              </w:rPr>
              <w:t>2,331</w:t>
            </w:r>
          </w:p>
        </w:tc>
        <w:tc>
          <w:tcPr>
            <w:tcW w:w="893" w:type="pct"/>
            <w:tcBorders>
              <w:top w:val="double" w:sz="4" w:space="0" w:color="auto"/>
            </w:tcBorders>
          </w:tcPr>
          <w:p w:rsidR="005A63D9" w:rsidRPr="00E27ED8" w:rsidRDefault="005A63D9" w:rsidP="00221B9C">
            <w:pPr>
              <w:spacing w:after="144"/>
              <w:jc w:val="center"/>
              <w:rPr>
                <w:sz w:val="20"/>
                <w:szCs w:val="20"/>
              </w:rPr>
            </w:pPr>
            <w:r w:rsidRPr="00E27ED8">
              <w:rPr>
                <w:sz w:val="20"/>
                <w:szCs w:val="20"/>
              </w:rPr>
              <w:t>1,576</w:t>
            </w:r>
          </w:p>
        </w:tc>
        <w:tc>
          <w:tcPr>
            <w:tcW w:w="893" w:type="pct"/>
            <w:tcBorders>
              <w:top w:val="double" w:sz="4" w:space="0" w:color="auto"/>
            </w:tcBorders>
          </w:tcPr>
          <w:p w:rsidR="005A63D9" w:rsidRPr="00E27ED8" w:rsidRDefault="005A63D9" w:rsidP="00221B9C">
            <w:pPr>
              <w:spacing w:after="144"/>
              <w:jc w:val="center"/>
              <w:rPr>
                <w:sz w:val="20"/>
                <w:szCs w:val="20"/>
              </w:rPr>
            </w:pPr>
            <w:r w:rsidRPr="00E27ED8">
              <w:rPr>
                <w:sz w:val="20"/>
                <w:szCs w:val="20"/>
              </w:rPr>
              <w:t>1,418</w:t>
            </w:r>
          </w:p>
        </w:tc>
      </w:tr>
      <w:tr w:rsidR="005A63D9" w:rsidRPr="00E27ED8" w:rsidTr="00510C04">
        <w:tc>
          <w:tcPr>
            <w:tcW w:w="1428" w:type="pct"/>
            <w:tcBorders>
              <w:right w:val="single" w:sz="12" w:space="0" w:color="auto"/>
            </w:tcBorders>
          </w:tcPr>
          <w:p w:rsidR="005A63D9" w:rsidRPr="00E27ED8" w:rsidRDefault="005A63D9" w:rsidP="0008405A">
            <w:pPr>
              <w:spacing w:after="144"/>
              <w:jc w:val="both"/>
              <w:rPr>
                <w:sz w:val="20"/>
                <w:szCs w:val="20"/>
              </w:rPr>
            </w:pPr>
            <w:r w:rsidRPr="00E27ED8">
              <w:rPr>
                <w:sz w:val="20"/>
                <w:szCs w:val="20"/>
              </w:rPr>
              <w:t>Výzkum</w:t>
            </w:r>
          </w:p>
        </w:tc>
        <w:tc>
          <w:tcPr>
            <w:tcW w:w="893" w:type="pct"/>
            <w:tcBorders>
              <w:left w:val="single" w:sz="12" w:space="0" w:color="auto"/>
            </w:tcBorders>
          </w:tcPr>
          <w:p w:rsidR="005A63D9" w:rsidRPr="00E27ED8" w:rsidRDefault="005A63D9" w:rsidP="00221B9C">
            <w:pPr>
              <w:spacing w:after="144"/>
              <w:jc w:val="center"/>
              <w:rPr>
                <w:sz w:val="20"/>
                <w:szCs w:val="20"/>
              </w:rPr>
            </w:pPr>
            <w:r w:rsidRPr="00E27ED8">
              <w:rPr>
                <w:sz w:val="20"/>
                <w:szCs w:val="20"/>
              </w:rPr>
              <w:t>1,557</w:t>
            </w:r>
          </w:p>
        </w:tc>
        <w:tc>
          <w:tcPr>
            <w:tcW w:w="893" w:type="pct"/>
          </w:tcPr>
          <w:p w:rsidR="005A63D9" w:rsidRPr="00E27ED8" w:rsidRDefault="005A63D9" w:rsidP="00221B9C">
            <w:pPr>
              <w:spacing w:after="144"/>
              <w:jc w:val="center"/>
              <w:rPr>
                <w:sz w:val="20"/>
                <w:szCs w:val="20"/>
              </w:rPr>
            </w:pPr>
            <w:r w:rsidRPr="00E27ED8">
              <w:rPr>
                <w:sz w:val="20"/>
                <w:szCs w:val="20"/>
              </w:rPr>
              <w:t>1,558</w:t>
            </w:r>
          </w:p>
        </w:tc>
        <w:tc>
          <w:tcPr>
            <w:tcW w:w="893" w:type="pct"/>
          </w:tcPr>
          <w:p w:rsidR="005A63D9" w:rsidRPr="00E27ED8" w:rsidRDefault="005A63D9" w:rsidP="00221B9C">
            <w:pPr>
              <w:spacing w:after="144"/>
              <w:jc w:val="center"/>
              <w:rPr>
                <w:sz w:val="20"/>
                <w:szCs w:val="20"/>
              </w:rPr>
            </w:pPr>
            <w:r w:rsidRPr="00E27ED8">
              <w:rPr>
                <w:sz w:val="20"/>
                <w:szCs w:val="20"/>
              </w:rPr>
              <w:t>1,558</w:t>
            </w:r>
          </w:p>
        </w:tc>
        <w:tc>
          <w:tcPr>
            <w:tcW w:w="893" w:type="pct"/>
          </w:tcPr>
          <w:p w:rsidR="005A63D9" w:rsidRPr="00E27ED8" w:rsidRDefault="005A63D9" w:rsidP="00221B9C">
            <w:pPr>
              <w:spacing w:after="144"/>
              <w:jc w:val="center"/>
              <w:rPr>
                <w:sz w:val="20"/>
                <w:szCs w:val="20"/>
              </w:rPr>
            </w:pPr>
            <w:r w:rsidRPr="00E27ED8">
              <w:rPr>
                <w:sz w:val="20"/>
                <w:szCs w:val="20"/>
              </w:rPr>
              <w:t>1,558</w:t>
            </w:r>
          </w:p>
        </w:tc>
      </w:tr>
      <w:tr w:rsidR="005A63D9" w:rsidRPr="00E27ED8" w:rsidTr="00510C04">
        <w:tc>
          <w:tcPr>
            <w:tcW w:w="1428" w:type="pct"/>
            <w:tcBorders>
              <w:right w:val="single" w:sz="12" w:space="0" w:color="auto"/>
            </w:tcBorders>
          </w:tcPr>
          <w:p w:rsidR="005A63D9" w:rsidRPr="00E27ED8" w:rsidRDefault="005A63D9" w:rsidP="0008405A">
            <w:pPr>
              <w:spacing w:after="144"/>
              <w:jc w:val="both"/>
              <w:rPr>
                <w:sz w:val="20"/>
                <w:szCs w:val="20"/>
              </w:rPr>
            </w:pPr>
            <w:r w:rsidRPr="00E27ED8">
              <w:rPr>
                <w:sz w:val="20"/>
                <w:szCs w:val="20"/>
              </w:rPr>
              <w:t>Transfer poznatků</w:t>
            </w:r>
          </w:p>
        </w:tc>
        <w:tc>
          <w:tcPr>
            <w:tcW w:w="893" w:type="pct"/>
            <w:tcBorders>
              <w:left w:val="single" w:sz="12" w:space="0" w:color="auto"/>
            </w:tcBorders>
          </w:tcPr>
          <w:p w:rsidR="005A63D9" w:rsidRPr="00E27ED8" w:rsidRDefault="005A63D9" w:rsidP="00221B9C">
            <w:pPr>
              <w:spacing w:after="144"/>
              <w:jc w:val="center"/>
              <w:rPr>
                <w:sz w:val="20"/>
                <w:szCs w:val="20"/>
              </w:rPr>
            </w:pPr>
            <w:r w:rsidRPr="00E27ED8">
              <w:rPr>
                <w:sz w:val="20"/>
                <w:szCs w:val="20"/>
              </w:rPr>
              <w:t>0,150</w:t>
            </w:r>
          </w:p>
        </w:tc>
        <w:tc>
          <w:tcPr>
            <w:tcW w:w="893" w:type="pct"/>
          </w:tcPr>
          <w:p w:rsidR="005A63D9" w:rsidRPr="00E27ED8" w:rsidRDefault="005A63D9" w:rsidP="00221B9C">
            <w:pPr>
              <w:spacing w:after="144"/>
              <w:jc w:val="center"/>
              <w:rPr>
                <w:sz w:val="20"/>
                <w:szCs w:val="20"/>
              </w:rPr>
            </w:pPr>
            <w:r w:rsidRPr="00E27ED8">
              <w:rPr>
                <w:sz w:val="20"/>
                <w:szCs w:val="20"/>
              </w:rPr>
              <w:t>0,160</w:t>
            </w:r>
          </w:p>
        </w:tc>
        <w:tc>
          <w:tcPr>
            <w:tcW w:w="893" w:type="pct"/>
          </w:tcPr>
          <w:p w:rsidR="005A63D9" w:rsidRPr="00E27ED8" w:rsidRDefault="005A63D9" w:rsidP="00221B9C">
            <w:pPr>
              <w:spacing w:after="144"/>
              <w:jc w:val="center"/>
              <w:rPr>
                <w:sz w:val="20"/>
                <w:szCs w:val="20"/>
              </w:rPr>
            </w:pPr>
            <w:r w:rsidRPr="00E27ED8">
              <w:rPr>
                <w:sz w:val="20"/>
                <w:szCs w:val="20"/>
              </w:rPr>
              <w:t>0,150</w:t>
            </w:r>
          </w:p>
        </w:tc>
        <w:tc>
          <w:tcPr>
            <w:tcW w:w="893" w:type="pct"/>
          </w:tcPr>
          <w:p w:rsidR="005A63D9" w:rsidRPr="00E27ED8" w:rsidRDefault="005A63D9" w:rsidP="00221B9C">
            <w:pPr>
              <w:spacing w:after="144"/>
              <w:jc w:val="center"/>
              <w:rPr>
                <w:sz w:val="20"/>
                <w:szCs w:val="20"/>
              </w:rPr>
            </w:pPr>
            <w:r w:rsidRPr="00E27ED8">
              <w:rPr>
                <w:sz w:val="20"/>
                <w:szCs w:val="20"/>
              </w:rPr>
              <w:t>0,160</w:t>
            </w:r>
          </w:p>
        </w:tc>
      </w:tr>
      <w:tr w:rsidR="005A63D9" w:rsidRPr="00E27ED8" w:rsidTr="00510C04">
        <w:tc>
          <w:tcPr>
            <w:tcW w:w="1428" w:type="pct"/>
            <w:tcBorders>
              <w:bottom w:val="single" w:sz="12" w:space="0" w:color="auto"/>
              <w:right w:val="single" w:sz="12" w:space="0" w:color="auto"/>
            </w:tcBorders>
          </w:tcPr>
          <w:p w:rsidR="005A63D9" w:rsidRPr="00E27ED8" w:rsidRDefault="005A63D9" w:rsidP="0008405A">
            <w:pPr>
              <w:spacing w:after="144"/>
              <w:jc w:val="both"/>
              <w:rPr>
                <w:sz w:val="20"/>
                <w:szCs w:val="20"/>
              </w:rPr>
            </w:pPr>
            <w:r w:rsidRPr="00E27ED8">
              <w:rPr>
                <w:sz w:val="20"/>
                <w:szCs w:val="20"/>
              </w:rPr>
              <w:t>CELKEM</w:t>
            </w:r>
          </w:p>
        </w:tc>
        <w:tc>
          <w:tcPr>
            <w:tcW w:w="893" w:type="pct"/>
            <w:tcBorders>
              <w:left w:val="single" w:sz="12" w:space="0" w:color="auto"/>
              <w:bottom w:val="single" w:sz="12" w:space="0" w:color="auto"/>
            </w:tcBorders>
          </w:tcPr>
          <w:p w:rsidR="005A63D9" w:rsidRPr="00E27ED8" w:rsidRDefault="005A63D9" w:rsidP="00221B9C">
            <w:pPr>
              <w:spacing w:after="144"/>
              <w:jc w:val="center"/>
              <w:rPr>
                <w:sz w:val="20"/>
                <w:szCs w:val="20"/>
              </w:rPr>
            </w:pPr>
            <w:r w:rsidRPr="00E27ED8">
              <w:rPr>
                <w:sz w:val="20"/>
                <w:szCs w:val="20"/>
              </w:rPr>
              <w:t>4,929</w:t>
            </w:r>
          </w:p>
        </w:tc>
        <w:tc>
          <w:tcPr>
            <w:tcW w:w="893" w:type="pct"/>
            <w:tcBorders>
              <w:bottom w:val="single" w:sz="12" w:space="0" w:color="auto"/>
            </w:tcBorders>
          </w:tcPr>
          <w:p w:rsidR="005A63D9" w:rsidRPr="00E27ED8" w:rsidRDefault="005A63D9" w:rsidP="00221B9C">
            <w:pPr>
              <w:spacing w:after="144"/>
              <w:jc w:val="center"/>
              <w:rPr>
                <w:sz w:val="20"/>
                <w:szCs w:val="20"/>
              </w:rPr>
            </w:pPr>
            <w:r w:rsidRPr="00E27ED8">
              <w:rPr>
                <w:sz w:val="20"/>
                <w:szCs w:val="20"/>
              </w:rPr>
              <w:t>4,502</w:t>
            </w:r>
          </w:p>
        </w:tc>
        <w:tc>
          <w:tcPr>
            <w:tcW w:w="893" w:type="pct"/>
            <w:tcBorders>
              <w:bottom w:val="single" w:sz="12" w:space="0" w:color="auto"/>
            </w:tcBorders>
          </w:tcPr>
          <w:p w:rsidR="005A63D9" w:rsidRPr="00E27ED8" w:rsidRDefault="005A63D9" w:rsidP="00221B9C">
            <w:pPr>
              <w:spacing w:after="144"/>
              <w:jc w:val="center"/>
              <w:rPr>
                <w:sz w:val="20"/>
                <w:szCs w:val="20"/>
              </w:rPr>
            </w:pPr>
            <w:r w:rsidRPr="00E27ED8">
              <w:rPr>
                <w:sz w:val="20"/>
                <w:szCs w:val="20"/>
              </w:rPr>
              <w:t>3,886</w:t>
            </w:r>
          </w:p>
        </w:tc>
        <w:tc>
          <w:tcPr>
            <w:tcW w:w="893" w:type="pct"/>
            <w:tcBorders>
              <w:bottom w:val="single" w:sz="12" w:space="0" w:color="auto"/>
            </w:tcBorders>
          </w:tcPr>
          <w:p w:rsidR="005A63D9" w:rsidRPr="00E27ED8" w:rsidRDefault="005A63D9" w:rsidP="00221B9C">
            <w:pPr>
              <w:spacing w:after="144"/>
              <w:jc w:val="center"/>
              <w:rPr>
                <w:sz w:val="20"/>
                <w:szCs w:val="20"/>
              </w:rPr>
            </w:pPr>
            <w:r w:rsidRPr="00E27ED8">
              <w:rPr>
                <w:sz w:val="20"/>
                <w:szCs w:val="20"/>
              </w:rPr>
              <w:t>3,430</w:t>
            </w:r>
          </w:p>
        </w:tc>
      </w:tr>
    </w:tbl>
    <w:p w:rsidR="005A63D9" w:rsidRPr="00E30271" w:rsidRDefault="005A63D9" w:rsidP="0008405A">
      <w:pPr>
        <w:pStyle w:val="ZDROJovan"/>
        <w:spacing w:after="144" w:line="288" w:lineRule="auto"/>
        <w:jc w:val="both"/>
      </w:pPr>
      <w:r w:rsidRPr="00AE604E">
        <w:t>Zdroj: HEFCE Annual Reports and Accounts</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Výdaje na výzkum jsou ve čtyřech sledovaných finančních rocích v podstatě konstantní, 1,5 mld. £. Podíl výdajů na výzkum ve čtyřech uvedených obdobích se postupně zvyšuje: 31,6 %; 34,6 %; 40,9 %; 45,4 %.</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Z Tab. č. 26 vyplývá, že celkové výdaje na VaV ve Velké Británii v podstatě stagnují. Hlavním důvodem této stagnace byla ekonomická krize a problémy se zabezpečením zdrojů pro státní rozpočet. Úroveň britského VaVaI je vysoká i při relativně nízkém podílu celkových výdajů na VaV na HDP (kolem 1,65 % s klesající tendencí).</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p>
    <w:p w:rsidR="005A63D9" w:rsidRPr="0098492B" w:rsidRDefault="005A63D9" w:rsidP="0098492B">
      <w:pPr>
        <w:widowControl w:val="0"/>
        <w:adjustRightInd w:val="0"/>
        <w:spacing w:afterLines="0"/>
        <w:contextualSpacing w:val="0"/>
        <w:jc w:val="both"/>
        <w:textAlignment w:val="baseline"/>
        <w:rPr>
          <w:color w:val="000000"/>
          <w:shd w:val="clear" w:color="auto" w:fill="FFFFFF"/>
          <w:lang w:eastAsia="cs-CZ"/>
        </w:rPr>
      </w:pPr>
      <w:r w:rsidRPr="003F77BE">
        <w:rPr>
          <w:b/>
          <w:color w:val="000000"/>
          <w:shd w:val="clear" w:color="auto" w:fill="FFFFFF"/>
          <w:lang w:eastAsia="cs-CZ"/>
        </w:rPr>
        <w:t xml:space="preserve">Tab. č. 26 </w:t>
      </w:r>
      <w:r w:rsidRPr="003F77BE">
        <w:rPr>
          <w:color w:val="000000"/>
          <w:shd w:val="clear" w:color="auto" w:fill="FFFFFF"/>
          <w:lang w:eastAsia="cs-CZ"/>
        </w:rPr>
        <w:t>Základní charakteristiky podpory VaV v UK</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844"/>
        <w:gridCol w:w="1089"/>
        <w:gridCol w:w="1089"/>
        <w:gridCol w:w="1089"/>
        <w:gridCol w:w="1088"/>
        <w:gridCol w:w="1088"/>
      </w:tblGrid>
      <w:tr w:rsidR="005A63D9" w:rsidRPr="00E27ED8" w:rsidTr="00510C04">
        <w:tc>
          <w:tcPr>
            <w:tcW w:w="2069"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08405A">
            <w:pPr>
              <w:spacing w:after="144"/>
              <w:jc w:val="both"/>
              <w:rPr>
                <w:b/>
                <w:sz w:val="20"/>
                <w:szCs w:val="20"/>
              </w:rPr>
            </w:pPr>
          </w:p>
        </w:tc>
        <w:tc>
          <w:tcPr>
            <w:tcW w:w="586"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2008</w:t>
            </w:r>
          </w:p>
        </w:tc>
        <w:tc>
          <w:tcPr>
            <w:tcW w:w="586"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2010</w:t>
            </w:r>
          </w:p>
        </w:tc>
        <w:tc>
          <w:tcPr>
            <w:tcW w:w="586"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2011</w:t>
            </w:r>
          </w:p>
        </w:tc>
        <w:tc>
          <w:tcPr>
            <w:tcW w:w="586"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2012</w:t>
            </w:r>
          </w:p>
        </w:tc>
        <w:tc>
          <w:tcPr>
            <w:tcW w:w="586" w:type="pct"/>
            <w:tcBorders>
              <w:top w:val="single" w:sz="12" w:space="0" w:color="auto"/>
              <w:bottom w:val="double" w:sz="4"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2013</w:t>
            </w:r>
          </w:p>
        </w:tc>
      </w:tr>
      <w:tr w:rsidR="005A63D9" w:rsidRPr="00E27ED8" w:rsidTr="00510C04">
        <w:tc>
          <w:tcPr>
            <w:tcW w:w="2069" w:type="pct"/>
            <w:tcBorders>
              <w:top w:val="double" w:sz="4" w:space="0" w:color="auto"/>
              <w:right w:val="single" w:sz="12" w:space="0" w:color="auto"/>
            </w:tcBorders>
            <w:vAlign w:val="center"/>
          </w:tcPr>
          <w:p w:rsidR="005A63D9" w:rsidRPr="00E27ED8" w:rsidRDefault="005A63D9">
            <w:pPr>
              <w:tabs>
                <w:tab w:val="left" w:pos="284"/>
              </w:tabs>
              <w:spacing w:after="144"/>
              <w:rPr>
                <w:sz w:val="18"/>
                <w:szCs w:val="18"/>
              </w:rPr>
            </w:pPr>
            <w:r w:rsidRPr="00E27ED8">
              <w:rPr>
                <w:sz w:val="18"/>
                <w:szCs w:val="18"/>
              </w:rPr>
              <w:t>Výdaje na VaV (% HDP)</w:t>
            </w:r>
          </w:p>
        </w:tc>
        <w:tc>
          <w:tcPr>
            <w:tcW w:w="586" w:type="pct"/>
            <w:tcBorders>
              <w:top w:val="double" w:sz="4" w:space="0" w:color="auto"/>
              <w:left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1,69</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1,69</w:t>
            </w:r>
          </w:p>
        </w:tc>
        <w:tc>
          <w:tcPr>
            <w:tcW w:w="586"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1,69</w:t>
            </w:r>
          </w:p>
        </w:tc>
        <w:tc>
          <w:tcPr>
            <w:tcW w:w="58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1,63</w:t>
            </w:r>
          </w:p>
        </w:tc>
        <w:tc>
          <w:tcPr>
            <w:tcW w:w="58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1,63</w:t>
            </w:r>
          </w:p>
        </w:tc>
      </w:tr>
      <w:tr w:rsidR="005A63D9" w:rsidRPr="00E27ED8" w:rsidTr="00510C04">
        <w:tc>
          <w:tcPr>
            <w:tcW w:w="2069" w:type="pct"/>
            <w:tcBorders>
              <w:right w:val="single" w:sz="12" w:space="0" w:color="auto"/>
            </w:tcBorders>
            <w:vAlign w:val="center"/>
          </w:tcPr>
          <w:p w:rsidR="005A63D9" w:rsidRPr="00E27ED8" w:rsidRDefault="005A63D9">
            <w:pPr>
              <w:spacing w:after="144"/>
              <w:rPr>
                <w:sz w:val="18"/>
                <w:szCs w:val="18"/>
              </w:rPr>
            </w:pPr>
            <w:r w:rsidRPr="00E27ED8">
              <w:rPr>
                <w:sz w:val="18"/>
                <w:szCs w:val="18"/>
              </w:rPr>
              <w:t>Podíl státních výdajů na VaV na celkových výdajích na VaV (%)</w:t>
            </w:r>
          </w:p>
        </w:tc>
        <w:tc>
          <w:tcPr>
            <w:tcW w:w="586" w:type="pct"/>
            <w:tcBorders>
              <w:left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30,7</w:t>
            </w:r>
          </w:p>
        </w:tc>
        <w:tc>
          <w:tcPr>
            <w:tcW w:w="586" w:type="pct"/>
            <w:vAlign w:val="center"/>
          </w:tcPr>
          <w:p w:rsidR="005A63D9" w:rsidRPr="00E27ED8" w:rsidRDefault="005A63D9" w:rsidP="00221B9C">
            <w:pPr>
              <w:spacing w:after="144"/>
              <w:jc w:val="center"/>
              <w:rPr>
                <w:sz w:val="18"/>
                <w:szCs w:val="18"/>
              </w:rPr>
            </w:pPr>
            <w:r w:rsidRPr="00E27ED8">
              <w:rPr>
                <w:sz w:val="18"/>
                <w:szCs w:val="18"/>
              </w:rPr>
              <w:t>32,3</w:t>
            </w:r>
          </w:p>
        </w:tc>
        <w:tc>
          <w:tcPr>
            <w:tcW w:w="586" w:type="pct"/>
            <w:vAlign w:val="center"/>
          </w:tcPr>
          <w:p w:rsidR="005A63D9" w:rsidRPr="00E27ED8" w:rsidRDefault="005A63D9" w:rsidP="00221B9C">
            <w:pPr>
              <w:spacing w:after="144"/>
              <w:jc w:val="center"/>
              <w:rPr>
                <w:sz w:val="18"/>
                <w:szCs w:val="18"/>
              </w:rPr>
            </w:pPr>
            <w:r w:rsidRPr="00E27ED8">
              <w:rPr>
                <w:sz w:val="18"/>
                <w:szCs w:val="18"/>
              </w:rPr>
              <w:t>30,5</w:t>
            </w:r>
          </w:p>
        </w:tc>
        <w:tc>
          <w:tcPr>
            <w:tcW w:w="586" w:type="pct"/>
            <w:vAlign w:val="center"/>
          </w:tcPr>
          <w:p w:rsidR="005A63D9" w:rsidRPr="00E27ED8" w:rsidRDefault="005A63D9" w:rsidP="00221B9C">
            <w:pPr>
              <w:spacing w:after="144"/>
              <w:jc w:val="center"/>
              <w:rPr>
                <w:sz w:val="18"/>
                <w:szCs w:val="18"/>
              </w:rPr>
            </w:pPr>
            <w:r w:rsidRPr="00E27ED8">
              <w:rPr>
                <w:sz w:val="18"/>
                <w:szCs w:val="18"/>
              </w:rPr>
              <w:t>28,7</w:t>
            </w:r>
          </w:p>
        </w:tc>
        <w:tc>
          <w:tcPr>
            <w:tcW w:w="586" w:type="pct"/>
            <w:vAlign w:val="center"/>
          </w:tcPr>
          <w:p w:rsidR="005A63D9" w:rsidRPr="00E27ED8" w:rsidRDefault="005A63D9" w:rsidP="00221B9C">
            <w:pPr>
              <w:spacing w:after="144"/>
              <w:jc w:val="center"/>
              <w:rPr>
                <w:sz w:val="18"/>
                <w:szCs w:val="18"/>
              </w:rPr>
            </w:pPr>
            <w:r w:rsidRPr="00E27ED8">
              <w:rPr>
                <w:sz w:val="18"/>
                <w:szCs w:val="18"/>
              </w:rPr>
              <w:t>27,0</w:t>
            </w:r>
          </w:p>
        </w:tc>
      </w:tr>
      <w:tr w:rsidR="005A63D9" w:rsidRPr="00E27ED8" w:rsidTr="00510C04">
        <w:tc>
          <w:tcPr>
            <w:tcW w:w="2069" w:type="pct"/>
            <w:tcBorders>
              <w:bottom w:val="single" w:sz="12" w:space="0" w:color="auto"/>
              <w:right w:val="single" w:sz="12" w:space="0" w:color="auto"/>
            </w:tcBorders>
            <w:vAlign w:val="center"/>
          </w:tcPr>
          <w:p w:rsidR="005A63D9" w:rsidRPr="00E27ED8" w:rsidRDefault="005A63D9">
            <w:pPr>
              <w:tabs>
                <w:tab w:val="left" w:pos="284"/>
              </w:tabs>
              <w:spacing w:after="144"/>
              <w:rPr>
                <w:sz w:val="18"/>
                <w:szCs w:val="18"/>
              </w:rPr>
            </w:pPr>
            <w:r w:rsidRPr="00E27ED8">
              <w:rPr>
                <w:sz w:val="18"/>
                <w:szCs w:val="18"/>
              </w:rPr>
              <w:t>Podíl státních výdajů na VaV na celkových výdajích státu (%)</w:t>
            </w:r>
          </w:p>
        </w:tc>
        <w:tc>
          <w:tcPr>
            <w:tcW w:w="586" w:type="pct"/>
            <w:tcBorders>
              <w:left w:val="single" w:sz="12"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1,31</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1,23</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1,17</w:t>
            </w:r>
          </w:p>
        </w:tc>
        <w:tc>
          <w:tcPr>
            <w:tcW w:w="586"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1,23</w:t>
            </w:r>
          </w:p>
        </w:tc>
      </w:tr>
    </w:tbl>
    <w:p w:rsidR="005A63D9" w:rsidRPr="00E30271" w:rsidRDefault="005A63D9" w:rsidP="0008405A">
      <w:pPr>
        <w:pStyle w:val="ZDROJovan"/>
        <w:spacing w:after="144" w:line="288" w:lineRule="auto"/>
        <w:jc w:val="both"/>
      </w:pPr>
      <w:r w:rsidRPr="00AE604E">
        <w:t>Zdroj: Eurostat, Databáze VaV</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 xml:space="preserve">Velká Británie má v současné době (prosinec 2015) 12 ministerstev. Ve Velké Británii má mnohaletou tradici hodnocení efektivnosti užití veřejných </w:t>
      </w:r>
      <w:r>
        <w:rPr>
          <w:color w:val="000000"/>
          <w:shd w:val="clear" w:color="auto" w:fill="FFFFFF"/>
          <w:lang w:eastAsia="cs-CZ"/>
        </w:rPr>
        <w:t>finančních prostředků. Platí to </w:t>
      </w:r>
      <w:r w:rsidRPr="0098492B">
        <w:rPr>
          <w:color w:val="000000"/>
          <w:shd w:val="clear" w:color="auto" w:fill="FFFFFF"/>
          <w:lang w:eastAsia="cs-CZ"/>
        </w:rPr>
        <w:t>samozřejmě i pro ministerstva. Ministerstva i výkonné agentury ministerstev předkládají každoročně výroční zprávy a vyúčtování parlamentu. Předkládání zpráv je uloženo zákonem (Accounts Act 2000). Zprávy jsou velmi podrobné, zejména ve finančně účetní části. Jmenovitě se uvádějí platy a odměny vedoucích pracovníků a dále jsou uvedeny podíly počtů pracovníků v několika platových rozmezích.</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V přílohách těchto ministerských výročních zpráv jsou i přehledné tabulky výkonnosti ministerstev s indikátory vstupů (inputs) a dopadů (outputs) ve struktuře: indikátor, hodnocené období, poslední data, předcházející data; komentář trendů. Ministerstva uvádějí i podrobné tabulky o spotřebě energií a vody, produkci odpadů a skleníkových plynů.</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Velká Británie patří k malé skupině zemí, v které záležitosti podnikání, výzkumu, inovací a vysokoškolského vzdělávání patří do působn</w:t>
      </w:r>
      <w:r>
        <w:rPr>
          <w:color w:val="000000"/>
          <w:shd w:val="clear" w:color="auto" w:fill="FFFFFF"/>
          <w:lang w:eastAsia="cs-CZ"/>
        </w:rPr>
        <w:t>ostí jednoho ministerstva, a to </w:t>
      </w:r>
      <w:r w:rsidRPr="0098492B">
        <w:rPr>
          <w:color w:val="000000"/>
          <w:shd w:val="clear" w:color="auto" w:fill="FFFFFF"/>
          <w:lang w:eastAsia="cs-CZ"/>
        </w:rPr>
        <w:t>Ministerstva pro podnikání, inovace a dovednosti (BIS – www.bis.gov.uk). Ministerstvo bývá někdy označováno i jako Ministerstvo pro ekonomický rozvoj. Do působnosti ministerstva patří 6 nevládních poradních orgánů. Jedním z nich je Rada pro vědu a technologie (CST – www.gov.uk/cst). Rada má celkem 19 členů, z toho dva spolupředsedy sira Marka Walporta, hlavního poradce vlády pro vědu a prof. Nancy Rothwell, prezidentku a vicekancléřku Mancherster University. Sekretariát Rady „Government Office for Science“ sídlí na ministerstvu BIS. Ministerstvo má podle</w:t>
      </w:r>
      <w:r>
        <w:rPr>
          <w:color w:val="000000"/>
          <w:shd w:val="clear" w:color="auto" w:fill="FFFFFF"/>
          <w:lang w:eastAsia="cs-CZ"/>
        </w:rPr>
        <w:t xml:space="preserve"> Výroční zprávy (2014–15) 2 627 </w:t>
      </w:r>
      <w:r w:rsidRPr="0098492B">
        <w:rPr>
          <w:color w:val="000000"/>
          <w:shd w:val="clear" w:color="auto" w:fill="FFFFFF"/>
          <w:lang w:eastAsia="cs-CZ"/>
        </w:rPr>
        <w:t>zaměstnanců. V partnerských organizacích (agenturách aj.) je 20 035 dalších zaměstnanců.</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Do působnosti ministerstva dále patří celkem 19 ne</w:t>
      </w:r>
      <w:r>
        <w:rPr>
          <w:color w:val="000000"/>
          <w:shd w:val="clear" w:color="auto" w:fill="FFFFFF"/>
          <w:lang w:eastAsia="cs-CZ"/>
        </w:rPr>
        <w:t>vládních exekutivních orgánů, z </w:t>
      </w:r>
      <w:r w:rsidRPr="0098492B">
        <w:rPr>
          <w:color w:val="000000"/>
          <w:shd w:val="clear" w:color="auto" w:fill="FFFFFF"/>
          <w:lang w:eastAsia="cs-CZ"/>
        </w:rPr>
        <w:t>toho 7 Rad pro výzkum. Rady vznikly na základě zákona o vědě a technologiích z roku 1964 (Science and Technology Act 1964). Jejich počet a názvy se několikrát měnily. V současné době poskytuje institucionální podporu svým organizacím a kompetetivní podporu výzkumu následujících 7 Rad pro výzkum:</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výzkum v technických a fyzikálních vědách (Engineering and Physical Sciences Research Council, EPSCR</w:t>
      </w:r>
      <w:r w:rsidRPr="0098492B">
        <w:rPr>
          <w:color w:val="000000"/>
          <w:shd w:val="clear" w:color="auto" w:fill="FFFFFF"/>
          <w:vertAlign w:val="superscript"/>
          <w:lang w:eastAsia="cs-CZ"/>
        </w:rPr>
        <w:footnoteReference w:id="26"/>
      </w:r>
      <w:r w:rsidRPr="0098492B">
        <w:rPr>
          <w:color w:val="000000"/>
          <w:shd w:val="clear" w:color="auto" w:fill="FFFFFF"/>
          <w:lang w:eastAsia="cs-CZ"/>
        </w:rPr>
        <w:t xml:space="preserve"> – www.epsrc.ac.uk)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výzkum v lékařských vědách (Medical Research Council, MRC – www.mrc.ac.uk)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velká zařízení pro vědu a technologie (Science and Technology Facilities Council, STFC</w:t>
      </w:r>
      <w:r w:rsidRPr="0098492B">
        <w:rPr>
          <w:color w:val="000000"/>
          <w:shd w:val="clear" w:color="auto" w:fill="FFFFFF"/>
          <w:vertAlign w:val="superscript"/>
          <w:lang w:eastAsia="cs-CZ"/>
        </w:rPr>
        <w:footnoteReference w:id="27"/>
      </w:r>
      <w:r w:rsidRPr="0098492B">
        <w:rPr>
          <w:color w:val="000000"/>
          <w:shd w:val="clear" w:color="auto" w:fill="FFFFFF"/>
          <w:lang w:eastAsia="cs-CZ"/>
        </w:rPr>
        <w:t xml:space="preserve"> – www.stfc.ac.uk)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výzkum biotechnologií a v biologi</w:t>
      </w:r>
      <w:r>
        <w:rPr>
          <w:color w:val="000000"/>
          <w:shd w:val="clear" w:color="auto" w:fill="FFFFFF"/>
          <w:lang w:eastAsia="cs-CZ"/>
        </w:rPr>
        <w:t>ckých vědách (Biotechnology and </w:t>
      </w:r>
      <w:r w:rsidRPr="0098492B">
        <w:rPr>
          <w:color w:val="000000"/>
          <w:shd w:val="clear" w:color="auto" w:fill="FFFFFF"/>
          <w:lang w:eastAsia="cs-CZ"/>
        </w:rPr>
        <w:t>Biological Sciences Research Council, BBSRC – www.bbsrc.ac.uk)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výzkum životního prostředí (Natural Environment Research Council, NERC – www.nerc.ac.uk)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výzkum v ekonomických a společenských vědách (Economic a Social research Council, ESRC – www.esrc.ac.uk)</w:t>
      </w:r>
    </w:p>
    <w:p w:rsidR="005A63D9" w:rsidRPr="0098492B" w:rsidRDefault="005A63D9" w:rsidP="0098492B">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8492B">
        <w:rPr>
          <w:color w:val="000000"/>
          <w:shd w:val="clear" w:color="auto" w:fill="FFFFFF"/>
          <w:lang w:eastAsia="cs-CZ"/>
        </w:rPr>
        <w:t>Rada pro vědy o umění a humanitní vědy (Arts and Humanities Research Council, AHRC – www.ahrc.ac.uk)</w:t>
      </w:r>
    </w:p>
    <w:p w:rsidR="005A63D9" w:rsidRPr="0098492B" w:rsidRDefault="005A63D9" w:rsidP="0098492B">
      <w:pPr>
        <w:keepLines/>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Přesto, že pro záležitosti podnikání, VaVaI a vysokých škol existuje jedno ministerstvo, značné prostředky na VaV vydává řada dalších ministerstev. Ve Velké Británii neexistují velké státní (národní) programy VaV.</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Celkové výdaje na VaVaI mírně klesají. Výrazně</w:t>
      </w:r>
      <w:r>
        <w:rPr>
          <w:color w:val="000000"/>
          <w:shd w:val="clear" w:color="auto" w:fill="FFFFFF"/>
          <w:lang w:eastAsia="cs-CZ"/>
        </w:rPr>
        <w:t xml:space="preserve"> se zvyšují jen u BIS a Rad pro </w:t>
      </w:r>
      <w:r w:rsidRPr="0098492B">
        <w:rPr>
          <w:color w:val="000000"/>
          <w:shd w:val="clear" w:color="auto" w:fill="FFFFFF"/>
          <w:lang w:eastAsia="cs-CZ"/>
        </w:rPr>
        <w:t>výzkum. Největším poskytovatelem podpory VaVaI ve Spojeném království jsou Rady pro výzkum. Dalšími významnými poskytovateli jsou Ministerstvo zdravotnictví a Ministerstvo obrany. V následujících letech ke zlepšení zřejmě nedojde. Potvrzuje to výhled Ministerstva financí. V Tab. č. 29. jsou uvedeny výhledové rozpočtové prostředky vybraných ministerstev v období 2015 - 2016 až 2020 - 2021. Finanční prostř</w:t>
      </w:r>
      <w:r>
        <w:rPr>
          <w:color w:val="000000"/>
          <w:shd w:val="clear" w:color="auto" w:fill="FFFFFF"/>
          <w:lang w:eastAsia="cs-CZ"/>
        </w:rPr>
        <w:t>edky Rad pro výzkum a Fondů pro </w:t>
      </w:r>
      <w:r w:rsidRPr="0098492B">
        <w:rPr>
          <w:color w:val="000000"/>
          <w:shd w:val="clear" w:color="auto" w:fill="FFFFFF"/>
          <w:lang w:eastAsia="cs-CZ"/>
        </w:rPr>
        <w:t>podporu vysokoškolského vzdělávání jsou poskytovány z rozpočtu BIS, kde je jejich výše stanovena zákony o rozpočtu. V rozpočtu BIS jsou cca 4 mld. £.</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p>
    <w:p w:rsidR="005A63D9" w:rsidRPr="0098492B" w:rsidRDefault="005A63D9" w:rsidP="0098492B">
      <w:pPr>
        <w:widowControl w:val="0"/>
        <w:adjustRightInd w:val="0"/>
        <w:spacing w:afterLines="0"/>
        <w:contextualSpacing w:val="0"/>
        <w:jc w:val="both"/>
        <w:textAlignment w:val="baseline"/>
        <w:rPr>
          <w:b/>
          <w:color w:val="000000"/>
          <w:shd w:val="clear" w:color="auto" w:fill="FFFFFF"/>
          <w:lang w:eastAsia="cs-CZ"/>
        </w:rPr>
      </w:pPr>
      <w:r w:rsidRPr="0098492B">
        <w:rPr>
          <w:b/>
          <w:color w:val="000000"/>
          <w:shd w:val="clear" w:color="auto" w:fill="FFFFFF"/>
          <w:lang w:eastAsia="cs-CZ"/>
        </w:rPr>
        <w:t xml:space="preserve">Tab. č. 27 </w:t>
      </w:r>
      <w:r w:rsidRPr="0098492B">
        <w:rPr>
          <w:color w:val="000000"/>
          <w:shd w:val="clear" w:color="auto" w:fill="FFFFFF"/>
          <w:lang w:eastAsia="cs-CZ"/>
        </w:rPr>
        <w:t>Výdaje na VaV vybraných poskytovatelů v UK (mil.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3537"/>
        <w:gridCol w:w="959"/>
        <w:gridCol w:w="959"/>
        <w:gridCol w:w="958"/>
        <w:gridCol w:w="958"/>
        <w:gridCol w:w="958"/>
        <w:gridCol w:w="958"/>
      </w:tblGrid>
      <w:tr w:rsidR="005A63D9" w:rsidRPr="00E27ED8" w:rsidTr="00510C04">
        <w:tc>
          <w:tcPr>
            <w:tcW w:w="1904"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sz w:val="18"/>
                <w:szCs w:val="18"/>
              </w:rPr>
            </w:pPr>
          </w:p>
        </w:tc>
        <w:tc>
          <w:tcPr>
            <w:tcW w:w="1032" w:type="pct"/>
            <w:gridSpan w:val="2"/>
            <w:tcBorders>
              <w:top w:val="single" w:sz="12" w:space="0" w:color="auto"/>
              <w:left w:val="single" w:sz="12"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2009–10</w:t>
            </w:r>
          </w:p>
        </w:tc>
        <w:tc>
          <w:tcPr>
            <w:tcW w:w="1032" w:type="pct"/>
            <w:gridSpan w:val="2"/>
            <w:tcBorders>
              <w:top w:val="single" w:sz="12"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2010–11</w:t>
            </w:r>
          </w:p>
        </w:tc>
        <w:tc>
          <w:tcPr>
            <w:tcW w:w="1032" w:type="pct"/>
            <w:gridSpan w:val="2"/>
            <w:tcBorders>
              <w:top w:val="single" w:sz="12" w:space="0" w:color="auto"/>
            </w:tcBorders>
            <w:shd w:val="clear" w:color="auto" w:fill="BFBFBF"/>
          </w:tcPr>
          <w:p w:rsidR="005A63D9" w:rsidRPr="00E27ED8" w:rsidRDefault="005A63D9" w:rsidP="00221B9C">
            <w:pPr>
              <w:spacing w:after="144"/>
              <w:jc w:val="center"/>
              <w:rPr>
                <w:b/>
                <w:sz w:val="18"/>
                <w:szCs w:val="18"/>
              </w:rPr>
            </w:pPr>
            <w:r w:rsidRPr="00E27ED8">
              <w:rPr>
                <w:b/>
                <w:sz w:val="18"/>
                <w:szCs w:val="18"/>
              </w:rPr>
              <w:t>2011–12</w:t>
            </w:r>
          </w:p>
        </w:tc>
      </w:tr>
      <w:tr w:rsidR="005A63D9" w:rsidRPr="00E27ED8" w:rsidTr="00510C04">
        <w:tc>
          <w:tcPr>
            <w:tcW w:w="1904"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sz w:val="18"/>
                <w:szCs w:val="18"/>
              </w:rPr>
            </w:pPr>
          </w:p>
        </w:tc>
        <w:tc>
          <w:tcPr>
            <w:tcW w:w="516" w:type="pct"/>
            <w:tcBorders>
              <w:left w:val="single" w:sz="12" w:space="0" w:color="auto"/>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(mil. £)</w:t>
            </w:r>
          </w:p>
        </w:tc>
        <w:tc>
          <w:tcPr>
            <w:tcW w:w="516" w:type="pct"/>
            <w:tcBorders>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w:t>
            </w:r>
          </w:p>
        </w:tc>
        <w:tc>
          <w:tcPr>
            <w:tcW w:w="516" w:type="pct"/>
            <w:tcBorders>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(mil. £)</w:t>
            </w:r>
          </w:p>
        </w:tc>
        <w:tc>
          <w:tcPr>
            <w:tcW w:w="516" w:type="pct"/>
            <w:tcBorders>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w:t>
            </w:r>
          </w:p>
        </w:tc>
        <w:tc>
          <w:tcPr>
            <w:tcW w:w="516" w:type="pct"/>
            <w:tcBorders>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(mil. £)</w:t>
            </w:r>
          </w:p>
        </w:tc>
        <w:tc>
          <w:tcPr>
            <w:tcW w:w="516" w:type="pct"/>
            <w:tcBorders>
              <w:bottom w:val="double" w:sz="4" w:space="0" w:color="auto"/>
            </w:tcBorders>
            <w:shd w:val="clear" w:color="auto" w:fill="BFBFBF"/>
            <w:vAlign w:val="center"/>
          </w:tcPr>
          <w:p w:rsidR="005A63D9" w:rsidRPr="00E27ED8" w:rsidRDefault="005A63D9" w:rsidP="00221B9C">
            <w:pPr>
              <w:spacing w:after="144"/>
              <w:jc w:val="center"/>
              <w:rPr>
                <w:sz w:val="18"/>
                <w:szCs w:val="18"/>
              </w:rPr>
            </w:pPr>
            <w:r w:rsidRPr="00E27ED8">
              <w:rPr>
                <w:sz w:val="18"/>
                <w:szCs w:val="18"/>
              </w:rPr>
              <w:t>(%)</w:t>
            </w:r>
          </w:p>
        </w:tc>
      </w:tr>
      <w:tr w:rsidR="005A63D9" w:rsidRPr="00E27ED8" w:rsidTr="00510C04">
        <w:tc>
          <w:tcPr>
            <w:tcW w:w="1904" w:type="pct"/>
            <w:tcBorders>
              <w:top w:val="double" w:sz="4" w:space="0" w:color="auto"/>
              <w:right w:val="single" w:sz="12" w:space="0" w:color="auto"/>
            </w:tcBorders>
          </w:tcPr>
          <w:p w:rsidR="005A63D9" w:rsidRPr="00E27ED8" w:rsidRDefault="005A63D9">
            <w:pPr>
              <w:spacing w:after="144"/>
              <w:rPr>
                <w:sz w:val="18"/>
                <w:szCs w:val="18"/>
              </w:rPr>
            </w:pPr>
            <w:r w:rsidRPr="00E27ED8">
              <w:rPr>
                <w:sz w:val="18"/>
                <w:szCs w:val="18"/>
              </w:rPr>
              <w:t>Ministerstvo pro podnikání, inovace a znalosti (BIS)</w:t>
            </w:r>
          </w:p>
        </w:tc>
        <w:tc>
          <w:tcPr>
            <w:tcW w:w="516" w:type="pct"/>
            <w:tcBorders>
              <w:top w:val="double" w:sz="4" w:space="0" w:color="auto"/>
              <w:left w:val="single" w:sz="12" w:space="0" w:color="auto"/>
            </w:tcBorders>
          </w:tcPr>
          <w:p w:rsidR="005A63D9" w:rsidRPr="00E27ED8" w:rsidRDefault="005A63D9" w:rsidP="00221B9C">
            <w:pPr>
              <w:spacing w:after="144"/>
              <w:jc w:val="center"/>
              <w:rPr>
                <w:sz w:val="18"/>
                <w:szCs w:val="18"/>
              </w:rPr>
            </w:pPr>
            <w:r w:rsidRPr="00E27ED8">
              <w:rPr>
                <w:sz w:val="18"/>
                <w:szCs w:val="18"/>
              </w:rPr>
              <w:t>323</w:t>
            </w:r>
          </w:p>
        </w:tc>
        <w:tc>
          <w:tcPr>
            <w:tcW w:w="51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3,1</w:t>
            </w:r>
          </w:p>
        </w:tc>
        <w:tc>
          <w:tcPr>
            <w:tcW w:w="51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472</w:t>
            </w:r>
          </w:p>
        </w:tc>
        <w:tc>
          <w:tcPr>
            <w:tcW w:w="51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4,7</w:t>
            </w:r>
          </w:p>
        </w:tc>
        <w:tc>
          <w:tcPr>
            <w:tcW w:w="51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695</w:t>
            </w:r>
          </w:p>
        </w:tc>
        <w:tc>
          <w:tcPr>
            <w:tcW w:w="516"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7,0</w:t>
            </w:r>
          </w:p>
        </w:tc>
      </w:tr>
      <w:tr w:rsidR="005A63D9" w:rsidRPr="00E27ED8" w:rsidTr="00510C04">
        <w:tc>
          <w:tcPr>
            <w:tcW w:w="1904" w:type="pct"/>
            <w:tcBorders>
              <w:right w:val="single" w:sz="12" w:space="0" w:color="auto"/>
            </w:tcBorders>
          </w:tcPr>
          <w:p w:rsidR="005A63D9" w:rsidRPr="00E27ED8" w:rsidRDefault="005A63D9">
            <w:pPr>
              <w:spacing w:after="144"/>
              <w:rPr>
                <w:sz w:val="18"/>
                <w:szCs w:val="18"/>
              </w:rPr>
            </w:pPr>
            <w:r w:rsidRPr="00E27ED8">
              <w:rPr>
                <w:sz w:val="18"/>
                <w:szCs w:val="18"/>
              </w:rPr>
              <w:t>Ministerstvo pro životní prostředí, potraviny a záležitosti venkova (DEFRA)</w:t>
            </w:r>
          </w:p>
        </w:tc>
        <w:tc>
          <w:tcPr>
            <w:tcW w:w="516"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195</w:t>
            </w:r>
          </w:p>
        </w:tc>
        <w:tc>
          <w:tcPr>
            <w:tcW w:w="516" w:type="pct"/>
          </w:tcPr>
          <w:p w:rsidR="005A63D9" w:rsidRPr="00E27ED8" w:rsidRDefault="005A63D9" w:rsidP="00221B9C">
            <w:pPr>
              <w:spacing w:after="144"/>
              <w:jc w:val="center"/>
              <w:rPr>
                <w:sz w:val="18"/>
                <w:szCs w:val="18"/>
              </w:rPr>
            </w:pPr>
            <w:r w:rsidRPr="00E27ED8">
              <w:rPr>
                <w:sz w:val="18"/>
                <w:szCs w:val="18"/>
              </w:rPr>
              <w:t>1,9</w:t>
            </w:r>
          </w:p>
        </w:tc>
        <w:tc>
          <w:tcPr>
            <w:tcW w:w="516" w:type="pct"/>
          </w:tcPr>
          <w:p w:rsidR="005A63D9" w:rsidRPr="00E27ED8" w:rsidRDefault="005A63D9" w:rsidP="00221B9C">
            <w:pPr>
              <w:spacing w:after="144"/>
              <w:jc w:val="center"/>
              <w:rPr>
                <w:sz w:val="18"/>
                <w:szCs w:val="18"/>
              </w:rPr>
            </w:pPr>
            <w:r w:rsidRPr="00E27ED8">
              <w:rPr>
                <w:sz w:val="18"/>
                <w:szCs w:val="18"/>
              </w:rPr>
              <w:t>160</w:t>
            </w:r>
          </w:p>
        </w:tc>
        <w:tc>
          <w:tcPr>
            <w:tcW w:w="516" w:type="pct"/>
          </w:tcPr>
          <w:p w:rsidR="005A63D9" w:rsidRPr="00E27ED8" w:rsidRDefault="005A63D9" w:rsidP="00221B9C">
            <w:pPr>
              <w:spacing w:after="144"/>
              <w:jc w:val="center"/>
              <w:rPr>
                <w:sz w:val="18"/>
                <w:szCs w:val="18"/>
              </w:rPr>
            </w:pPr>
            <w:r w:rsidRPr="00E27ED8">
              <w:rPr>
                <w:sz w:val="18"/>
                <w:szCs w:val="18"/>
              </w:rPr>
              <w:t>1,6</w:t>
            </w:r>
          </w:p>
        </w:tc>
        <w:tc>
          <w:tcPr>
            <w:tcW w:w="516" w:type="pct"/>
          </w:tcPr>
          <w:p w:rsidR="005A63D9" w:rsidRPr="00E27ED8" w:rsidRDefault="005A63D9" w:rsidP="00221B9C">
            <w:pPr>
              <w:spacing w:after="144"/>
              <w:jc w:val="center"/>
              <w:rPr>
                <w:sz w:val="18"/>
                <w:szCs w:val="18"/>
              </w:rPr>
            </w:pPr>
            <w:r w:rsidRPr="00E27ED8">
              <w:rPr>
                <w:sz w:val="18"/>
                <w:szCs w:val="18"/>
              </w:rPr>
              <w:t>161</w:t>
            </w:r>
          </w:p>
        </w:tc>
        <w:tc>
          <w:tcPr>
            <w:tcW w:w="516" w:type="pct"/>
          </w:tcPr>
          <w:p w:rsidR="005A63D9" w:rsidRPr="00E27ED8" w:rsidRDefault="005A63D9" w:rsidP="00221B9C">
            <w:pPr>
              <w:spacing w:after="144"/>
              <w:jc w:val="center"/>
              <w:rPr>
                <w:sz w:val="18"/>
                <w:szCs w:val="18"/>
              </w:rPr>
            </w:pPr>
            <w:r w:rsidRPr="00E27ED8">
              <w:rPr>
                <w:sz w:val="18"/>
                <w:szCs w:val="18"/>
              </w:rPr>
              <w:t>1,6</w:t>
            </w:r>
          </w:p>
        </w:tc>
      </w:tr>
      <w:tr w:rsidR="005A63D9" w:rsidRPr="00E27ED8" w:rsidTr="00510C04">
        <w:tc>
          <w:tcPr>
            <w:tcW w:w="1904" w:type="pct"/>
            <w:tcBorders>
              <w:right w:val="single" w:sz="12" w:space="0" w:color="auto"/>
            </w:tcBorders>
          </w:tcPr>
          <w:p w:rsidR="005A63D9" w:rsidRPr="00E27ED8" w:rsidRDefault="005A63D9">
            <w:pPr>
              <w:spacing w:after="144"/>
              <w:rPr>
                <w:sz w:val="18"/>
                <w:szCs w:val="18"/>
              </w:rPr>
            </w:pPr>
            <w:r w:rsidRPr="00E27ED8">
              <w:rPr>
                <w:sz w:val="18"/>
                <w:szCs w:val="18"/>
              </w:rPr>
              <w:t>Ministerstvo zdravotnictví (DH)</w:t>
            </w:r>
          </w:p>
        </w:tc>
        <w:tc>
          <w:tcPr>
            <w:tcW w:w="516"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889</w:t>
            </w:r>
          </w:p>
        </w:tc>
        <w:tc>
          <w:tcPr>
            <w:tcW w:w="516" w:type="pct"/>
          </w:tcPr>
          <w:p w:rsidR="005A63D9" w:rsidRPr="00E27ED8" w:rsidRDefault="005A63D9" w:rsidP="00221B9C">
            <w:pPr>
              <w:spacing w:after="144"/>
              <w:jc w:val="center"/>
              <w:rPr>
                <w:sz w:val="18"/>
                <w:szCs w:val="18"/>
              </w:rPr>
            </w:pPr>
            <w:r w:rsidRPr="00E27ED8">
              <w:rPr>
                <w:sz w:val="18"/>
                <w:szCs w:val="18"/>
              </w:rPr>
              <w:t>8,7</w:t>
            </w:r>
          </w:p>
        </w:tc>
        <w:tc>
          <w:tcPr>
            <w:tcW w:w="516" w:type="pct"/>
          </w:tcPr>
          <w:p w:rsidR="005A63D9" w:rsidRPr="00E27ED8" w:rsidRDefault="005A63D9" w:rsidP="00221B9C">
            <w:pPr>
              <w:spacing w:after="144"/>
              <w:jc w:val="center"/>
              <w:rPr>
                <w:sz w:val="18"/>
                <w:szCs w:val="18"/>
              </w:rPr>
            </w:pPr>
            <w:r w:rsidRPr="00E27ED8">
              <w:rPr>
                <w:sz w:val="18"/>
                <w:szCs w:val="18"/>
              </w:rPr>
              <w:t>902</w:t>
            </w:r>
          </w:p>
        </w:tc>
        <w:tc>
          <w:tcPr>
            <w:tcW w:w="516" w:type="pct"/>
          </w:tcPr>
          <w:p w:rsidR="005A63D9" w:rsidRPr="00E27ED8" w:rsidRDefault="005A63D9" w:rsidP="00221B9C">
            <w:pPr>
              <w:spacing w:after="144"/>
              <w:jc w:val="center"/>
              <w:rPr>
                <w:sz w:val="18"/>
                <w:szCs w:val="18"/>
              </w:rPr>
            </w:pPr>
            <w:r w:rsidRPr="00E27ED8">
              <w:rPr>
                <w:sz w:val="18"/>
                <w:szCs w:val="18"/>
              </w:rPr>
              <w:t>8,9</w:t>
            </w:r>
          </w:p>
        </w:tc>
        <w:tc>
          <w:tcPr>
            <w:tcW w:w="516" w:type="pct"/>
          </w:tcPr>
          <w:p w:rsidR="005A63D9" w:rsidRPr="00E27ED8" w:rsidRDefault="005A63D9" w:rsidP="00221B9C">
            <w:pPr>
              <w:spacing w:after="144"/>
              <w:jc w:val="center"/>
              <w:rPr>
                <w:sz w:val="18"/>
                <w:szCs w:val="18"/>
              </w:rPr>
            </w:pPr>
            <w:r w:rsidRPr="00E27ED8">
              <w:rPr>
                <w:sz w:val="18"/>
                <w:szCs w:val="18"/>
              </w:rPr>
              <w:t>904</w:t>
            </w:r>
          </w:p>
        </w:tc>
        <w:tc>
          <w:tcPr>
            <w:tcW w:w="516" w:type="pct"/>
          </w:tcPr>
          <w:p w:rsidR="005A63D9" w:rsidRPr="00E27ED8" w:rsidRDefault="005A63D9" w:rsidP="00221B9C">
            <w:pPr>
              <w:spacing w:after="144"/>
              <w:jc w:val="center"/>
              <w:rPr>
                <w:sz w:val="18"/>
                <w:szCs w:val="18"/>
              </w:rPr>
            </w:pPr>
            <w:r w:rsidRPr="00E27ED8">
              <w:rPr>
                <w:sz w:val="18"/>
                <w:szCs w:val="18"/>
              </w:rPr>
              <w:t>9,2</w:t>
            </w:r>
          </w:p>
        </w:tc>
      </w:tr>
      <w:tr w:rsidR="005A63D9" w:rsidRPr="00E27ED8" w:rsidTr="00510C04">
        <w:tc>
          <w:tcPr>
            <w:tcW w:w="1904" w:type="pct"/>
            <w:tcBorders>
              <w:right w:val="single" w:sz="12" w:space="0" w:color="auto"/>
            </w:tcBorders>
          </w:tcPr>
          <w:p w:rsidR="005A63D9" w:rsidRPr="00E27ED8" w:rsidRDefault="005A63D9">
            <w:pPr>
              <w:spacing w:after="144"/>
              <w:rPr>
                <w:sz w:val="18"/>
                <w:szCs w:val="18"/>
              </w:rPr>
            </w:pPr>
            <w:r w:rsidRPr="00E27ED8">
              <w:rPr>
                <w:sz w:val="18"/>
                <w:szCs w:val="18"/>
              </w:rPr>
              <w:t>Ministerstvo obrany (MoD)</w:t>
            </w:r>
          </w:p>
        </w:tc>
        <w:tc>
          <w:tcPr>
            <w:tcW w:w="516"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1 752</w:t>
            </w:r>
          </w:p>
        </w:tc>
        <w:tc>
          <w:tcPr>
            <w:tcW w:w="516" w:type="pct"/>
          </w:tcPr>
          <w:p w:rsidR="005A63D9" w:rsidRPr="00E27ED8" w:rsidRDefault="005A63D9" w:rsidP="00221B9C">
            <w:pPr>
              <w:spacing w:after="144"/>
              <w:jc w:val="center"/>
              <w:rPr>
                <w:sz w:val="18"/>
                <w:szCs w:val="18"/>
              </w:rPr>
            </w:pPr>
            <w:r w:rsidRPr="00E27ED8">
              <w:rPr>
                <w:sz w:val="18"/>
                <w:szCs w:val="18"/>
              </w:rPr>
              <w:t>17,1</w:t>
            </w:r>
          </w:p>
        </w:tc>
        <w:tc>
          <w:tcPr>
            <w:tcW w:w="516" w:type="pct"/>
          </w:tcPr>
          <w:p w:rsidR="005A63D9" w:rsidRPr="00E27ED8" w:rsidRDefault="005A63D9" w:rsidP="00221B9C">
            <w:pPr>
              <w:spacing w:after="144"/>
              <w:jc w:val="center"/>
              <w:rPr>
                <w:sz w:val="18"/>
                <w:szCs w:val="18"/>
              </w:rPr>
            </w:pPr>
            <w:r w:rsidRPr="00E27ED8">
              <w:rPr>
                <w:sz w:val="18"/>
                <w:szCs w:val="18"/>
              </w:rPr>
              <w:t>1 693</w:t>
            </w:r>
          </w:p>
        </w:tc>
        <w:tc>
          <w:tcPr>
            <w:tcW w:w="516" w:type="pct"/>
          </w:tcPr>
          <w:p w:rsidR="005A63D9" w:rsidRPr="00E27ED8" w:rsidRDefault="005A63D9" w:rsidP="00221B9C">
            <w:pPr>
              <w:spacing w:after="144"/>
              <w:jc w:val="center"/>
              <w:rPr>
                <w:sz w:val="18"/>
                <w:szCs w:val="18"/>
              </w:rPr>
            </w:pPr>
            <w:r w:rsidRPr="00E27ED8">
              <w:rPr>
                <w:sz w:val="18"/>
                <w:szCs w:val="18"/>
              </w:rPr>
              <w:t>16,8</w:t>
            </w:r>
          </w:p>
        </w:tc>
        <w:tc>
          <w:tcPr>
            <w:tcW w:w="516" w:type="pct"/>
          </w:tcPr>
          <w:p w:rsidR="005A63D9" w:rsidRPr="00E27ED8" w:rsidRDefault="005A63D9" w:rsidP="00221B9C">
            <w:pPr>
              <w:spacing w:after="144"/>
              <w:jc w:val="center"/>
              <w:rPr>
                <w:sz w:val="18"/>
                <w:szCs w:val="18"/>
              </w:rPr>
            </w:pPr>
            <w:r w:rsidRPr="00E27ED8">
              <w:rPr>
                <w:sz w:val="18"/>
                <w:szCs w:val="18"/>
              </w:rPr>
              <w:t>1 306</w:t>
            </w:r>
          </w:p>
        </w:tc>
        <w:tc>
          <w:tcPr>
            <w:tcW w:w="516" w:type="pct"/>
          </w:tcPr>
          <w:p w:rsidR="005A63D9" w:rsidRPr="00E27ED8" w:rsidRDefault="005A63D9" w:rsidP="00221B9C">
            <w:pPr>
              <w:spacing w:after="144"/>
              <w:jc w:val="center"/>
              <w:rPr>
                <w:sz w:val="18"/>
                <w:szCs w:val="18"/>
              </w:rPr>
            </w:pPr>
            <w:r w:rsidRPr="00E27ED8">
              <w:rPr>
                <w:sz w:val="18"/>
                <w:szCs w:val="18"/>
              </w:rPr>
              <w:t>13,2</w:t>
            </w:r>
          </w:p>
        </w:tc>
      </w:tr>
      <w:tr w:rsidR="005A63D9" w:rsidRPr="00E27ED8" w:rsidTr="00510C04">
        <w:tc>
          <w:tcPr>
            <w:tcW w:w="1904" w:type="pct"/>
            <w:tcBorders>
              <w:right w:val="single" w:sz="12" w:space="0" w:color="auto"/>
            </w:tcBorders>
          </w:tcPr>
          <w:p w:rsidR="005A63D9" w:rsidRPr="00E27ED8" w:rsidRDefault="005A63D9">
            <w:pPr>
              <w:spacing w:after="144"/>
              <w:rPr>
                <w:sz w:val="18"/>
                <w:szCs w:val="18"/>
              </w:rPr>
            </w:pPr>
            <w:r w:rsidRPr="00E27ED8">
              <w:rPr>
                <w:sz w:val="18"/>
                <w:szCs w:val="18"/>
              </w:rPr>
              <w:t>Rady pro výzkum (celkem) (RC)</w:t>
            </w:r>
          </w:p>
        </w:tc>
        <w:tc>
          <w:tcPr>
            <w:tcW w:w="516"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3 357</w:t>
            </w:r>
          </w:p>
        </w:tc>
        <w:tc>
          <w:tcPr>
            <w:tcW w:w="516" w:type="pct"/>
          </w:tcPr>
          <w:p w:rsidR="005A63D9" w:rsidRPr="00E27ED8" w:rsidRDefault="005A63D9" w:rsidP="00221B9C">
            <w:pPr>
              <w:spacing w:after="144"/>
              <w:jc w:val="center"/>
              <w:rPr>
                <w:sz w:val="18"/>
                <w:szCs w:val="18"/>
              </w:rPr>
            </w:pPr>
            <w:r w:rsidRPr="00E27ED8">
              <w:rPr>
                <w:sz w:val="18"/>
                <w:szCs w:val="18"/>
              </w:rPr>
              <w:t>32,7</w:t>
            </w:r>
          </w:p>
        </w:tc>
        <w:tc>
          <w:tcPr>
            <w:tcW w:w="516" w:type="pct"/>
          </w:tcPr>
          <w:p w:rsidR="005A63D9" w:rsidRPr="00E27ED8" w:rsidRDefault="005A63D9" w:rsidP="00221B9C">
            <w:pPr>
              <w:spacing w:after="144"/>
              <w:jc w:val="center"/>
              <w:rPr>
                <w:sz w:val="18"/>
                <w:szCs w:val="18"/>
              </w:rPr>
            </w:pPr>
            <w:r w:rsidRPr="00E27ED8">
              <w:rPr>
                <w:sz w:val="18"/>
                <w:szCs w:val="18"/>
              </w:rPr>
              <w:t>3 349</w:t>
            </w:r>
          </w:p>
        </w:tc>
        <w:tc>
          <w:tcPr>
            <w:tcW w:w="516" w:type="pct"/>
          </w:tcPr>
          <w:p w:rsidR="005A63D9" w:rsidRPr="00E27ED8" w:rsidRDefault="005A63D9" w:rsidP="00221B9C">
            <w:pPr>
              <w:spacing w:after="144"/>
              <w:jc w:val="center"/>
              <w:rPr>
                <w:sz w:val="18"/>
                <w:szCs w:val="18"/>
              </w:rPr>
            </w:pPr>
            <w:r w:rsidRPr="00E27ED8">
              <w:rPr>
                <w:sz w:val="18"/>
                <w:szCs w:val="18"/>
              </w:rPr>
              <w:t>33,2</w:t>
            </w:r>
          </w:p>
        </w:tc>
        <w:tc>
          <w:tcPr>
            <w:tcW w:w="516" w:type="pct"/>
          </w:tcPr>
          <w:p w:rsidR="005A63D9" w:rsidRPr="00E27ED8" w:rsidRDefault="005A63D9" w:rsidP="00221B9C">
            <w:pPr>
              <w:spacing w:after="144"/>
              <w:jc w:val="center"/>
              <w:rPr>
                <w:sz w:val="18"/>
                <w:szCs w:val="18"/>
              </w:rPr>
            </w:pPr>
            <w:r w:rsidRPr="00E27ED8">
              <w:rPr>
                <w:sz w:val="18"/>
                <w:szCs w:val="18"/>
              </w:rPr>
              <w:t>3286</w:t>
            </w:r>
          </w:p>
        </w:tc>
        <w:tc>
          <w:tcPr>
            <w:tcW w:w="516" w:type="pct"/>
          </w:tcPr>
          <w:p w:rsidR="005A63D9" w:rsidRPr="00E27ED8" w:rsidRDefault="005A63D9" w:rsidP="00221B9C">
            <w:pPr>
              <w:spacing w:after="144"/>
              <w:jc w:val="center"/>
              <w:rPr>
                <w:sz w:val="18"/>
                <w:szCs w:val="18"/>
              </w:rPr>
            </w:pPr>
            <w:r w:rsidRPr="00E27ED8">
              <w:rPr>
                <w:sz w:val="18"/>
                <w:szCs w:val="18"/>
              </w:rPr>
              <w:t>33,3</w:t>
            </w:r>
          </w:p>
        </w:tc>
      </w:tr>
      <w:tr w:rsidR="005A63D9" w:rsidRPr="00E27ED8" w:rsidTr="00510C04">
        <w:tc>
          <w:tcPr>
            <w:tcW w:w="1904" w:type="pct"/>
            <w:tcBorders>
              <w:right w:val="single" w:sz="12" w:space="0" w:color="auto"/>
            </w:tcBorders>
          </w:tcPr>
          <w:p w:rsidR="005A63D9" w:rsidRPr="00E27ED8" w:rsidRDefault="005A63D9">
            <w:pPr>
              <w:spacing w:after="144"/>
              <w:rPr>
                <w:sz w:val="18"/>
                <w:szCs w:val="18"/>
              </w:rPr>
            </w:pPr>
            <w:r w:rsidRPr="00E27ED8">
              <w:rPr>
                <w:sz w:val="18"/>
                <w:szCs w:val="18"/>
              </w:rPr>
              <w:t>Fondy pro podporu vysokoškolského vzdělávání (celkem) (HEFC)</w:t>
            </w:r>
          </w:p>
        </w:tc>
        <w:tc>
          <w:tcPr>
            <w:tcW w:w="516"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2 524</w:t>
            </w:r>
          </w:p>
        </w:tc>
        <w:tc>
          <w:tcPr>
            <w:tcW w:w="516" w:type="pct"/>
          </w:tcPr>
          <w:p w:rsidR="005A63D9" w:rsidRPr="00E27ED8" w:rsidRDefault="005A63D9" w:rsidP="00221B9C">
            <w:pPr>
              <w:spacing w:after="144"/>
              <w:jc w:val="center"/>
              <w:rPr>
                <w:sz w:val="18"/>
                <w:szCs w:val="18"/>
              </w:rPr>
            </w:pPr>
            <w:r w:rsidRPr="00E27ED8">
              <w:rPr>
                <w:sz w:val="18"/>
                <w:szCs w:val="18"/>
              </w:rPr>
              <w:t>24,6</w:t>
            </w:r>
          </w:p>
        </w:tc>
        <w:tc>
          <w:tcPr>
            <w:tcW w:w="516" w:type="pct"/>
          </w:tcPr>
          <w:p w:rsidR="005A63D9" w:rsidRPr="00E27ED8" w:rsidRDefault="005A63D9" w:rsidP="00221B9C">
            <w:pPr>
              <w:spacing w:after="144"/>
              <w:jc w:val="center"/>
              <w:rPr>
                <w:sz w:val="18"/>
                <w:szCs w:val="18"/>
              </w:rPr>
            </w:pPr>
            <w:r w:rsidRPr="00E27ED8">
              <w:rPr>
                <w:sz w:val="18"/>
                <w:szCs w:val="18"/>
              </w:rPr>
              <w:t>2 354</w:t>
            </w:r>
          </w:p>
        </w:tc>
        <w:tc>
          <w:tcPr>
            <w:tcW w:w="516" w:type="pct"/>
          </w:tcPr>
          <w:p w:rsidR="005A63D9" w:rsidRPr="00E27ED8" w:rsidRDefault="005A63D9" w:rsidP="00221B9C">
            <w:pPr>
              <w:spacing w:after="144"/>
              <w:jc w:val="center"/>
              <w:rPr>
                <w:sz w:val="18"/>
                <w:szCs w:val="18"/>
              </w:rPr>
            </w:pPr>
            <w:r w:rsidRPr="00E27ED8">
              <w:rPr>
                <w:sz w:val="18"/>
                <w:szCs w:val="18"/>
              </w:rPr>
              <w:t>23,3</w:t>
            </w:r>
          </w:p>
        </w:tc>
        <w:tc>
          <w:tcPr>
            <w:tcW w:w="516" w:type="pct"/>
          </w:tcPr>
          <w:p w:rsidR="005A63D9" w:rsidRPr="00E27ED8" w:rsidRDefault="005A63D9" w:rsidP="00221B9C">
            <w:pPr>
              <w:spacing w:after="144"/>
              <w:jc w:val="center"/>
              <w:rPr>
                <w:sz w:val="18"/>
                <w:szCs w:val="18"/>
              </w:rPr>
            </w:pPr>
            <w:r w:rsidRPr="00E27ED8">
              <w:rPr>
                <w:sz w:val="18"/>
                <w:szCs w:val="18"/>
              </w:rPr>
              <w:t>2 259</w:t>
            </w:r>
          </w:p>
        </w:tc>
        <w:tc>
          <w:tcPr>
            <w:tcW w:w="516" w:type="pct"/>
          </w:tcPr>
          <w:p w:rsidR="005A63D9" w:rsidRPr="00E27ED8" w:rsidRDefault="005A63D9" w:rsidP="00221B9C">
            <w:pPr>
              <w:spacing w:after="144"/>
              <w:jc w:val="center"/>
              <w:rPr>
                <w:sz w:val="18"/>
                <w:szCs w:val="18"/>
              </w:rPr>
            </w:pPr>
            <w:r w:rsidRPr="00E27ED8">
              <w:rPr>
                <w:sz w:val="18"/>
                <w:szCs w:val="18"/>
              </w:rPr>
              <w:t>22,9</w:t>
            </w:r>
          </w:p>
        </w:tc>
      </w:tr>
      <w:tr w:rsidR="005A63D9" w:rsidRPr="00E27ED8" w:rsidTr="00510C04">
        <w:tc>
          <w:tcPr>
            <w:tcW w:w="1904" w:type="pct"/>
            <w:tcBorders>
              <w:bottom w:val="single" w:sz="12" w:space="0" w:color="auto"/>
              <w:right w:val="single" w:sz="12" w:space="0" w:color="auto"/>
            </w:tcBorders>
          </w:tcPr>
          <w:p w:rsidR="005A63D9" w:rsidRPr="00E27ED8" w:rsidRDefault="005A63D9">
            <w:pPr>
              <w:spacing w:after="144"/>
              <w:rPr>
                <w:sz w:val="18"/>
                <w:szCs w:val="18"/>
              </w:rPr>
            </w:pPr>
            <w:r w:rsidRPr="00E27ED8">
              <w:rPr>
                <w:sz w:val="18"/>
                <w:szCs w:val="18"/>
              </w:rPr>
              <w:t>CELKEM</w:t>
            </w:r>
          </w:p>
        </w:tc>
        <w:tc>
          <w:tcPr>
            <w:tcW w:w="516" w:type="pct"/>
            <w:tcBorders>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10 255</w:t>
            </w:r>
          </w:p>
        </w:tc>
        <w:tc>
          <w:tcPr>
            <w:tcW w:w="516"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516"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10 083</w:t>
            </w:r>
          </w:p>
        </w:tc>
        <w:tc>
          <w:tcPr>
            <w:tcW w:w="516"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516"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9 868</w:t>
            </w:r>
          </w:p>
        </w:tc>
        <w:tc>
          <w:tcPr>
            <w:tcW w:w="516"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r>
    </w:tbl>
    <w:p w:rsidR="005A63D9" w:rsidRPr="0063579C" w:rsidRDefault="005A63D9" w:rsidP="0008405A">
      <w:pPr>
        <w:pStyle w:val="ZDROJovan"/>
        <w:spacing w:after="144" w:line="288" w:lineRule="auto"/>
        <w:jc w:val="both"/>
      </w:pPr>
      <w:r w:rsidRPr="00AE604E">
        <w:t>Zdroj: BIS, SET Statistics 2013. 25. 9. 2013 (Novější statistiky SET ještě nejsou k dispozici).</w:t>
      </w:r>
    </w:p>
    <w:p w:rsidR="005A63D9" w:rsidRPr="0098492B" w:rsidRDefault="005A63D9" w:rsidP="0098492B">
      <w:pPr>
        <w:widowControl w:val="0"/>
        <w:adjustRightInd w:val="0"/>
        <w:spacing w:afterLines="0"/>
        <w:ind w:firstLine="539"/>
        <w:contextualSpacing w:val="0"/>
        <w:jc w:val="both"/>
        <w:textAlignment w:val="baseline"/>
        <w:rPr>
          <w:color w:val="000000"/>
          <w:shd w:val="clear" w:color="auto" w:fill="FFFFFF"/>
          <w:lang w:eastAsia="cs-CZ"/>
        </w:rPr>
      </w:pPr>
      <w:r w:rsidRPr="0098492B">
        <w:rPr>
          <w:color w:val="000000"/>
          <w:shd w:val="clear" w:color="auto" w:fill="FFFFFF"/>
          <w:lang w:eastAsia="cs-CZ"/>
        </w:rPr>
        <w:t>Statistiky VaVaI ve Velké Británii, stejně jako např. v USA, rozlišují v souladu s manuálem Frascati OECD výdaje na 2 druhy základního výzkumu, 2 druhy aplikovaného výzkumu a experimentální vývoj. Dokladem je i následující Tab. č. 28. sestavená z dat statistiky VaV BIS, kde jsou data v milionech liber.</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98492B" w:rsidRDefault="005A63D9" w:rsidP="0098492B">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28</w:t>
      </w:r>
      <w:r w:rsidRPr="0098492B">
        <w:rPr>
          <w:b/>
          <w:color w:val="000000"/>
          <w:shd w:val="clear" w:color="auto" w:fill="FFFFFF"/>
          <w:lang w:eastAsia="cs-CZ"/>
        </w:rPr>
        <w:t xml:space="preserve"> </w:t>
      </w:r>
      <w:r w:rsidRPr="0098492B">
        <w:rPr>
          <w:color w:val="000000"/>
          <w:shd w:val="clear" w:color="auto" w:fill="FFFFFF"/>
          <w:lang w:eastAsia="cs-CZ"/>
        </w:rPr>
        <w:t>Podíly celkových státních výdajů na jednotlivé druhy VaV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223"/>
        <w:gridCol w:w="3665"/>
        <w:gridCol w:w="1467"/>
        <w:gridCol w:w="1467"/>
        <w:gridCol w:w="1465"/>
      </w:tblGrid>
      <w:tr w:rsidR="005A63D9" w:rsidRPr="00E27ED8" w:rsidTr="00510C04">
        <w:tc>
          <w:tcPr>
            <w:tcW w:w="658" w:type="pct"/>
            <w:tcBorders>
              <w:top w:val="single" w:sz="12" w:space="0" w:color="auto"/>
              <w:bottom w:val="double" w:sz="4" w:space="0" w:color="auto"/>
            </w:tcBorders>
            <w:shd w:val="clear" w:color="auto" w:fill="BFBFBF"/>
            <w:vAlign w:val="center"/>
          </w:tcPr>
          <w:p w:rsidR="005A63D9" w:rsidRPr="00E27ED8" w:rsidRDefault="005A63D9" w:rsidP="0008405A">
            <w:pPr>
              <w:spacing w:after="144"/>
              <w:jc w:val="both"/>
              <w:rPr>
                <w:b/>
                <w:sz w:val="20"/>
                <w:szCs w:val="20"/>
              </w:rPr>
            </w:pPr>
          </w:p>
        </w:tc>
        <w:tc>
          <w:tcPr>
            <w:tcW w:w="1973" w:type="pct"/>
            <w:tcBorders>
              <w:top w:val="single" w:sz="12" w:space="0" w:color="auto"/>
              <w:bottom w:val="double" w:sz="4" w:space="0" w:color="auto"/>
              <w:right w:val="single" w:sz="12" w:space="0" w:color="auto"/>
            </w:tcBorders>
            <w:shd w:val="clear" w:color="auto" w:fill="BFBFBF"/>
            <w:vAlign w:val="center"/>
          </w:tcPr>
          <w:p w:rsidR="005A63D9" w:rsidRPr="00E27ED8" w:rsidRDefault="005A63D9" w:rsidP="00221B9C">
            <w:pPr>
              <w:spacing w:after="144"/>
              <w:jc w:val="center"/>
              <w:rPr>
                <w:b/>
                <w:sz w:val="20"/>
                <w:szCs w:val="20"/>
              </w:rPr>
            </w:pPr>
          </w:p>
        </w:tc>
        <w:tc>
          <w:tcPr>
            <w:tcW w:w="790"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20"/>
                <w:szCs w:val="20"/>
              </w:rPr>
            </w:pPr>
            <w:r w:rsidRPr="00E27ED8">
              <w:rPr>
                <w:b/>
                <w:sz w:val="20"/>
                <w:szCs w:val="20"/>
              </w:rPr>
              <w:t>2007–08</w:t>
            </w:r>
          </w:p>
        </w:tc>
        <w:tc>
          <w:tcPr>
            <w:tcW w:w="7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20"/>
                <w:szCs w:val="20"/>
              </w:rPr>
            </w:pPr>
            <w:r w:rsidRPr="00E27ED8">
              <w:rPr>
                <w:b/>
                <w:sz w:val="20"/>
                <w:szCs w:val="20"/>
              </w:rPr>
              <w:t>2009–10</w:t>
            </w:r>
          </w:p>
        </w:tc>
        <w:tc>
          <w:tcPr>
            <w:tcW w:w="7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20"/>
                <w:szCs w:val="20"/>
              </w:rPr>
            </w:pPr>
            <w:r w:rsidRPr="00E27ED8">
              <w:rPr>
                <w:b/>
                <w:sz w:val="20"/>
                <w:szCs w:val="20"/>
              </w:rPr>
              <w:t>2011–12</w:t>
            </w:r>
          </w:p>
        </w:tc>
      </w:tr>
      <w:tr w:rsidR="005A63D9" w:rsidRPr="00E27ED8" w:rsidTr="00510C04">
        <w:trPr>
          <w:trHeight w:val="227"/>
        </w:trPr>
        <w:tc>
          <w:tcPr>
            <w:tcW w:w="658" w:type="pct"/>
            <w:vMerge w:val="restart"/>
            <w:tcBorders>
              <w:top w:val="double" w:sz="4" w:space="0" w:color="auto"/>
            </w:tcBorders>
            <w:textDirection w:val="btLr"/>
            <w:vAlign w:val="center"/>
          </w:tcPr>
          <w:p w:rsidR="005A63D9" w:rsidRPr="00E27ED8" w:rsidRDefault="005A63D9">
            <w:pPr>
              <w:spacing w:after="144"/>
              <w:ind w:left="113" w:right="113"/>
              <w:rPr>
                <w:b/>
                <w:sz w:val="16"/>
                <w:szCs w:val="16"/>
              </w:rPr>
            </w:pPr>
            <w:r w:rsidRPr="00E27ED8">
              <w:rPr>
                <w:b/>
                <w:sz w:val="16"/>
                <w:szCs w:val="16"/>
              </w:rPr>
              <w:t>Rady pro výzkum</w:t>
            </w:r>
          </w:p>
        </w:tc>
        <w:tc>
          <w:tcPr>
            <w:tcW w:w="1973" w:type="pct"/>
            <w:tcBorders>
              <w:top w:val="double" w:sz="4"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Čistý základní</w:t>
            </w:r>
          </w:p>
        </w:tc>
        <w:tc>
          <w:tcPr>
            <w:tcW w:w="790" w:type="pct"/>
            <w:tcBorders>
              <w:top w:val="double" w:sz="4" w:space="0" w:color="auto"/>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27,4</w:t>
            </w:r>
          </w:p>
        </w:tc>
        <w:tc>
          <w:tcPr>
            <w:tcW w:w="790" w:type="pct"/>
            <w:tcBorders>
              <w:top w:val="double" w:sz="4" w:space="0" w:color="auto"/>
            </w:tcBorders>
            <w:vAlign w:val="center"/>
          </w:tcPr>
          <w:p w:rsidR="005A63D9" w:rsidRPr="00E27ED8" w:rsidRDefault="005A63D9" w:rsidP="00221B9C">
            <w:pPr>
              <w:spacing w:after="144"/>
              <w:jc w:val="center"/>
              <w:rPr>
                <w:sz w:val="16"/>
                <w:szCs w:val="16"/>
              </w:rPr>
            </w:pPr>
            <w:r w:rsidRPr="00E27ED8">
              <w:rPr>
                <w:sz w:val="16"/>
                <w:szCs w:val="16"/>
              </w:rPr>
              <w:t>26,0</w:t>
            </w:r>
          </w:p>
        </w:tc>
        <w:tc>
          <w:tcPr>
            <w:tcW w:w="790" w:type="pct"/>
            <w:tcBorders>
              <w:top w:val="double" w:sz="4" w:space="0" w:color="auto"/>
            </w:tcBorders>
            <w:vAlign w:val="center"/>
          </w:tcPr>
          <w:p w:rsidR="005A63D9" w:rsidRPr="00E27ED8" w:rsidRDefault="005A63D9" w:rsidP="00221B9C">
            <w:pPr>
              <w:spacing w:after="144"/>
              <w:jc w:val="center"/>
              <w:rPr>
                <w:sz w:val="16"/>
                <w:szCs w:val="16"/>
              </w:rPr>
            </w:pPr>
            <w:r w:rsidRPr="00E27ED8">
              <w:rPr>
                <w:sz w:val="16"/>
                <w:szCs w:val="16"/>
              </w:rPr>
              <w:t>22,4</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Orientovaný základní</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37,6</w:t>
            </w:r>
          </w:p>
        </w:tc>
        <w:tc>
          <w:tcPr>
            <w:tcW w:w="790" w:type="pct"/>
            <w:vAlign w:val="center"/>
          </w:tcPr>
          <w:p w:rsidR="005A63D9" w:rsidRPr="00E27ED8" w:rsidRDefault="005A63D9" w:rsidP="00221B9C">
            <w:pPr>
              <w:spacing w:after="144"/>
              <w:jc w:val="center"/>
              <w:rPr>
                <w:sz w:val="16"/>
                <w:szCs w:val="16"/>
              </w:rPr>
            </w:pPr>
            <w:r w:rsidRPr="00E27ED8">
              <w:rPr>
                <w:sz w:val="16"/>
                <w:szCs w:val="16"/>
              </w:rPr>
              <w:t>38,8</w:t>
            </w:r>
          </w:p>
        </w:tc>
        <w:tc>
          <w:tcPr>
            <w:tcW w:w="790" w:type="pct"/>
            <w:vAlign w:val="center"/>
          </w:tcPr>
          <w:p w:rsidR="005A63D9" w:rsidRPr="00E27ED8" w:rsidRDefault="005A63D9" w:rsidP="00221B9C">
            <w:pPr>
              <w:spacing w:after="144"/>
              <w:jc w:val="center"/>
              <w:rPr>
                <w:sz w:val="16"/>
                <w:szCs w:val="16"/>
              </w:rPr>
            </w:pPr>
            <w:r w:rsidRPr="00E27ED8">
              <w:rPr>
                <w:sz w:val="16"/>
                <w:szCs w:val="16"/>
              </w:rPr>
              <w:t>38,3</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Strategický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27,2</w:t>
            </w:r>
          </w:p>
        </w:tc>
        <w:tc>
          <w:tcPr>
            <w:tcW w:w="790" w:type="pct"/>
            <w:vAlign w:val="center"/>
          </w:tcPr>
          <w:p w:rsidR="005A63D9" w:rsidRPr="00E27ED8" w:rsidRDefault="005A63D9" w:rsidP="00221B9C">
            <w:pPr>
              <w:spacing w:after="144"/>
              <w:jc w:val="center"/>
              <w:rPr>
                <w:sz w:val="16"/>
                <w:szCs w:val="16"/>
              </w:rPr>
            </w:pPr>
            <w:r w:rsidRPr="00E27ED8">
              <w:rPr>
                <w:sz w:val="16"/>
                <w:szCs w:val="16"/>
              </w:rPr>
              <w:t>26,9</w:t>
            </w:r>
          </w:p>
        </w:tc>
        <w:tc>
          <w:tcPr>
            <w:tcW w:w="790" w:type="pct"/>
            <w:vAlign w:val="center"/>
          </w:tcPr>
          <w:p w:rsidR="005A63D9" w:rsidRPr="00E27ED8" w:rsidRDefault="005A63D9" w:rsidP="00221B9C">
            <w:pPr>
              <w:spacing w:after="144"/>
              <w:jc w:val="center"/>
              <w:rPr>
                <w:sz w:val="16"/>
                <w:szCs w:val="16"/>
              </w:rPr>
            </w:pPr>
            <w:r w:rsidRPr="00E27ED8">
              <w:rPr>
                <w:sz w:val="16"/>
                <w:szCs w:val="16"/>
              </w:rPr>
              <w:t>28,9</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Specifický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6,2</w:t>
            </w:r>
          </w:p>
        </w:tc>
        <w:tc>
          <w:tcPr>
            <w:tcW w:w="790" w:type="pct"/>
            <w:vAlign w:val="center"/>
          </w:tcPr>
          <w:p w:rsidR="005A63D9" w:rsidRPr="00E27ED8" w:rsidRDefault="005A63D9" w:rsidP="00221B9C">
            <w:pPr>
              <w:spacing w:after="144"/>
              <w:jc w:val="center"/>
              <w:rPr>
                <w:sz w:val="16"/>
                <w:szCs w:val="16"/>
              </w:rPr>
            </w:pPr>
            <w:r w:rsidRPr="00E27ED8">
              <w:rPr>
                <w:sz w:val="16"/>
                <w:szCs w:val="16"/>
              </w:rPr>
              <w:t>6,6</w:t>
            </w:r>
          </w:p>
        </w:tc>
        <w:tc>
          <w:tcPr>
            <w:tcW w:w="790" w:type="pct"/>
            <w:vAlign w:val="center"/>
          </w:tcPr>
          <w:p w:rsidR="005A63D9" w:rsidRPr="00E27ED8" w:rsidRDefault="005A63D9" w:rsidP="00221B9C">
            <w:pPr>
              <w:spacing w:after="144"/>
              <w:jc w:val="center"/>
              <w:rPr>
                <w:sz w:val="16"/>
                <w:szCs w:val="16"/>
              </w:rPr>
            </w:pPr>
            <w:r w:rsidRPr="00E27ED8">
              <w:rPr>
                <w:sz w:val="16"/>
                <w:szCs w:val="16"/>
              </w:rPr>
              <w:t>8,7</w:t>
            </w:r>
          </w:p>
        </w:tc>
      </w:tr>
      <w:tr w:rsidR="005A63D9" w:rsidRPr="00E27ED8" w:rsidTr="00510C04">
        <w:trPr>
          <w:trHeight w:val="227"/>
        </w:trPr>
        <w:tc>
          <w:tcPr>
            <w:tcW w:w="658" w:type="pct"/>
            <w:vMerge/>
            <w:tcBorders>
              <w:bottom w:val="single" w:sz="12" w:space="0" w:color="auto"/>
            </w:tcBorders>
            <w:textDirection w:val="btLr"/>
            <w:vAlign w:val="center"/>
          </w:tcPr>
          <w:p w:rsidR="005A63D9" w:rsidRPr="00E27ED8" w:rsidRDefault="005A63D9" w:rsidP="0008405A">
            <w:pPr>
              <w:spacing w:after="144"/>
              <w:ind w:left="113" w:right="113"/>
              <w:jc w:val="both"/>
              <w:rPr>
                <w:b/>
                <w:sz w:val="16"/>
                <w:szCs w:val="16"/>
              </w:rPr>
            </w:pPr>
          </w:p>
        </w:tc>
        <w:tc>
          <w:tcPr>
            <w:tcW w:w="1973" w:type="pct"/>
            <w:tcBorders>
              <w:bottom w:val="single" w:sz="12"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Experimentální vývoj</w:t>
            </w:r>
          </w:p>
        </w:tc>
        <w:tc>
          <w:tcPr>
            <w:tcW w:w="790" w:type="pct"/>
            <w:tcBorders>
              <w:left w:val="single" w:sz="12" w:space="0" w:color="auto"/>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2,0</w:t>
            </w:r>
          </w:p>
        </w:tc>
        <w:tc>
          <w:tcPr>
            <w:tcW w:w="790"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1,8</w:t>
            </w:r>
          </w:p>
        </w:tc>
        <w:tc>
          <w:tcPr>
            <w:tcW w:w="790"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1,7</w:t>
            </w:r>
          </w:p>
        </w:tc>
      </w:tr>
      <w:tr w:rsidR="005A63D9" w:rsidRPr="00E27ED8" w:rsidTr="009C68B4">
        <w:trPr>
          <w:trHeight w:val="227"/>
        </w:trPr>
        <w:tc>
          <w:tcPr>
            <w:tcW w:w="658" w:type="pct"/>
            <w:vMerge w:val="restart"/>
            <w:tcBorders>
              <w:top w:val="single" w:sz="12" w:space="0" w:color="auto"/>
            </w:tcBorders>
            <w:textDirection w:val="btLr"/>
            <w:vAlign w:val="center"/>
          </w:tcPr>
          <w:p w:rsidR="005A63D9" w:rsidRPr="00E27ED8" w:rsidRDefault="005A63D9" w:rsidP="009C68B4">
            <w:pPr>
              <w:spacing w:after="144"/>
              <w:ind w:left="113" w:right="113"/>
              <w:jc w:val="both"/>
              <w:rPr>
                <w:b/>
                <w:sz w:val="16"/>
                <w:szCs w:val="16"/>
              </w:rPr>
            </w:pPr>
            <w:r w:rsidRPr="00E27ED8">
              <w:rPr>
                <w:b/>
                <w:sz w:val="16"/>
                <w:szCs w:val="16"/>
              </w:rPr>
              <w:t>Civilní ministerstva</w:t>
            </w:r>
          </w:p>
        </w:tc>
        <w:tc>
          <w:tcPr>
            <w:tcW w:w="1973" w:type="pct"/>
            <w:tcBorders>
              <w:top w:val="single" w:sz="12"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Čistý základní</w:t>
            </w:r>
          </w:p>
        </w:tc>
        <w:tc>
          <w:tcPr>
            <w:tcW w:w="790" w:type="pct"/>
            <w:tcBorders>
              <w:top w:val="single" w:sz="12" w:space="0" w:color="auto"/>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6,0</w:t>
            </w:r>
          </w:p>
        </w:tc>
        <w:tc>
          <w:tcPr>
            <w:tcW w:w="790"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5,9</w:t>
            </w:r>
          </w:p>
        </w:tc>
        <w:tc>
          <w:tcPr>
            <w:tcW w:w="790"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4,7</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Orientovaný základní</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4,7</w:t>
            </w:r>
          </w:p>
        </w:tc>
        <w:tc>
          <w:tcPr>
            <w:tcW w:w="790" w:type="pct"/>
            <w:vAlign w:val="center"/>
          </w:tcPr>
          <w:p w:rsidR="005A63D9" w:rsidRPr="00E27ED8" w:rsidRDefault="005A63D9" w:rsidP="00221B9C">
            <w:pPr>
              <w:spacing w:after="144"/>
              <w:jc w:val="center"/>
              <w:rPr>
                <w:sz w:val="16"/>
                <w:szCs w:val="16"/>
              </w:rPr>
            </w:pPr>
            <w:r w:rsidRPr="00E27ED8">
              <w:rPr>
                <w:sz w:val="16"/>
                <w:szCs w:val="16"/>
              </w:rPr>
              <w:t>6,6</w:t>
            </w:r>
          </w:p>
        </w:tc>
        <w:tc>
          <w:tcPr>
            <w:tcW w:w="790" w:type="pct"/>
            <w:vAlign w:val="center"/>
          </w:tcPr>
          <w:p w:rsidR="005A63D9" w:rsidRPr="00E27ED8" w:rsidRDefault="005A63D9" w:rsidP="00221B9C">
            <w:pPr>
              <w:spacing w:after="144"/>
              <w:jc w:val="center"/>
              <w:rPr>
                <w:sz w:val="16"/>
                <w:szCs w:val="16"/>
              </w:rPr>
            </w:pPr>
            <w:r w:rsidRPr="00E27ED8">
              <w:rPr>
                <w:sz w:val="16"/>
                <w:szCs w:val="16"/>
              </w:rPr>
              <w:t>7,1</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Strategický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38,6</w:t>
            </w:r>
          </w:p>
        </w:tc>
        <w:tc>
          <w:tcPr>
            <w:tcW w:w="790" w:type="pct"/>
            <w:vAlign w:val="center"/>
          </w:tcPr>
          <w:p w:rsidR="005A63D9" w:rsidRPr="00E27ED8" w:rsidRDefault="005A63D9" w:rsidP="00221B9C">
            <w:pPr>
              <w:spacing w:after="144"/>
              <w:jc w:val="center"/>
              <w:rPr>
                <w:sz w:val="16"/>
                <w:szCs w:val="16"/>
              </w:rPr>
            </w:pPr>
            <w:r w:rsidRPr="00E27ED8">
              <w:rPr>
                <w:sz w:val="16"/>
                <w:szCs w:val="16"/>
              </w:rPr>
              <w:t>32,2</w:t>
            </w:r>
          </w:p>
        </w:tc>
        <w:tc>
          <w:tcPr>
            <w:tcW w:w="790" w:type="pct"/>
            <w:vAlign w:val="center"/>
          </w:tcPr>
          <w:p w:rsidR="005A63D9" w:rsidRPr="00E27ED8" w:rsidRDefault="005A63D9" w:rsidP="00221B9C">
            <w:pPr>
              <w:spacing w:after="144"/>
              <w:jc w:val="center"/>
              <w:rPr>
                <w:sz w:val="16"/>
                <w:szCs w:val="16"/>
              </w:rPr>
            </w:pPr>
            <w:r w:rsidRPr="00E27ED8">
              <w:rPr>
                <w:sz w:val="16"/>
                <w:szCs w:val="16"/>
              </w:rPr>
              <w:t>29,5</w:t>
            </w:r>
          </w:p>
        </w:tc>
      </w:tr>
      <w:tr w:rsidR="005A63D9" w:rsidRPr="00E27ED8" w:rsidTr="00510C04">
        <w:trPr>
          <w:trHeight w:val="227"/>
        </w:trPr>
        <w:tc>
          <w:tcPr>
            <w:tcW w:w="658" w:type="pct"/>
            <w:vMerge/>
            <w:textDirection w:val="btLr"/>
            <w:vAlign w:val="center"/>
          </w:tcPr>
          <w:p w:rsidR="005A63D9" w:rsidRPr="00E27ED8" w:rsidRDefault="005A63D9" w:rsidP="0008405A">
            <w:pPr>
              <w:spacing w:after="144"/>
              <w:ind w:left="113" w:right="113"/>
              <w:jc w:val="both"/>
              <w:rPr>
                <w:b/>
                <w:sz w:val="16"/>
                <w:szCs w:val="16"/>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Specifický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45,7</w:t>
            </w:r>
          </w:p>
        </w:tc>
        <w:tc>
          <w:tcPr>
            <w:tcW w:w="790" w:type="pct"/>
            <w:vAlign w:val="center"/>
          </w:tcPr>
          <w:p w:rsidR="005A63D9" w:rsidRPr="00E27ED8" w:rsidRDefault="005A63D9" w:rsidP="00221B9C">
            <w:pPr>
              <w:spacing w:after="144"/>
              <w:jc w:val="center"/>
              <w:rPr>
                <w:sz w:val="16"/>
                <w:szCs w:val="16"/>
              </w:rPr>
            </w:pPr>
            <w:r w:rsidRPr="00E27ED8">
              <w:rPr>
                <w:sz w:val="16"/>
                <w:szCs w:val="16"/>
              </w:rPr>
              <w:t>52,2</w:t>
            </w:r>
          </w:p>
        </w:tc>
        <w:tc>
          <w:tcPr>
            <w:tcW w:w="790" w:type="pct"/>
            <w:vAlign w:val="center"/>
          </w:tcPr>
          <w:p w:rsidR="005A63D9" w:rsidRPr="00E27ED8" w:rsidRDefault="005A63D9" w:rsidP="00221B9C">
            <w:pPr>
              <w:spacing w:after="144"/>
              <w:jc w:val="center"/>
              <w:rPr>
                <w:sz w:val="16"/>
                <w:szCs w:val="16"/>
              </w:rPr>
            </w:pPr>
            <w:r w:rsidRPr="00E27ED8">
              <w:rPr>
                <w:sz w:val="16"/>
                <w:szCs w:val="16"/>
              </w:rPr>
              <w:t>44,4</w:t>
            </w:r>
          </w:p>
        </w:tc>
      </w:tr>
      <w:tr w:rsidR="005A63D9" w:rsidRPr="00E27ED8" w:rsidTr="009C68B4">
        <w:trPr>
          <w:cantSplit/>
          <w:trHeight w:val="1134"/>
        </w:trPr>
        <w:tc>
          <w:tcPr>
            <w:tcW w:w="658" w:type="pct"/>
            <w:vMerge/>
            <w:tcBorders>
              <w:bottom w:val="single" w:sz="12" w:space="0" w:color="auto"/>
            </w:tcBorders>
            <w:textDirection w:val="btLr"/>
            <w:vAlign w:val="center"/>
          </w:tcPr>
          <w:p w:rsidR="005A63D9" w:rsidRPr="00E27ED8" w:rsidRDefault="005A63D9" w:rsidP="0008405A">
            <w:pPr>
              <w:spacing w:after="144"/>
              <w:ind w:left="113" w:right="113"/>
              <w:jc w:val="both"/>
              <w:rPr>
                <w:b/>
                <w:sz w:val="16"/>
                <w:szCs w:val="16"/>
              </w:rPr>
            </w:pPr>
          </w:p>
        </w:tc>
        <w:tc>
          <w:tcPr>
            <w:tcW w:w="1973" w:type="pct"/>
            <w:tcBorders>
              <w:bottom w:val="single" w:sz="12"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Experimentální vývoj</w:t>
            </w:r>
          </w:p>
        </w:tc>
        <w:tc>
          <w:tcPr>
            <w:tcW w:w="790" w:type="pct"/>
            <w:tcBorders>
              <w:left w:val="single" w:sz="12" w:space="0" w:color="auto"/>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5,0</w:t>
            </w:r>
          </w:p>
        </w:tc>
        <w:tc>
          <w:tcPr>
            <w:tcW w:w="790"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2,9</w:t>
            </w:r>
          </w:p>
        </w:tc>
        <w:tc>
          <w:tcPr>
            <w:tcW w:w="790" w:type="pct"/>
            <w:tcBorders>
              <w:bottom w:val="single" w:sz="12" w:space="0" w:color="auto"/>
            </w:tcBorders>
            <w:vAlign w:val="center"/>
          </w:tcPr>
          <w:p w:rsidR="005A63D9" w:rsidRPr="00E27ED8" w:rsidRDefault="005A63D9" w:rsidP="009C68B4">
            <w:pPr>
              <w:spacing w:after="144"/>
              <w:jc w:val="center"/>
              <w:rPr>
                <w:sz w:val="16"/>
                <w:szCs w:val="16"/>
              </w:rPr>
            </w:pPr>
            <w:r w:rsidRPr="00E27ED8">
              <w:rPr>
                <w:sz w:val="16"/>
                <w:szCs w:val="16"/>
              </w:rPr>
              <w:t>14,3</w:t>
            </w:r>
          </w:p>
        </w:tc>
      </w:tr>
      <w:tr w:rsidR="005A63D9" w:rsidRPr="00E27ED8" w:rsidTr="00510C04">
        <w:trPr>
          <w:trHeight w:val="227"/>
        </w:trPr>
        <w:tc>
          <w:tcPr>
            <w:tcW w:w="658" w:type="pct"/>
            <w:vMerge w:val="restart"/>
            <w:tcBorders>
              <w:top w:val="single" w:sz="12" w:space="0" w:color="auto"/>
            </w:tcBorders>
            <w:textDirection w:val="btLr"/>
            <w:vAlign w:val="center"/>
          </w:tcPr>
          <w:p w:rsidR="005A63D9" w:rsidRPr="00E27ED8" w:rsidRDefault="005A63D9" w:rsidP="0008405A">
            <w:pPr>
              <w:spacing w:after="144"/>
              <w:ind w:left="113" w:right="113"/>
              <w:jc w:val="both"/>
              <w:rPr>
                <w:b/>
                <w:sz w:val="16"/>
                <w:szCs w:val="16"/>
              </w:rPr>
            </w:pPr>
            <w:r w:rsidRPr="00E27ED8">
              <w:rPr>
                <w:b/>
                <w:sz w:val="16"/>
                <w:szCs w:val="16"/>
              </w:rPr>
              <w:t>Ministerstvoobrany</w:t>
            </w:r>
          </w:p>
        </w:tc>
        <w:tc>
          <w:tcPr>
            <w:tcW w:w="1973" w:type="pct"/>
            <w:tcBorders>
              <w:top w:val="single" w:sz="12"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Čistý základní</w:t>
            </w:r>
          </w:p>
        </w:tc>
        <w:tc>
          <w:tcPr>
            <w:tcW w:w="790" w:type="pct"/>
            <w:tcBorders>
              <w:top w:val="single" w:sz="12" w:space="0" w:color="auto"/>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790"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790"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r>
      <w:tr w:rsidR="005A63D9" w:rsidRPr="00E27ED8" w:rsidTr="00510C04">
        <w:trPr>
          <w:trHeight w:val="227"/>
        </w:trPr>
        <w:tc>
          <w:tcPr>
            <w:tcW w:w="658" w:type="pct"/>
            <w:vMerge/>
          </w:tcPr>
          <w:p w:rsidR="005A63D9" w:rsidRPr="00E27ED8" w:rsidRDefault="005A63D9" w:rsidP="0008405A">
            <w:pPr>
              <w:spacing w:after="144"/>
              <w:jc w:val="both"/>
              <w:rPr>
                <w:b/>
                <w:sz w:val="20"/>
                <w:szCs w:val="20"/>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Orientovaný základní</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790" w:type="pct"/>
            <w:vAlign w:val="center"/>
          </w:tcPr>
          <w:p w:rsidR="005A63D9" w:rsidRPr="00E27ED8" w:rsidRDefault="005A63D9" w:rsidP="00221B9C">
            <w:pPr>
              <w:spacing w:after="144"/>
              <w:jc w:val="center"/>
              <w:rPr>
                <w:sz w:val="16"/>
                <w:szCs w:val="16"/>
              </w:rPr>
            </w:pPr>
            <w:r w:rsidRPr="00E27ED8">
              <w:rPr>
                <w:sz w:val="16"/>
                <w:szCs w:val="16"/>
              </w:rPr>
              <w:t>-</w:t>
            </w:r>
          </w:p>
        </w:tc>
        <w:tc>
          <w:tcPr>
            <w:tcW w:w="790" w:type="pct"/>
            <w:vAlign w:val="center"/>
          </w:tcPr>
          <w:p w:rsidR="005A63D9" w:rsidRPr="00E27ED8" w:rsidRDefault="005A63D9" w:rsidP="00221B9C">
            <w:pPr>
              <w:spacing w:after="144"/>
              <w:jc w:val="center"/>
              <w:rPr>
                <w:sz w:val="16"/>
                <w:szCs w:val="16"/>
              </w:rPr>
            </w:pPr>
            <w:r w:rsidRPr="00E27ED8">
              <w:rPr>
                <w:sz w:val="16"/>
                <w:szCs w:val="16"/>
              </w:rPr>
              <w:t>-</w:t>
            </w:r>
          </w:p>
        </w:tc>
      </w:tr>
      <w:tr w:rsidR="005A63D9" w:rsidRPr="00E27ED8" w:rsidTr="00510C04">
        <w:trPr>
          <w:trHeight w:val="227"/>
        </w:trPr>
        <w:tc>
          <w:tcPr>
            <w:tcW w:w="658" w:type="pct"/>
            <w:vMerge/>
          </w:tcPr>
          <w:p w:rsidR="005A63D9" w:rsidRPr="00E27ED8" w:rsidRDefault="005A63D9" w:rsidP="0008405A">
            <w:pPr>
              <w:spacing w:after="144"/>
              <w:jc w:val="both"/>
              <w:rPr>
                <w:b/>
                <w:sz w:val="20"/>
                <w:szCs w:val="20"/>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Strategický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3,5</w:t>
            </w:r>
          </w:p>
        </w:tc>
        <w:tc>
          <w:tcPr>
            <w:tcW w:w="790" w:type="pct"/>
            <w:vAlign w:val="center"/>
          </w:tcPr>
          <w:p w:rsidR="005A63D9" w:rsidRPr="00E27ED8" w:rsidRDefault="005A63D9" w:rsidP="00221B9C">
            <w:pPr>
              <w:spacing w:after="144"/>
              <w:jc w:val="center"/>
              <w:rPr>
                <w:sz w:val="16"/>
                <w:szCs w:val="16"/>
              </w:rPr>
            </w:pPr>
            <w:r w:rsidRPr="00E27ED8">
              <w:rPr>
                <w:sz w:val="16"/>
                <w:szCs w:val="16"/>
              </w:rPr>
              <w:t>1,7</w:t>
            </w:r>
          </w:p>
        </w:tc>
        <w:tc>
          <w:tcPr>
            <w:tcW w:w="790" w:type="pct"/>
            <w:vAlign w:val="center"/>
          </w:tcPr>
          <w:p w:rsidR="005A63D9" w:rsidRPr="00E27ED8" w:rsidRDefault="005A63D9" w:rsidP="00221B9C">
            <w:pPr>
              <w:spacing w:after="144"/>
              <w:jc w:val="center"/>
              <w:rPr>
                <w:sz w:val="16"/>
                <w:szCs w:val="16"/>
              </w:rPr>
            </w:pPr>
            <w:r w:rsidRPr="00E27ED8">
              <w:rPr>
                <w:sz w:val="16"/>
                <w:szCs w:val="16"/>
              </w:rPr>
              <w:t>1,3</w:t>
            </w:r>
          </w:p>
        </w:tc>
      </w:tr>
      <w:tr w:rsidR="005A63D9" w:rsidRPr="00E27ED8" w:rsidTr="00510C04">
        <w:trPr>
          <w:trHeight w:val="227"/>
        </w:trPr>
        <w:tc>
          <w:tcPr>
            <w:tcW w:w="658" w:type="pct"/>
            <w:vMerge/>
          </w:tcPr>
          <w:p w:rsidR="005A63D9" w:rsidRPr="00E27ED8" w:rsidRDefault="005A63D9" w:rsidP="0008405A">
            <w:pPr>
              <w:spacing w:after="144"/>
              <w:jc w:val="both"/>
              <w:rPr>
                <w:b/>
                <w:sz w:val="20"/>
                <w:szCs w:val="20"/>
              </w:rPr>
            </w:pPr>
          </w:p>
        </w:tc>
        <w:tc>
          <w:tcPr>
            <w:tcW w:w="1973" w:type="pct"/>
            <w:tcBorders>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Specifický aplikovaný</w:t>
            </w:r>
          </w:p>
        </w:tc>
        <w:tc>
          <w:tcPr>
            <w:tcW w:w="790" w:type="pct"/>
            <w:tcBorders>
              <w:lef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28,2</w:t>
            </w:r>
          </w:p>
        </w:tc>
        <w:tc>
          <w:tcPr>
            <w:tcW w:w="790" w:type="pct"/>
            <w:vAlign w:val="center"/>
          </w:tcPr>
          <w:p w:rsidR="005A63D9" w:rsidRPr="00E27ED8" w:rsidRDefault="005A63D9" w:rsidP="00221B9C">
            <w:pPr>
              <w:spacing w:after="144"/>
              <w:jc w:val="center"/>
              <w:rPr>
                <w:sz w:val="16"/>
                <w:szCs w:val="16"/>
              </w:rPr>
            </w:pPr>
            <w:r w:rsidRPr="00E27ED8">
              <w:rPr>
                <w:sz w:val="16"/>
                <w:szCs w:val="16"/>
              </w:rPr>
              <w:t>31,2</w:t>
            </w:r>
          </w:p>
        </w:tc>
        <w:tc>
          <w:tcPr>
            <w:tcW w:w="790" w:type="pct"/>
            <w:vAlign w:val="center"/>
          </w:tcPr>
          <w:p w:rsidR="005A63D9" w:rsidRPr="00E27ED8" w:rsidRDefault="005A63D9" w:rsidP="00221B9C">
            <w:pPr>
              <w:spacing w:after="144"/>
              <w:jc w:val="center"/>
              <w:rPr>
                <w:sz w:val="16"/>
                <w:szCs w:val="16"/>
              </w:rPr>
            </w:pPr>
            <w:r w:rsidRPr="00E27ED8">
              <w:rPr>
                <w:sz w:val="16"/>
                <w:szCs w:val="16"/>
              </w:rPr>
              <w:t>41,0</w:t>
            </w:r>
          </w:p>
        </w:tc>
      </w:tr>
      <w:tr w:rsidR="005A63D9" w:rsidRPr="00E27ED8" w:rsidTr="00510C04">
        <w:trPr>
          <w:trHeight w:val="227"/>
        </w:trPr>
        <w:tc>
          <w:tcPr>
            <w:tcW w:w="658" w:type="pct"/>
            <w:vMerge/>
            <w:tcBorders>
              <w:bottom w:val="single" w:sz="12" w:space="0" w:color="auto"/>
            </w:tcBorders>
          </w:tcPr>
          <w:p w:rsidR="005A63D9" w:rsidRPr="00E27ED8" w:rsidRDefault="005A63D9" w:rsidP="0008405A">
            <w:pPr>
              <w:spacing w:after="144"/>
              <w:jc w:val="both"/>
              <w:rPr>
                <w:b/>
                <w:sz w:val="20"/>
                <w:szCs w:val="20"/>
              </w:rPr>
            </w:pPr>
          </w:p>
        </w:tc>
        <w:tc>
          <w:tcPr>
            <w:tcW w:w="1973" w:type="pct"/>
            <w:tcBorders>
              <w:bottom w:val="single" w:sz="12" w:space="0" w:color="auto"/>
              <w:right w:val="single" w:sz="12" w:space="0" w:color="auto"/>
            </w:tcBorders>
            <w:vAlign w:val="center"/>
          </w:tcPr>
          <w:p w:rsidR="005A63D9" w:rsidRPr="00E27ED8" w:rsidRDefault="005A63D9" w:rsidP="00221B9C">
            <w:pPr>
              <w:spacing w:after="144"/>
              <w:jc w:val="center"/>
              <w:rPr>
                <w:sz w:val="16"/>
                <w:szCs w:val="16"/>
              </w:rPr>
            </w:pPr>
            <w:r w:rsidRPr="00E27ED8">
              <w:rPr>
                <w:sz w:val="16"/>
                <w:szCs w:val="16"/>
              </w:rPr>
              <w:t>Experimentální vývoj</w:t>
            </w:r>
          </w:p>
        </w:tc>
        <w:tc>
          <w:tcPr>
            <w:tcW w:w="790" w:type="pct"/>
            <w:tcBorders>
              <w:left w:val="single" w:sz="12" w:space="0" w:color="auto"/>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70,3</w:t>
            </w:r>
          </w:p>
        </w:tc>
        <w:tc>
          <w:tcPr>
            <w:tcW w:w="790"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67,2</w:t>
            </w:r>
          </w:p>
        </w:tc>
        <w:tc>
          <w:tcPr>
            <w:tcW w:w="790"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57,7</w:t>
            </w:r>
          </w:p>
        </w:tc>
      </w:tr>
    </w:tbl>
    <w:p w:rsidR="005A63D9" w:rsidRPr="0063579C" w:rsidRDefault="005A63D9" w:rsidP="0008405A">
      <w:pPr>
        <w:pStyle w:val="ZDROJovan"/>
        <w:spacing w:after="144" w:line="288" w:lineRule="auto"/>
        <w:jc w:val="both"/>
      </w:pPr>
      <w:r w:rsidRPr="00AE604E">
        <w:t>Zdroj: BIS, SET Statistics 2013. 25. 9. 2013.</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 xml:space="preserve">Hodnoty v tabulce mají svoji logiku. Rady pro výzkum </w:t>
      </w:r>
      <w:r>
        <w:rPr>
          <w:color w:val="000000"/>
          <w:shd w:val="clear" w:color="auto" w:fill="FFFFFF"/>
          <w:lang w:eastAsia="cs-CZ"/>
        </w:rPr>
        <w:t>(Research Councils) vydávají na </w:t>
      </w:r>
      <w:r w:rsidRPr="00442A0C">
        <w:rPr>
          <w:color w:val="000000"/>
          <w:shd w:val="clear" w:color="auto" w:fill="FFFFFF"/>
          <w:lang w:eastAsia="cs-CZ"/>
        </w:rPr>
        <w:t>základní výzkum více než polovinu celkových výdajů na VaV</w:t>
      </w:r>
      <w:r>
        <w:rPr>
          <w:color w:val="000000"/>
          <w:shd w:val="clear" w:color="auto" w:fill="FFFFFF"/>
          <w:lang w:eastAsia="cs-CZ"/>
        </w:rPr>
        <w:t>, civilní ministerstva více než </w:t>
      </w:r>
      <w:r w:rsidRPr="00442A0C">
        <w:rPr>
          <w:color w:val="000000"/>
          <w:shd w:val="clear" w:color="auto" w:fill="FFFFFF"/>
          <w:lang w:eastAsia="cs-CZ"/>
        </w:rPr>
        <w:t>polovinu na výzkum aplikovaný a Ministers</w:t>
      </w:r>
      <w:r>
        <w:rPr>
          <w:color w:val="000000"/>
          <w:shd w:val="clear" w:color="auto" w:fill="FFFFFF"/>
          <w:lang w:eastAsia="cs-CZ"/>
        </w:rPr>
        <w:t>tvo obrany více než polovinu na </w:t>
      </w:r>
      <w:r w:rsidRPr="00442A0C">
        <w:rPr>
          <w:color w:val="000000"/>
          <w:shd w:val="clear" w:color="auto" w:fill="FFFFFF"/>
          <w:lang w:eastAsia="cs-CZ"/>
        </w:rPr>
        <w:t xml:space="preserve">experimentální vývoj. </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29</w:t>
      </w:r>
      <w:r w:rsidRPr="00442A0C">
        <w:rPr>
          <w:b/>
          <w:color w:val="000000"/>
          <w:shd w:val="clear" w:color="auto" w:fill="FFFFFF"/>
          <w:lang w:eastAsia="cs-CZ"/>
        </w:rPr>
        <w:t xml:space="preserve"> </w:t>
      </w:r>
      <w:r w:rsidRPr="00442A0C">
        <w:rPr>
          <w:color w:val="000000"/>
          <w:shd w:val="clear" w:color="auto" w:fill="FFFFFF"/>
          <w:lang w:eastAsia="cs-CZ"/>
        </w:rPr>
        <w:t>Výhledové rozpočty vybraných ministerstev UK (mld. £ a podíly na celkovém státním rozpočtu –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364"/>
        <w:gridCol w:w="850"/>
        <w:gridCol w:w="1013"/>
        <w:gridCol w:w="1012"/>
        <w:gridCol w:w="1012"/>
        <w:gridCol w:w="1012"/>
        <w:gridCol w:w="1012"/>
        <w:gridCol w:w="1012"/>
      </w:tblGrid>
      <w:tr w:rsidR="005A63D9" w:rsidRPr="00E27ED8" w:rsidTr="00510C04">
        <w:trPr>
          <w:trHeight w:val="227"/>
        </w:trPr>
        <w:tc>
          <w:tcPr>
            <w:tcW w:w="1272" w:type="pct"/>
            <w:tcBorders>
              <w:top w:val="single" w:sz="12" w:space="0" w:color="auto"/>
              <w:bottom w:val="double" w:sz="4" w:space="0" w:color="auto"/>
            </w:tcBorders>
            <w:shd w:val="clear" w:color="auto" w:fill="BFBFBF"/>
          </w:tcPr>
          <w:p w:rsidR="005A63D9" w:rsidRPr="00E27ED8" w:rsidRDefault="005A63D9" w:rsidP="0008405A">
            <w:pPr>
              <w:spacing w:after="144"/>
              <w:jc w:val="both"/>
              <w:rPr>
                <w:b/>
                <w:sz w:val="16"/>
                <w:szCs w:val="16"/>
              </w:rPr>
            </w:pPr>
          </w:p>
        </w:tc>
        <w:tc>
          <w:tcPr>
            <w:tcW w:w="457"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2015–16</w:t>
            </w: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2016–17</w:t>
            </w: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2017–18</w:t>
            </w: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2018–19</w:t>
            </w: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2019–20</w:t>
            </w:r>
          </w:p>
        </w:tc>
        <w:tc>
          <w:tcPr>
            <w:tcW w:w="545"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6"/>
                <w:szCs w:val="16"/>
              </w:rPr>
            </w:pPr>
            <w:r w:rsidRPr="00E27ED8">
              <w:rPr>
                <w:b/>
                <w:sz w:val="16"/>
                <w:szCs w:val="16"/>
              </w:rPr>
              <w:t>2020–21</w:t>
            </w:r>
          </w:p>
        </w:tc>
      </w:tr>
      <w:tr w:rsidR="005A63D9" w:rsidRPr="00E27ED8" w:rsidTr="00510C04">
        <w:trPr>
          <w:trHeight w:val="170"/>
        </w:trPr>
        <w:tc>
          <w:tcPr>
            <w:tcW w:w="1272" w:type="pct"/>
            <w:vMerge w:val="restart"/>
            <w:tcBorders>
              <w:top w:val="double" w:sz="4" w:space="0" w:color="auto"/>
            </w:tcBorders>
            <w:vAlign w:val="center"/>
          </w:tcPr>
          <w:p w:rsidR="005A63D9" w:rsidRPr="00E27ED8" w:rsidRDefault="005A63D9">
            <w:pPr>
              <w:spacing w:after="144"/>
              <w:rPr>
                <w:sz w:val="16"/>
                <w:szCs w:val="16"/>
              </w:rPr>
            </w:pPr>
            <w:r w:rsidRPr="00E27ED8">
              <w:rPr>
                <w:sz w:val="16"/>
                <w:szCs w:val="16"/>
              </w:rPr>
              <w:t>Ministerstvo obrany</w:t>
            </w:r>
          </w:p>
        </w:tc>
        <w:tc>
          <w:tcPr>
            <w:tcW w:w="457" w:type="pct"/>
            <w:tcBorders>
              <w:top w:val="double" w:sz="4" w:space="0" w:color="auto"/>
            </w:tcBorders>
            <w:vAlign w:val="center"/>
          </w:tcPr>
          <w:p w:rsidR="005A63D9" w:rsidRPr="00E27ED8" w:rsidRDefault="005A63D9" w:rsidP="00221B9C">
            <w:pPr>
              <w:spacing w:after="144"/>
              <w:jc w:val="center"/>
              <w:rPr>
                <w:sz w:val="16"/>
                <w:szCs w:val="16"/>
              </w:rPr>
            </w:pPr>
            <w:r w:rsidRPr="00E27ED8">
              <w:rPr>
                <w:sz w:val="16"/>
                <w:szCs w:val="16"/>
              </w:rPr>
              <w:t>(mld.£)</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27,2</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27,8</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28,5</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29,2</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30,0</w:t>
            </w:r>
          </w:p>
        </w:tc>
        <w:tc>
          <w:tcPr>
            <w:tcW w:w="545" w:type="pct"/>
            <w:tcBorders>
              <w:top w:val="double" w:sz="4" w:space="0" w:color="auto"/>
            </w:tcBorders>
            <w:vAlign w:val="center"/>
          </w:tcPr>
          <w:p w:rsidR="005A63D9" w:rsidRPr="00E27ED8" w:rsidRDefault="005A63D9" w:rsidP="00221B9C">
            <w:pPr>
              <w:spacing w:after="144"/>
              <w:jc w:val="center"/>
              <w:rPr>
                <w:sz w:val="18"/>
                <w:szCs w:val="18"/>
              </w:rPr>
            </w:pPr>
            <w:r w:rsidRPr="00E27ED8">
              <w:rPr>
                <w:sz w:val="18"/>
                <w:szCs w:val="18"/>
              </w:rPr>
              <w:t>31,0</w:t>
            </w:r>
          </w:p>
        </w:tc>
      </w:tr>
      <w:tr w:rsidR="005A63D9" w:rsidRPr="00E27ED8" w:rsidTr="00510C04">
        <w:trPr>
          <w:trHeight w:val="170"/>
        </w:trPr>
        <w:tc>
          <w:tcPr>
            <w:tcW w:w="1272" w:type="pct"/>
            <w:vMerge/>
            <w:tcBorders>
              <w:bottom w:val="single" w:sz="12" w:space="0" w:color="auto"/>
            </w:tcBorders>
            <w:vAlign w:val="center"/>
          </w:tcPr>
          <w:p w:rsidR="005A63D9" w:rsidRPr="00E27ED8" w:rsidRDefault="005A63D9">
            <w:pPr>
              <w:spacing w:after="144"/>
              <w:rPr>
                <w:sz w:val="16"/>
                <w:szCs w:val="16"/>
              </w:rPr>
            </w:pPr>
          </w:p>
        </w:tc>
        <w:tc>
          <w:tcPr>
            <w:tcW w:w="457"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8,6</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8,6</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8,8</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8,9</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9,1</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p>
        </w:tc>
      </w:tr>
      <w:tr w:rsidR="005A63D9" w:rsidRPr="00E27ED8" w:rsidTr="00510C04">
        <w:trPr>
          <w:trHeight w:val="170"/>
        </w:trPr>
        <w:tc>
          <w:tcPr>
            <w:tcW w:w="1272" w:type="pct"/>
            <w:vMerge w:val="restart"/>
            <w:tcBorders>
              <w:top w:val="single" w:sz="12" w:space="0" w:color="auto"/>
            </w:tcBorders>
            <w:vAlign w:val="center"/>
          </w:tcPr>
          <w:p w:rsidR="005A63D9" w:rsidRPr="00E27ED8" w:rsidRDefault="005A63D9">
            <w:pPr>
              <w:spacing w:after="144"/>
              <w:rPr>
                <w:sz w:val="16"/>
                <w:szCs w:val="16"/>
              </w:rPr>
            </w:pPr>
            <w:r w:rsidRPr="00E27ED8">
              <w:rPr>
                <w:sz w:val="16"/>
                <w:szCs w:val="16"/>
              </w:rPr>
              <w:t>Ministerstvo zdravotnictví</w:t>
            </w:r>
          </w:p>
        </w:tc>
        <w:tc>
          <w:tcPr>
            <w:tcW w:w="457"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(mld.£)</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111,6</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115,6</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118,7</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121,3</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124,4</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128,2</w:t>
            </w:r>
          </w:p>
        </w:tc>
      </w:tr>
      <w:tr w:rsidR="005A63D9" w:rsidRPr="00E27ED8" w:rsidTr="00510C04">
        <w:trPr>
          <w:trHeight w:val="170"/>
        </w:trPr>
        <w:tc>
          <w:tcPr>
            <w:tcW w:w="1272" w:type="pct"/>
            <w:vMerge/>
            <w:tcBorders>
              <w:bottom w:val="single" w:sz="12" w:space="0" w:color="auto"/>
            </w:tcBorders>
            <w:vAlign w:val="center"/>
          </w:tcPr>
          <w:p w:rsidR="005A63D9" w:rsidRPr="00E27ED8" w:rsidRDefault="005A63D9">
            <w:pPr>
              <w:spacing w:after="144"/>
              <w:rPr>
                <w:sz w:val="16"/>
                <w:szCs w:val="16"/>
              </w:rPr>
            </w:pPr>
          </w:p>
        </w:tc>
        <w:tc>
          <w:tcPr>
            <w:tcW w:w="457"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35,3</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35,9</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36,7</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37,1</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37,7</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p>
        </w:tc>
      </w:tr>
      <w:tr w:rsidR="005A63D9" w:rsidRPr="00E27ED8" w:rsidTr="00510C04">
        <w:trPr>
          <w:trHeight w:val="170"/>
        </w:trPr>
        <w:tc>
          <w:tcPr>
            <w:tcW w:w="1272" w:type="pct"/>
            <w:vMerge w:val="restart"/>
            <w:tcBorders>
              <w:top w:val="single" w:sz="12" w:space="0" w:color="auto"/>
            </w:tcBorders>
            <w:vAlign w:val="center"/>
          </w:tcPr>
          <w:p w:rsidR="005A63D9" w:rsidRPr="00E27ED8" w:rsidRDefault="005A63D9">
            <w:pPr>
              <w:spacing w:after="144"/>
              <w:rPr>
                <w:sz w:val="16"/>
                <w:szCs w:val="16"/>
              </w:rPr>
            </w:pPr>
            <w:r w:rsidRPr="00E27ED8">
              <w:rPr>
                <w:sz w:val="16"/>
                <w:szCs w:val="16"/>
              </w:rPr>
              <w:t>Ministerstvo pro podnikání, inovace a znalosti</w:t>
            </w:r>
          </w:p>
        </w:tc>
        <w:tc>
          <w:tcPr>
            <w:tcW w:w="457"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(mld.£)</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12,9</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13,4</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12,3</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11,7</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11,5</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neuv.</w:t>
            </w:r>
          </w:p>
        </w:tc>
      </w:tr>
      <w:tr w:rsidR="005A63D9" w:rsidRPr="00E27ED8" w:rsidTr="00510C04">
        <w:tc>
          <w:tcPr>
            <w:tcW w:w="1272" w:type="pct"/>
            <w:vMerge/>
            <w:tcBorders>
              <w:bottom w:val="single" w:sz="12" w:space="0" w:color="auto"/>
            </w:tcBorders>
            <w:vAlign w:val="center"/>
          </w:tcPr>
          <w:p w:rsidR="005A63D9" w:rsidRPr="00E27ED8" w:rsidRDefault="005A63D9">
            <w:pPr>
              <w:spacing w:after="144"/>
              <w:rPr>
                <w:sz w:val="16"/>
                <w:szCs w:val="16"/>
              </w:rPr>
            </w:pPr>
          </w:p>
        </w:tc>
        <w:tc>
          <w:tcPr>
            <w:tcW w:w="457"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4,1</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4,2</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3,8</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3,6</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3,5</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p>
        </w:tc>
      </w:tr>
      <w:tr w:rsidR="005A63D9" w:rsidRPr="00E27ED8" w:rsidTr="00510C04">
        <w:trPr>
          <w:trHeight w:val="170"/>
        </w:trPr>
        <w:tc>
          <w:tcPr>
            <w:tcW w:w="1272" w:type="pct"/>
            <w:vMerge w:val="restart"/>
            <w:tcBorders>
              <w:top w:val="single" w:sz="12" w:space="0" w:color="auto"/>
            </w:tcBorders>
            <w:vAlign w:val="center"/>
          </w:tcPr>
          <w:p w:rsidR="005A63D9" w:rsidRPr="00E27ED8" w:rsidRDefault="005A63D9">
            <w:pPr>
              <w:spacing w:after="144"/>
              <w:rPr>
                <w:sz w:val="16"/>
                <w:szCs w:val="16"/>
              </w:rPr>
            </w:pPr>
            <w:r w:rsidRPr="00E27ED8">
              <w:rPr>
                <w:sz w:val="16"/>
                <w:szCs w:val="16"/>
              </w:rPr>
              <w:t>Ministerstvo pro životní prostředí, potraviny a záležitosti venkova</w:t>
            </w:r>
          </w:p>
        </w:tc>
        <w:tc>
          <w:tcPr>
            <w:tcW w:w="457"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(mld.£)</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1,5</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1,7</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1,6</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1,5</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1,4</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N</w:t>
            </w:r>
          </w:p>
          <w:p w:rsidR="005A63D9" w:rsidRPr="00E27ED8" w:rsidRDefault="005A63D9" w:rsidP="00221B9C">
            <w:pPr>
              <w:spacing w:after="144"/>
              <w:jc w:val="center"/>
              <w:rPr>
                <w:sz w:val="18"/>
                <w:szCs w:val="18"/>
              </w:rPr>
            </w:pPr>
            <w:r w:rsidRPr="00E27ED8">
              <w:rPr>
                <w:sz w:val="18"/>
                <w:szCs w:val="18"/>
              </w:rPr>
              <w:t>neuv.</w:t>
            </w:r>
          </w:p>
        </w:tc>
      </w:tr>
      <w:tr w:rsidR="005A63D9" w:rsidRPr="00E27ED8" w:rsidTr="00510C04">
        <w:tc>
          <w:tcPr>
            <w:tcW w:w="1272" w:type="pct"/>
            <w:vMerge/>
            <w:tcBorders>
              <w:bottom w:val="single" w:sz="12" w:space="0" w:color="auto"/>
            </w:tcBorders>
            <w:vAlign w:val="center"/>
          </w:tcPr>
          <w:p w:rsidR="005A63D9" w:rsidRPr="00E27ED8" w:rsidRDefault="005A63D9">
            <w:pPr>
              <w:spacing w:after="144"/>
              <w:rPr>
                <w:sz w:val="16"/>
                <w:szCs w:val="16"/>
              </w:rPr>
            </w:pPr>
          </w:p>
        </w:tc>
        <w:tc>
          <w:tcPr>
            <w:tcW w:w="457"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0,5</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0,5</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0,5</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0,5</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0,4</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p>
        </w:tc>
      </w:tr>
      <w:tr w:rsidR="005A63D9" w:rsidRPr="00E27ED8" w:rsidTr="00510C04">
        <w:tc>
          <w:tcPr>
            <w:tcW w:w="1272" w:type="pct"/>
            <w:vMerge w:val="restart"/>
            <w:tcBorders>
              <w:top w:val="single" w:sz="12" w:space="0" w:color="auto"/>
            </w:tcBorders>
            <w:vAlign w:val="center"/>
          </w:tcPr>
          <w:p w:rsidR="005A63D9" w:rsidRPr="00E27ED8" w:rsidRDefault="005A63D9">
            <w:pPr>
              <w:spacing w:after="144"/>
              <w:rPr>
                <w:sz w:val="16"/>
                <w:szCs w:val="16"/>
              </w:rPr>
            </w:pPr>
            <w:r w:rsidRPr="00E27ED8">
              <w:rPr>
                <w:sz w:val="16"/>
                <w:szCs w:val="16"/>
              </w:rPr>
              <w:t>CELKEM</w:t>
            </w:r>
          </w:p>
        </w:tc>
        <w:tc>
          <w:tcPr>
            <w:tcW w:w="457" w:type="pct"/>
            <w:tcBorders>
              <w:top w:val="single" w:sz="12" w:space="0" w:color="auto"/>
            </w:tcBorders>
            <w:vAlign w:val="center"/>
          </w:tcPr>
          <w:p w:rsidR="005A63D9" w:rsidRPr="00E27ED8" w:rsidRDefault="005A63D9" w:rsidP="00221B9C">
            <w:pPr>
              <w:spacing w:after="144"/>
              <w:jc w:val="center"/>
              <w:rPr>
                <w:sz w:val="16"/>
                <w:szCs w:val="16"/>
              </w:rPr>
            </w:pPr>
            <w:r w:rsidRPr="00E27ED8">
              <w:rPr>
                <w:sz w:val="16"/>
                <w:szCs w:val="16"/>
              </w:rPr>
              <w:t>(mld.£)</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316,1</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321,8</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323,9</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326,7</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329,8</w:t>
            </w:r>
          </w:p>
        </w:tc>
        <w:tc>
          <w:tcPr>
            <w:tcW w:w="545" w:type="pct"/>
            <w:tcBorders>
              <w:top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342,7</w:t>
            </w:r>
          </w:p>
        </w:tc>
      </w:tr>
      <w:tr w:rsidR="005A63D9" w:rsidRPr="00E27ED8" w:rsidTr="00510C04">
        <w:tc>
          <w:tcPr>
            <w:tcW w:w="1272" w:type="pct"/>
            <w:vMerge/>
            <w:tcBorders>
              <w:bottom w:val="single" w:sz="12" w:space="0" w:color="auto"/>
            </w:tcBorders>
            <w:vAlign w:val="center"/>
          </w:tcPr>
          <w:p w:rsidR="005A63D9" w:rsidRPr="00E27ED8" w:rsidRDefault="005A63D9" w:rsidP="0008405A">
            <w:pPr>
              <w:spacing w:after="144"/>
              <w:jc w:val="both"/>
              <w:rPr>
                <w:sz w:val="16"/>
                <w:szCs w:val="16"/>
              </w:rPr>
            </w:pPr>
          </w:p>
        </w:tc>
        <w:tc>
          <w:tcPr>
            <w:tcW w:w="457" w:type="pct"/>
            <w:tcBorders>
              <w:bottom w:val="single" w:sz="12" w:space="0" w:color="auto"/>
            </w:tcBorders>
            <w:vAlign w:val="center"/>
          </w:tcPr>
          <w:p w:rsidR="005A63D9" w:rsidRPr="00E27ED8" w:rsidRDefault="005A63D9" w:rsidP="00221B9C">
            <w:pPr>
              <w:spacing w:after="144"/>
              <w:jc w:val="center"/>
              <w:rPr>
                <w:sz w:val="16"/>
                <w:szCs w:val="16"/>
              </w:rPr>
            </w:pPr>
            <w:r w:rsidRPr="00E27ED8">
              <w:rPr>
                <w:sz w:val="16"/>
                <w:szCs w:val="16"/>
              </w:rPr>
              <w:t>(%)</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c>
          <w:tcPr>
            <w:tcW w:w="545" w:type="pct"/>
            <w:tcBorders>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100</w:t>
            </w:r>
          </w:p>
        </w:tc>
      </w:tr>
    </w:tbl>
    <w:p w:rsidR="005A63D9" w:rsidRPr="0063579C" w:rsidRDefault="005A63D9" w:rsidP="0008405A">
      <w:pPr>
        <w:pStyle w:val="ZDROJovan"/>
        <w:spacing w:after="144" w:line="288" w:lineRule="auto"/>
        <w:jc w:val="both"/>
      </w:pPr>
      <w:r w:rsidRPr="00AE604E">
        <w:t>Zdroj: Spending Review and Autumm Statement 2015; HM Treasury 25. 11. 2015</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Celkové výdaje státního rozpočtu se zvyšují. Zvyšují se rozpočtové kapitoly Ministerstva zdravotnictví, které více než 90 % rozděluje prostřednictvím NHS (National Health Service)</w:t>
      </w:r>
      <w:r w:rsidRPr="00442A0C">
        <w:rPr>
          <w:color w:val="000000"/>
          <w:shd w:val="clear" w:color="auto" w:fill="FFFFFF"/>
          <w:vertAlign w:val="superscript"/>
          <w:lang w:eastAsia="cs-CZ"/>
        </w:rPr>
        <w:footnoteReference w:id="28"/>
      </w:r>
      <w:r w:rsidRPr="00442A0C">
        <w:rPr>
          <w:color w:val="000000"/>
          <w:shd w:val="clear" w:color="auto" w:fill="FFFFFF"/>
          <w:vertAlign w:val="superscript"/>
          <w:lang w:eastAsia="cs-CZ"/>
        </w:rPr>
        <w:t>,</w:t>
      </w:r>
      <w:r w:rsidRPr="00442A0C">
        <w:rPr>
          <w:color w:val="000000"/>
          <w:shd w:val="clear" w:color="auto" w:fill="FFFFFF"/>
          <w:lang w:eastAsia="cs-CZ"/>
        </w:rPr>
        <w:t xml:space="preserve"> přičemž podstatná část je určena na VaV. Prostředky BIS mírně klesají, prostředky Ministerstva pro životní prostředí, potraviny a záležitosti venkova stagnují.</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widowControl w:val="0"/>
        <w:adjustRightInd w:val="0"/>
        <w:spacing w:afterLines="0"/>
        <w:contextualSpacing w:val="0"/>
        <w:jc w:val="both"/>
        <w:textAlignment w:val="baseline"/>
        <w:rPr>
          <w:b/>
          <w:color w:val="000000"/>
          <w:shd w:val="clear" w:color="auto" w:fill="FFFFFF"/>
          <w:lang w:eastAsia="cs-CZ"/>
        </w:rPr>
      </w:pPr>
      <w:r w:rsidRPr="00442A0C">
        <w:rPr>
          <w:b/>
          <w:color w:val="000000"/>
          <w:shd w:val="clear" w:color="auto" w:fill="FFFFFF"/>
          <w:lang w:eastAsia="cs-CZ"/>
        </w:rPr>
        <w:t xml:space="preserve">Tab. č. 30 </w:t>
      </w:r>
      <w:r w:rsidRPr="00442A0C">
        <w:rPr>
          <w:color w:val="000000"/>
          <w:shd w:val="clear" w:color="auto" w:fill="FFFFFF"/>
          <w:lang w:eastAsia="cs-CZ"/>
        </w:rPr>
        <w:t>Podíly celkových státních výdajů na VaV vydávané v oblasti životního prostředí v UK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838"/>
        <w:gridCol w:w="1932"/>
        <w:gridCol w:w="1839"/>
        <w:gridCol w:w="1839"/>
        <w:gridCol w:w="1839"/>
      </w:tblGrid>
      <w:tr w:rsidR="005A63D9" w:rsidRPr="00E27ED8" w:rsidTr="00510C04">
        <w:trPr>
          <w:trHeight w:val="227"/>
        </w:trPr>
        <w:tc>
          <w:tcPr>
            <w:tcW w:w="9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2007–08</w:t>
            </w:r>
          </w:p>
        </w:tc>
        <w:tc>
          <w:tcPr>
            <w:tcW w:w="104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2008–09</w:t>
            </w:r>
          </w:p>
        </w:tc>
        <w:tc>
          <w:tcPr>
            <w:tcW w:w="9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2009–10</w:t>
            </w:r>
          </w:p>
        </w:tc>
        <w:tc>
          <w:tcPr>
            <w:tcW w:w="9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2010–11</w:t>
            </w:r>
          </w:p>
        </w:tc>
        <w:tc>
          <w:tcPr>
            <w:tcW w:w="990" w:type="pct"/>
            <w:tcBorders>
              <w:top w:val="single" w:sz="12" w:space="0" w:color="auto"/>
              <w:bottom w:val="double" w:sz="4" w:space="0" w:color="auto"/>
            </w:tcBorders>
            <w:shd w:val="clear" w:color="auto" w:fill="BFBFBF"/>
            <w:vAlign w:val="center"/>
          </w:tcPr>
          <w:p w:rsidR="005A63D9" w:rsidRPr="00E27ED8" w:rsidRDefault="005A63D9" w:rsidP="00221B9C">
            <w:pPr>
              <w:spacing w:after="144"/>
              <w:jc w:val="center"/>
              <w:rPr>
                <w:b/>
                <w:sz w:val="18"/>
                <w:szCs w:val="18"/>
              </w:rPr>
            </w:pPr>
            <w:r w:rsidRPr="00E27ED8">
              <w:rPr>
                <w:b/>
                <w:sz w:val="18"/>
                <w:szCs w:val="18"/>
              </w:rPr>
              <w:t>2011–12</w:t>
            </w:r>
          </w:p>
        </w:tc>
      </w:tr>
      <w:tr w:rsidR="005A63D9" w:rsidRPr="00E27ED8" w:rsidTr="00510C04">
        <w:trPr>
          <w:trHeight w:val="227"/>
        </w:trPr>
        <w:tc>
          <w:tcPr>
            <w:tcW w:w="990" w:type="pct"/>
            <w:tcBorders>
              <w:top w:val="double" w:sz="4"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2,5</w:t>
            </w:r>
          </w:p>
        </w:tc>
        <w:tc>
          <w:tcPr>
            <w:tcW w:w="1040" w:type="pct"/>
            <w:tcBorders>
              <w:top w:val="double" w:sz="4"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2,9</w:t>
            </w:r>
          </w:p>
        </w:tc>
        <w:tc>
          <w:tcPr>
            <w:tcW w:w="990" w:type="pct"/>
            <w:tcBorders>
              <w:top w:val="double" w:sz="4"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3,0</w:t>
            </w:r>
          </w:p>
        </w:tc>
        <w:tc>
          <w:tcPr>
            <w:tcW w:w="990" w:type="pct"/>
            <w:tcBorders>
              <w:top w:val="double" w:sz="4"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3,0</w:t>
            </w:r>
          </w:p>
        </w:tc>
        <w:tc>
          <w:tcPr>
            <w:tcW w:w="990" w:type="pct"/>
            <w:tcBorders>
              <w:top w:val="double" w:sz="4" w:space="0" w:color="auto"/>
              <w:bottom w:val="single" w:sz="12" w:space="0" w:color="auto"/>
            </w:tcBorders>
            <w:vAlign w:val="center"/>
          </w:tcPr>
          <w:p w:rsidR="005A63D9" w:rsidRPr="00E27ED8" w:rsidRDefault="005A63D9" w:rsidP="00221B9C">
            <w:pPr>
              <w:spacing w:after="144"/>
              <w:jc w:val="center"/>
              <w:rPr>
                <w:sz w:val="18"/>
                <w:szCs w:val="18"/>
              </w:rPr>
            </w:pPr>
            <w:r w:rsidRPr="00E27ED8">
              <w:rPr>
                <w:sz w:val="18"/>
                <w:szCs w:val="18"/>
              </w:rPr>
              <w:t>3,0</w:t>
            </w:r>
          </w:p>
        </w:tc>
      </w:tr>
    </w:tbl>
    <w:p w:rsidR="005A63D9" w:rsidRPr="0063579C" w:rsidRDefault="005A63D9" w:rsidP="0008405A">
      <w:pPr>
        <w:pStyle w:val="ZDROJovan"/>
        <w:spacing w:after="144" w:line="288" w:lineRule="auto"/>
        <w:jc w:val="both"/>
      </w:pPr>
      <w:r w:rsidRPr="00AE604E">
        <w:t>Zdroj: BIS, SET Statistics 2013, 25. 9. 2013</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41" w:name="_Toc440897434"/>
      <w:bookmarkStart w:id="142" w:name="_Toc441760836"/>
      <w:bookmarkStart w:id="143" w:name="_Toc441849499"/>
      <w:r>
        <w:rPr>
          <w:rFonts w:cs="Arial"/>
          <w:bCs/>
          <w:iCs/>
          <w:color w:val="000000"/>
          <w:shd w:val="clear" w:color="auto" w:fill="FFFFFF"/>
          <w:lang/>
        </w:rPr>
        <w:t xml:space="preserve">5.1. </w:t>
      </w:r>
      <w:r w:rsidRPr="00442A0C">
        <w:rPr>
          <w:rFonts w:cs="Arial"/>
          <w:bCs/>
          <w:iCs/>
          <w:color w:val="000000"/>
          <w:shd w:val="clear" w:color="auto" w:fill="FFFFFF"/>
          <w:lang/>
        </w:rPr>
        <w:t>Orgán státní správy pro životní prostředí</w:t>
      </w:r>
      <w:bookmarkEnd w:id="141"/>
      <w:bookmarkEnd w:id="142"/>
      <w:bookmarkEnd w:id="143"/>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Z důvodů zvýšení výkonnosti a afektivnosti bylo v roce 1997 bylo sloučeno Ministerstvo pro životní prostředí a Ministerstvo dopravy do nového Minis</w:t>
      </w:r>
      <w:r>
        <w:rPr>
          <w:color w:val="000000"/>
          <w:shd w:val="clear" w:color="auto" w:fill="FFFFFF"/>
          <w:lang w:eastAsia="cs-CZ"/>
        </w:rPr>
        <w:t>terstva pro životní prostředí a </w:t>
      </w:r>
      <w:r w:rsidRPr="00442A0C">
        <w:rPr>
          <w:color w:val="000000"/>
          <w:shd w:val="clear" w:color="auto" w:fill="FFFFFF"/>
          <w:lang w:eastAsia="cs-CZ"/>
        </w:rPr>
        <w:t>záležitosti venkova. Ministerstvo má působnosti pro ochranu</w:t>
      </w:r>
      <w:r>
        <w:rPr>
          <w:color w:val="000000"/>
          <w:shd w:val="clear" w:color="auto" w:fill="FFFFFF"/>
          <w:lang w:eastAsia="cs-CZ"/>
        </w:rPr>
        <w:t xml:space="preserve"> životního prostředí, udržení a </w:t>
      </w:r>
      <w:r w:rsidRPr="00442A0C">
        <w:rPr>
          <w:color w:val="000000"/>
          <w:shd w:val="clear" w:color="auto" w:fill="FFFFFF"/>
          <w:lang w:eastAsia="cs-CZ"/>
        </w:rPr>
        <w:t>rozvoj vysoké úrovně britského potravinářského průmyslu a zemědělství a pro u</w:t>
      </w:r>
      <w:r>
        <w:rPr>
          <w:color w:val="000000"/>
          <w:shd w:val="clear" w:color="auto" w:fill="FFFFFF"/>
          <w:lang w:eastAsia="cs-CZ"/>
        </w:rPr>
        <w:t>držení a </w:t>
      </w:r>
      <w:r w:rsidRPr="00442A0C">
        <w:rPr>
          <w:color w:val="000000"/>
          <w:shd w:val="clear" w:color="auto" w:fill="FFFFFF"/>
          <w:lang w:eastAsia="cs-CZ"/>
        </w:rPr>
        <w:t>rozvoj prosperity venkovských oblastí.</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Ministerstvo pro životní prostředí, výživu a záležitostí venkova (DEFRA) je vládní orgán odpovědný za životní prostředí ochranu, produkci potravin a norem pro výrobu a distribuci potravin, zemědělství, rybolovu a venkovské komunity Spojen</w:t>
      </w:r>
      <w:r>
        <w:rPr>
          <w:color w:val="000000"/>
          <w:shd w:val="clear" w:color="auto" w:fill="FFFFFF"/>
          <w:lang w:eastAsia="cs-CZ"/>
        </w:rPr>
        <w:t>ého království Velké Británie a </w:t>
      </w:r>
      <w:r w:rsidRPr="00442A0C">
        <w:rPr>
          <w:color w:val="000000"/>
          <w:shd w:val="clear" w:color="auto" w:fill="FFFFFF"/>
          <w:lang w:eastAsia="cs-CZ"/>
        </w:rPr>
        <w:t>Severního Irska. Do působnosti (odpovědnosti) ministra patří:</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Potraviny a zemědělství</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Zdraví a spokojenost (welfare) zvířat</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Životní prostředí moří a rybářství</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Výzkum a inovace</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Lepší regulace (právní předpisy aj.)</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 xml:space="preserve">Činnost 5 výkonných agentur ministerstva: </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Výkon funkce místopředsedy Státní rady pro zemědělství a rybářství.</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DEFRA připravuje několik souborů statistik: životního prostř</w:t>
      </w:r>
      <w:r>
        <w:rPr>
          <w:color w:val="000000"/>
          <w:shd w:val="clear" w:color="auto" w:fill="FFFFFF"/>
          <w:lang w:eastAsia="cs-CZ"/>
        </w:rPr>
        <w:t>edí (12 statistik); potravin (6 </w:t>
      </w:r>
      <w:r w:rsidRPr="00442A0C">
        <w:rPr>
          <w:color w:val="000000"/>
          <w:shd w:val="clear" w:color="auto" w:fill="FFFFFF"/>
          <w:lang w:eastAsia="cs-CZ"/>
        </w:rPr>
        <w:t>statistik); venkova (6 statistik); zemědělství (6 statistik</w:t>
      </w:r>
      <w:r>
        <w:rPr>
          <w:color w:val="000000"/>
          <w:shd w:val="clear" w:color="auto" w:fill="FFFFFF"/>
          <w:lang w:eastAsia="cs-CZ"/>
        </w:rPr>
        <w:t>); cen zemědělských komodit (10 </w:t>
      </w:r>
      <w:r w:rsidRPr="00442A0C">
        <w:rPr>
          <w:color w:val="000000"/>
          <w:shd w:val="clear" w:color="auto" w:fill="FFFFFF"/>
          <w:lang w:eastAsia="cs-CZ"/>
        </w:rPr>
        <w:t>statistik); rybářství (velmi rozsáhlé statistiky). Ministerstvo DEFRA ve finančním roce 2014–2015 mělo 2 191 zaměstnanců, ve čtyřech pr</w:t>
      </w:r>
      <w:r>
        <w:rPr>
          <w:color w:val="000000"/>
          <w:shd w:val="clear" w:color="auto" w:fill="FFFFFF"/>
          <w:lang w:eastAsia="cs-CZ"/>
        </w:rPr>
        <w:t>ováděcích agenturách bylo 6 215 </w:t>
      </w:r>
      <w:r w:rsidRPr="00442A0C">
        <w:rPr>
          <w:color w:val="000000"/>
          <w:shd w:val="clear" w:color="auto" w:fill="FFFFFF"/>
          <w:lang w:eastAsia="cs-CZ"/>
        </w:rPr>
        <w:t>zaměstnanců.</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 xml:space="preserve">Ministerstvo zabezpečuje nebo se podílí na zabezpečování 29 dílčích politik. </w:t>
      </w:r>
      <w:r>
        <w:rPr>
          <w:color w:val="000000"/>
          <w:shd w:val="clear" w:color="auto" w:fill="FFFFFF"/>
          <w:lang w:eastAsia="cs-CZ"/>
        </w:rPr>
        <w:t>Jejich </w:t>
      </w:r>
      <w:r w:rsidRPr="00442A0C">
        <w:rPr>
          <w:color w:val="000000"/>
          <w:shd w:val="clear" w:color="auto" w:fill="FFFFFF"/>
          <w:lang w:eastAsia="cs-CZ"/>
        </w:rPr>
        <w:t>seznam je v </w:t>
      </w:r>
      <w:r>
        <w:rPr>
          <w:color w:val="000000"/>
          <w:shd w:val="clear" w:color="auto" w:fill="FFFFFF"/>
          <w:lang w:eastAsia="cs-CZ"/>
        </w:rPr>
        <w:t>dodatku č. 4 této přílohy.</w:t>
      </w:r>
      <w:r w:rsidRPr="00442A0C">
        <w:rPr>
          <w:color w:val="000000"/>
          <w:shd w:val="clear" w:color="auto" w:fill="FFFFFF"/>
          <w:lang w:eastAsia="cs-CZ"/>
        </w:rPr>
        <w:t xml:space="preserve"> Pro každou z těchto politik ministerstvo zpracovává strategie a prováděcí plány.</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p>
    <w:p w:rsidR="005A63D9" w:rsidRPr="00442A0C" w:rsidRDefault="005A63D9" w:rsidP="00442A0C">
      <w:pPr>
        <w:pStyle w:val="Heading3"/>
        <w:keepNext/>
        <w:spacing w:before="240" w:afterLines="0" w:line="240" w:lineRule="auto"/>
        <w:contextualSpacing w:val="0"/>
        <w:rPr>
          <w:bCs/>
          <w:shd w:val="clear" w:color="auto" w:fill="FFFFFF"/>
          <w:lang/>
        </w:rPr>
      </w:pPr>
      <w:bookmarkStart w:id="144" w:name="_Toc440897435"/>
      <w:bookmarkStart w:id="145" w:name="_Toc441760837"/>
      <w:bookmarkStart w:id="146" w:name="_Toc441849500"/>
      <w:r w:rsidRPr="00442A0C">
        <w:rPr>
          <w:bCs/>
          <w:shd w:val="clear" w:color="auto" w:fill="FFFFFF"/>
          <w:lang/>
        </w:rPr>
        <w:t>Výzkum v rámci DEFRA</w:t>
      </w:r>
      <w:bookmarkEnd w:id="144"/>
      <w:bookmarkEnd w:id="145"/>
      <w:bookmarkEnd w:id="146"/>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Členem 12 členného managementu ministerstva je hlavní vědecký poradce (Chief Scientific Adviser). Tento poradce zabezpečuje podporu politických rozhodnutí ministerstva; zabezpečuje kvalitu a pohotovost výzkumu patřícího do působnosti ministerstva, zabezpečuje zvyšování kvality vztahů veřejnosti k výzkum</w:t>
      </w:r>
      <w:r>
        <w:rPr>
          <w:color w:val="000000"/>
          <w:shd w:val="clear" w:color="auto" w:fill="FFFFFF"/>
          <w:lang w:eastAsia="cs-CZ"/>
        </w:rPr>
        <w:t>u prováděnému v rámci </w:t>
      </w:r>
      <w:r w:rsidRPr="00442A0C">
        <w:rPr>
          <w:color w:val="000000"/>
          <w:shd w:val="clear" w:color="auto" w:fill="FFFFFF"/>
          <w:lang w:eastAsia="cs-CZ"/>
        </w:rPr>
        <w:t>ministerstva.</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Výzkum z prostředků DEFRA zabezpečuje kromě jiného objektivní vstupy (evidence based) pro formulování politik, strategií a plánů minis</w:t>
      </w:r>
      <w:r>
        <w:rPr>
          <w:color w:val="000000"/>
          <w:shd w:val="clear" w:color="auto" w:fill="FFFFFF"/>
          <w:lang w:eastAsia="cs-CZ"/>
        </w:rPr>
        <w:t>terstva. Výzkum dále přispívá k </w:t>
      </w:r>
      <w:r w:rsidRPr="00442A0C">
        <w:rPr>
          <w:color w:val="000000"/>
          <w:shd w:val="clear" w:color="auto" w:fill="FFFFFF"/>
          <w:lang w:eastAsia="cs-CZ"/>
        </w:rPr>
        <w:t xml:space="preserve">identifikaci a řešení problémů očekávaných v budoucnosti. </w:t>
      </w:r>
    </w:p>
    <w:p w:rsidR="005A63D9" w:rsidRPr="00442A0C" w:rsidRDefault="005A63D9" w:rsidP="00442A0C">
      <w:pPr>
        <w:widowControl w:val="0"/>
        <w:adjustRightInd w:val="0"/>
        <w:spacing w:afterLines="0"/>
        <w:ind w:firstLine="539"/>
        <w:contextualSpacing w:val="0"/>
        <w:jc w:val="both"/>
        <w:textAlignment w:val="baseline"/>
        <w:rPr>
          <w:color w:val="000000"/>
          <w:shd w:val="clear" w:color="auto" w:fill="FFFFFF"/>
          <w:lang w:eastAsia="cs-CZ"/>
        </w:rPr>
      </w:pPr>
      <w:r w:rsidRPr="00442A0C">
        <w:rPr>
          <w:color w:val="000000"/>
          <w:shd w:val="clear" w:color="auto" w:fill="FFFFFF"/>
          <w:lang w:eastAsia="cs-CZ"/>
        </w:rPr>
        <w:t xml:space="preserve">DEFRA provozuje databázi ukončených a řešených </w:t>
      </w:r>
      <w:r>
        <w:rPr>
          <w:color w:val="000000"/>
          <w:shd w:val="clear" w:color="auto" w:fill="FFFFFF"/>
          <w:lang w:eastAsia="cs-CZ"/>
        </w:rPr>
        <w:t>projektů. Databáze obsahuje cca </w:t>
      </w:r>
      <w:r w:rsidRPr="00442A0C">
        <w:rPr>
          <w:color w:val="000000"/>
          <w:shd w:val="clear" w:color="auto" w:fill="FFFFFF"/>
          <w:lang w:eastAsia="cs-CZ"/>
        </w:rPr>
        <w:t>1000 projektů. Počty projektů v jednotlivých oborových skupinách jsou uvedeny v</w:t>
      </w:r>
      <w:r>
        <w:rPr>
          <w:color w:val="000000"/>
          <w:shd w:val="clear" w:color="auto" w:fill="FFFFFF"/>
          <w:lang w:eastAsia="cs-CZ"/>
        </w:rPr>
        <w:t> dodatku č. </w:t>
      </w:r>
      <w:r w:rsidRPr="00442A0C">
        <w:rPr>
          <w:color w:val="000000"/>
          <w:shd w:val="clear" w:color="auto" w:fill="FFFFFF"/>
          <w:lang w:eastAsia="cs-CZ"/>
        </w:rPr>
        <w:t>4 této přílohy. DEFRA financuje výzkumné projekty několika způsoby:</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standardním kompetitivním způsobem vyhlašováním soutěží;</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výzkumnými zakázkami především u svých výkonných agentur s výzkumnou činností;</w:t>
      </w:r>
    </w:p>
    <w:p w:rsidR="005A63D9" w:rsidRPr="00442A0C" w:rsidRDefault="005A63D9" w:rsidP="00442A0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442A0C">
        <w:rPr>
          <w:color w:val="000000"/>
          <w:shd w:val="clear" w:color="auto" w:fill="FFFFFF"/>
          <w:lang w:eastAsia="cs-CZ"/>
        </w:rPr>
        <w:t>ve spolupráci s ostatními poskytovateli.</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pStyle w:val="Heading3"/>
        <w:keepNext/>
        <w:spacing w:before="240" w:afterLines="0" w:line="240" w:lineRule="auto"/>
        <w:contextualSpacing w:val="0"/>
        <w:rPr>
          <w:bCs/>
          <w:shd w:val="clear" w:color="auto" w:fill="FFFFFF"/>
          <w:lang/>
        </w:rPr>
      </w:pPr>
      <w:bookmarkStart w:id="147" w:name="_Toc440897436"/>
      <w:bookmarkStart w:id="148" w:name="_Toc441760838"/>
      <w:bookmarkStart w:id="149" w:name="_Toc441849501"/>
      <w:r w:rsidRPr="00B36335">
        <w:rPr>
          <w:bCs/>
          <w:shd w:val="clear" w:color="auto" w:fill="FFFFFF"/>
          <w:lang/>
        </w:rPr>
        <w:t>Poradní rada pro výzkum</w:t>
      </w:r>
      <w:bookmarkEnd w:id="147"/>
      <w:bookmarkEnd w:id="148"/>
      <w:bookmarkEnd w:id="149"/>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 xml:space="preserve">(Science Advisory Council – SAC)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Poskytuje poradenské služby hlavnímu (vedoucímu) v</w:t>
      </w:r>
      <w:r>
        <w:rPr>
          <w:color w:val="000000"/>
          <w:shd w:val="clear" w:color="auto" w:fill="FFFFFF"/>
          <w:lang w:eastAsia="cs-CZ"/>
        </w:rPr>
        <w:t>ědeckému poradci ministerstva a </w:t>
      </w:r>
      <w:r w:rsidRPr="00B36335">
        <w:rPr>
          <w:color w:val="000000"/>
          <w:shd w:val="clear" w:color="auto" w:fill="FFFFFF"/>
          <w:lang w:eastAsia="cs-CZ"/>
        </w:rPr>
        <w:t>ministrovi ve všech záležitostech výzkumné podpory aktivit ministerstva.</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SAC je poradní nevládní organizace pro nezávislé odborné poradenství. SAC má osm členů, vesměs jde o profesory z renomovaných britských univerzit. SAC vydává a předkládá ministerstvu podrobné výroční zprávy. Ve statutu SAC jsou uvedeny sazby odměn předsedy a členů rady za několik druhů aktivit (jednání Rady, každoměsíční telekonference Rady, individuální příprava na aktivity Rady).</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Ministerstvo s podporou SAC zpracovává pro všechny oblasti svých politik strategie a prováděcí plány.</w:t>
      </w:r>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Ministerstvo má 5 prováděcích agentur:</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Animal and Plant Health Agency</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Centre for Environment, Fisheries and Aquaculture Science (CEFAS)</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Rural Payments Agency</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Veterinary Medicines Directorate</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Food and Environment Research Agency (FERA) – od 1. 4. 2015¨</w:t>
      </w:r>
    </w:p>
    <w:p w:rsidR="005A63D9" w:rsidRDefault="005A63D9" w:rsidP="0008405A">
      <w:pPr>
        <w:spacing w:after="144"/>
        <w:ind w:firstLine="708"/>
        <w:jc w:val="both"/>
      </w:pP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A dále také devět prováděcích nevládních organi</w:t>
      </w:r>
      <w:r>
        <w:rPr>
          <w:color w:val="000000"/>
          <w:shd w:val="clear" w:color="auto" w:fill="FFFFFF"/>
          <w:lang w:eastAsia="cs-CZ"/>
        </w:rPr>
        <w:t>zací, kromě jiných Agenturu pro </w:t>
      </w:r>
      <w:r w:rsidRPr="00B36335">
        <w:rPr>
          <w:color w:val="000000"/>
          <w:shd w:val="clear" w:color="auto" w:fill="FFFFFF"/>
          <w:lang w:eastAsia="cs-CZ"/>
        </w:rPr>
        <w:t>životní prostředí (Environment Agency). Zprávy o činnosti a finančním hospodaření prováděcích agentur jsou auditovány Národním úřadem pro audit (National Audit Office –NAO).</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 xml:space="preserve">Výzkum a vývoj ve větším rozsahu provádějí Centrum pro výzkum životního prostředí, rybářství a aquakulturu (CEFAS), Agentura pro zdraví zvířat a rostlin a FERA.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pStyle w:val="Heading3"/>
        <w:keepNext/>
        <w:spacing w:before="240" w:afterLines="0" w:line="240" w:lineRule="auto"/>
        <w:contextualSpacing w:val="0"/>
        <w:rPr>
          <w:bCs/>
          <w:shd w:val="clear" w:color="auto" w:fill="FFFFFF"/>
          <w:lang/>
        </w:rPr>
      </w:pPr>
      <w:bookmarkStart w:id="150" w:name="_Toc440897437"/>
      <w:bookmarkStart w:id="151" w:name="_Toc441760839"/>
      <w:bookmarkStart w:id="152" w:name="_Toc441849502"/>
      <w:r w:rsidRPr="00B36335">
        <w:rPr>
          <w:bCs/>
          <w:shd w:val="clear" w:color="auto" w:fill="FFFFFF"/>
          <w:lang/>
        </w:rPr>
        <w:t>FERA – Agentura pro výzkum potravin a životního prostředí</w:t>
      </w:r>
      <w:bookmarkEnd w:id="150"/>
      <w:bookmarkEnd w:id="151"/>
      <w:bookmarkEnd w:id="152"/>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(The food and Environment Research Agency – www.defra.gov.uk/fera)</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Velká výzkumná organizace s rozsáhlým portfoliem výzkumných směrů s významným podílem podpory ze státního rozpočtu. FERA po určitých organizačních změnách (převod aktivit v oblasti zdraví zvířat a rostlin do Animals and Plant Health Agency) se od 1. dubna 2015 stala pátou výkonnou agenturou ministerstva. Po pr</w:t>
      </w:r>
      <w:r>
        <w:rPr>
          <w:color w:val="000000"/>
          <w:shd w:val="clear" w:color="auto" w:fill="FFFFFF"/>
          <w:lang w:eastAsia="cs-CZ"/>
        </w:rPr>
        <w:t>ávní stránce jde o společnost s </w:t>
      </w:r>
      <w:r w:rsidRPr="00B36335">
        <w:rPr>
          <w:color w:val="000000"/>
          <w:shd w:val="clear" w:color="auto" w:fill="FFFFFF"/>
          <w:lang w:eastAsia="cs-CZ"/>
        </w:rPr>
        <w:t>ručením omezeným vytvořenou jako společný podnik ministerstva a velkého poradenského a servisního podniku CAPITA. Dále jsou uvedeny charakteristiky, které nepochybně budou platit i pro „novou“ FERA.</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V zakládajícím dokumentu FERA (Framework Document) se konkrétně charakterizují úkoly FERA. Vztahy k systémovému okolí (ministerstvo DEFRA, další ministerstva, parlament aj.) jsou formulovány rovněž velice ko</w:t>
      </w:r>
      <w:r>
        <w:rPr>
          <w:color w:val="000000"/>
          <w:shd w:val="clear" w:color="auto" w:fill="FFFFFF"/>
          <w:lang w:eastAsia="cs-CZ"/>
        </w:rPr>
        <w:t>nkrétně. Hlavním úkolem FERA je </w:t>
      </w:r>
      <w:r w:rsidRPr="00B36335">
        <w:rPr>
          <w:color w:val="000000"/>
          <w:shd w:val="clear" w:color="auto" w:fill="FFFFFF"/>
          <w:lang w:eastAsia="cs-CZ"/>
        </w:rPr>
        <w:t xml:space="preserve">výzkumná a poradenská podpora DEFRA a dalších vládních orgánů ve dvou oblastech: rozvoj ekonomiky venkova; ochrana životního prostředí.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Konkrétně FERA:</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zajišťuje podporu pro prognózy, strategie, politiky;</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provádí VaVaI v rozvoji ekonomiky venkova a ochraně životního prostředí;</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měření a modelování v oblastech své působnosti</w:t>
      </w:r>
      <w:r>
        <w:rPr>
          <w:color w:val="000000"/>
          <w:shd w:val="clear" w:color="auto" w:fill="FFFFFF"/>
          <w:lang w:eastAsia="cs-CZ"/>
        </w:rPr>
        <w: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připravuje návrhy na zmírňování rizik v oblastech své působnosti a návrhy na lepší regulaci (právní předpisy aj.)</w:t>
      </w:r>
      <w:r>
        <w:rPr>
          <w:color w:val="000000"/>
          <w:shd w:val="clear" w:color="auto" w:fill="FFFFFF"/>
          <w:lang w:eastAsia="cs-CZ"/>
        </w:rPr>
        <w: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provádí kontrolní práce, audity a poradenství</w:t>
      </w:r>
      <w:r>
        <w:rPr>
          <w:color w:val="000000"/>
          <w:shd w:val="clear" w:color="auto" w:fill="FFFFFF"/>
          <w:lang w:eastAsia="cs-CZ"/>
        </w:rPr>
        <w: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zabezpečuje informační databáze v oblastech své působnosti.</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Vedení FERA (exekutivní ředitelé – executive directors): generální ředitel a hlavní ekonom (účetní); provozní ředitel; ředitel pro výzkum; ředitel ext</w:t>
      </w:r>
      <w:r>
        <w:rPr>
          <w:color w:val="000000"/>
          <w:shd w:val="clear" w:color="auto" w:fill="FFFFFF"/>
          <w:lang w:eastAsia="cs-CZ"/>
        </w:rPr>
        <w:t>erních záležitostí; ředitel pro </w:t>
      </w:r>
      <w:r w:rsidRPr="00B36335">
        <w:rPr>
          <w:color w:val="000000"/>
          <w:shd w:val="clear" w:color="auto" w:fill="FFFFFF"/>
          <w:lang w:eastAsia="cs-CZ"/>
        </w:rPr>
        <w:t xml:space="preserve">finance a interní služby FERA; ředitel pro vztahy s vládou. Kromě těchto výkonných ředitelů má FERA ještě 6 ředitelů nižší úrovně (non-executive directors). Ve FERA je ustaven Výbor pro audit a hodnocení rizik složený ze tří ředitelů nižší úrovně. Stejně jako ostatní výkonné agentury DEFRA překládá FERA podrobně výroční zprávy za finanční roky ministerstvu a parlamentu. K 31. březnu 2015 měla FERA přes 800 zaměstnanců.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Dosud (prosinec 2015) poslední je Výroční zpráva a</w:t>
      </w:r>
      <w:r>
        <w:rPr>
          <w:color w:val="000000"/>
          <w:shd w:val="clear" w:color="auto" w:fill="FFFFFF"/>
          <w:lang w:eastAsia="cs-CZ"/>
        </w:rPr>
        <w:t xml:space="preserve"> finanční uzávěrka 2013/14. Při </w:t>
      </w:r>
      <w:r w:rsidRPr="00B36335">
        <w:rPr>
          <w:color w:val="000000"/>
          <w:shd w:val="clear" w:color="auto" w:fill="FFFFFF"/>
          <w:lang w:eastAsia="cs-CZ"/>
        </w:rPr>
        <w:t>FERA je ustaven panel externích vědeckých pracovníků jako poradní orgán exekutivy FERA. Panel se schází dvakrát ročně. Zprávy o své činnosti podává generálnímu řediteli FERA a kanceláří hlavního poradce DEFRA pro výzkum.</w:t>
      </w:r>
      <w:r>
        <w:rPr>
          <w:color w:val="000000"/>
          <w:shd w:val="clear" w:color="auto" w:fill="FFFFFF"/>
          <w:lang w:eastAsia="cs-CZ"/>
        </w:rPr>
        <w:t xml:space="preserve"> FERA má dále ustaven Výbor pro </w:t>
      </w:r>
      <w:r w:rsidRPr="00B36335">
        <w:rPr>
          <w:color w:val="000000"/>
          <w:shd w:val="clear" w:color="auto" w:fill="FFFFFF"/>
          <w:lang w:eastAsia="cs-CZ"/>
        </w:rPr>
        <w:t>audit a zmírňování (odstraňování) rizik.</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Default="005A63D9">
      <w:pPr>
        <w:keepNext/>
        <w:widowControl w:val="0"/>
        <w:adjustRightInd w:val="0"/>
        <w:spacing w:afterLines="0"/>
        <w:contextualSpacing w:val="0"/>
        <w:jc w:val="both"/>
        <w:textAlignment w:val="baseline"/>
        <w:rPr>
          <w:b/>
          <w:color w:val="000000"/>
          <w:shd w:val="clear" w:color="auto" w:fill="FFFFFF"/>
          <w:lang w:eastAsia="cs-CZ"/>
        </w:rPr>
      </w:pPr>
      <w:r w:rsidRPr="00B36335">
        <w:rPr>
          <w:b/>
          <w:color w:val="000000"/>
          <w:shd w:val="clear" w:color="auto" w:fill="FFFFFF"/>
          <w:lang w:eastAsia="cs-CZ"/>
        </w:rPr>
        <w:t>T</w:t>
      </w:r>
      <w:r>
        <w:rPr>
          <w:b/>
          <w:color w:val="000000"/>
          <w:shd w:val="clear" w:color="auto" w:fill="FFFFFF"/>
          <w:lang w:eastAsia="cs-CZ"/>
        </w:rPr>
        <w:t>ab. č. 31</w:t>
      </w:r>
      <w:r w:rsidRPr="00B36335">
        <w:rPr>
          <w:b/>
          <w:color w:val="000000"/>
          <w:shd w:val="clear" w:color="auto" w:fill="FFFFFF"/>
          <w:lang w:eastAsia="cs-CZ"/>
        </w:rPr>
        <w:t xml:space="preserve"> </w:t>
      </w:r>
      <w:r w:rsidRPr="00B36335">
        <w:rPr>
          <w:color w:val="000000"/>
          <w:shd w:val="clear" w:color="auto" w:fill="FFFFFF"/>
          <w:lang w:eastAsia="cs-CZ"/>
        </w:rPr>
        <w:t>Příjmy FERA (mil.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274"/>
        <w:gridCol w:w="1169"/>
        <w:gridCol w:w="1170"/>
        <w:gridCol w:w="1168"/>
        <w:gridCol w:w="1170"/>
        <w:gridCol w:w="1168"/>
        <w:gridCol w:w="1168"/>
      </w:tblGrid>
      <w:tr w:rsidR="005A63D9" w:rsidRPr="00E27ED8" w:rsidTr="00510C04">
        <w:tc>
          <w:tcPr>
            <w:tcW w:w="1224"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sz w:val="20"/>
                <w:szCs w:val="20"/>
              </w:rPr>
            </w:pPr>
          </w:p>
        </w:tc>
        <w:tc>
          <w:tcPr>
            <w:tcW w:w="1259" w:type="pct"/>
            <w:gridSpan w:val="2"/>
            <w:tcBorders>
              <w:top w:val="single" w:sz="12" w:space="0" w:color="auto"/>
              <w:left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2012/13</w:t>
            </w:r>
          </w:p>
        </w:tc>
        <w:tc>
          <w:tcPr>
            <w:tcW w:w="1259"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2013/14</w:t>
            </w:r>
          </w:p>
        </w:tc>
        <w:tc>
          <w:tcPr>
            <w:tcW w:w="1258"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2014/15</w:t>
            </w:r>
          </w:p>
        </w:tc>
      </w:tr>
      <w:tr w:rsidR="005A63D9" w:rsidRPr="00E27ED8" w:rsidTr="00510C04">
        <w:tc>
          <w:tcPr>
            <w:tcW w:w="1224"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sz w:val="18"/>
                <w:szCs w:val="18"/>
              </w:rPr>
            </w:pPr>
          </w:p>
        </w:tc>
        <w:tc>
          <w:tcPr>
            <w:tcW w:w="629" w:type="pct"/>
            <w:tcBorders>
              <w:left w:val="single" w:sz="12" w:space="0" w:color="auto"/>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r>
      <w:tr w:rsidR="005A63D9" w:rsidRPr="00E27ED8" w:rsidTr="00510C04">
        <w:tc>
          <w:tcPr>
            <w:tcW w:w="1224" w:type="pct"/>
            <w:tcBorders>
              <w:top w:val="double" w:sz="4"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DEFRA</w:t>
            </w:r>
          </w:p>
        </w:tc>
        <w:tc>
          <w:tcPr>
            <w:tcW w:w="629" w:type="pct"/>
            <w:tcBorders>
              <w:top w:val="double" w:sz="4" w:space="0" w:color="auto"/>
              <w:left w:val="single" w:sz="12" w:space="0" w:color="auto"/>
            </w:tcBorders>
          </w:tcPr>
          <w:p w:rsidR="005A63D9" w:rsidRPr="00E27ED8" w:rsidRDefault="005A63D9" w:rsidP="00221B9C">
            <w:pPr>
              <w:spacing w:after="144"/>
              <w:jc w:val="center"/>
              <w:rPr>
                <w:sz w:val="18"/>
                <w:szCs w:val="18"/>
              </w:rPr>
            </w:pPr>
            <w:r w:rsidRPr="00E27ED8">
              <w:rPr>
                <w:sz w:val="18"/>
                <w:szCs w:val="18"/>
              </w:rPr>
              <w:t>44,877</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63,3</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35,978</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57,2</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34,622</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52,5</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Ostatní ministerstva</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4,949</w:t>
            </w:r>
          </w:p>
        </w:tc>
        <w:tc>
          <w:tcPr>
            <w:tcW w:w="629" w:type="pct"/>
          </w:tcPr>
          <w:p w:rsidR="005A63D9" w:rsidRPr="00E27ED8" w:rsidRDefault="005A63D9" w:rsidP="00221B9C">
            <w:pPr>
              <w:spacing w:after="144"/>
              <w:jc w:val="center"/>
              <w:rPr>
                <w:sz w:val="18"/>
                <w:szCs w:val="18"/>
              </w:rPr>
            </w:pPr>
            <w:r w:rsidRPr="00E27ED8">
              <w:rPr>
                <w:sz w:val="18"/>
                <w:szCs w:val="18"/>
              </w:rPr>
              <w:t>7,0</w:t>
            </w:r>
          </w:p>
        </w:tc>
        <w:tc>
          <w:tcPr>
            <w:tcW w:w="629" w:type="pct"/>
          </w:tcPr>
          <w:p w:rsidR="005A63D9" w:rsidRPr="00E27ED8" w:rsidRDefault="005A63D9" w:rsidP="00221B9C">
            <w:pPr>
              <w:spacing w:after="144"/>
              <w:jc w:val="center"/>
              <w:rPr>
                <w:sz w:val="18"/>
                <w:szCs w:val="18"/>
              </w:rPr>
            </w:pPr>
            <w:r w:rsidRPr="00E27ED8">
              <w:rPr>
                <w:sz w:val="18"/>
                <w:szCs w:val="18"/>
              </w:rPr>
              <w:t>5,502</w:t>
            </w:r>
          </w:p>
        </w:tc>
        <w:tc>
          <w:tcPr>
            <w:tcW w:w="629" w:type="pct"/>
          </w:tcPr>
          <w:p w:rsidR="005A63D9" w:rsidRPr="00E27ED8" w:rsidRDefault="005A63D9" w:rsidP="00221B9C">
            <w:pPr>
              <w:spacing w:after="144"/>
              <w:jc w:val="center"/>
              <w:rPr>
                <w:sz w:val="18"/>
                <w:szCs w:val="18"/>
              </w:rPr>
            </w:pPr>
            <w:r w:rsidRPr="00E27ED8">
              <w:rPr>
                <w:sz w:val="18"/>
                <w:szCs w:val="18"/>
              </w:rPr>
              <w:t>8,7</w:t>
            </w:r>
          </w:p>
        </w:tc>
        <w:tc>
          <w:tcPr>
            <w:tcW w:w="629" w:type="pct"/>
          </w:tcPr>
          <w:p w:rsidR="005A63D9" w:rsidRPr="00E27ED8" w:rsidRDefault="005A63D9" w:rsidP="00221B9C">
            <w:pPr>
              <w:spacing w:after="144"/>
              <w:jc w:val="center"/>
              <w:rPr>
                <w:sz w:val="18"/>
                <w:szCs w:val="18"/>
              </w:rPr>
            </w:pPr>
            <w:r w:rsidRPr="00E27ED8">
              <w:rPr>
                <w:sz w:val="18"/>
                <w:szCs w:val="18"/>
              </w:rPr>
              <w:t>6,008</w:t>
            </w:r>
          </w:p>
        </w:tc>
        <w:tc>
          <w:tcPr>
            <w:tcW w:w="629" w:type="pct"/>
          </w:tcPr>
          <w:p w:rsidR="005A63D9" w:rsidRPr="00E27ED8" w:rsidRDefault="005A63D9" w:rsidP="00221B9C">
            <w:pPr>
              <w:spacing w:after="144"/>
              <w:jc w:val="center"/>
              <w:rPr>
                <w:sz w:val="18"/>
                <w:szCs w:val="18"/>
              </w:rPr>
            </w:pPr>
            <w:r w:rsidRPr="00E27ED8">
              <w:rPr>
                <w:sz w:val="18"/>
                <w:szCs w:val="18"/>
              </w:rPr>
              <w:t>9,1</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Evropská komise</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2,032</w:t>
            </w:r>
          </w:p>
        </w:tc>
        <w:tc>
          <w:tcPr>
            <w:tcW w:w="629" w:type="pct"/>
          </w:tcPr>
          <w:p w:rsidR="005A63D9" w:rsidRPr="00E27ED8" w:rsidRDefault="005A63D9" w:rsidP="00221B9C">
            <w:pPr>
              <w:spacing w:after="144"/>
              <w:jc w:val="center"/>
              <w:rPr>
                <w:sz w:val="18"/>
                <w:szCs w:val="18"/>
              </w:rPr>
            </w:pPr>
            <w:r w:rsidRPr="00E27ED8">
              <w:rPr>
                <w:sz w:val="18"/>
                <w:szCs w:val="18"/>
              </w:rPr>
              <w:t>2,9</w:t>
            </w:r>
          </w:p>
        </w:tc>
        <w:tc>
          <w:tcPr>
            <w:tcW w:w="629" w:type="pct"/>
          </w:tcPr>
          <w:p w:rsidR="005A63D9" w:rsidRPr="00E27ED8" w:rsidRDefault="005A63D9" w:rsidP="00221B9C">
            <w:pPr>
              <w:spacing w:after="144"/>
              <w:jc w:val="center"/>
              <w:rPr>
                <w:sz w:val="18"/>
                <w:szCs w:val="18"/>
              </w:rPr>
            </w:pPr>
            <w:r w:rsidRPr="00E27ED8">
              <w:rPr>
                <w:sz w:val="18"/>
                <w:szCs w:val="18"/>
              </w:rPr>
              <w:t>2,065</w:t>
            </w:r>
          </w:p>
        </w:tc>
        <w:tc>
          <w:tcPr>
            <w:tcW w:w="629" w:type="pct"/>
          </w:tcPr>
          <w:p w:rsidR="005A63D9" w:rsidRPr="00E27ED8" w:rsidRDefault="005A63D9" w:rsidP="00221B9C">
            <w:pPr>
              <w:spacing w:after="144"/>
              <w:jc w:val="center"/>
              <w:rPr>
                <w:sz w:val="18"/>
                <w:szCs w:val="18"/>
              </w:rPr>
            </w:pPr>
            <w:r w:rsidRPr="00E27ED8">
              <w:rPr>
                <w:sz w:val="18"/>
                <w:szCs w:val="18"/>
              </w:rPr>
              <w:t>3,3</w:t>
            </w:r>
          </w:p>
        </w:tc>
        <w:tc>
          <w:tcPr>
            <w:tcW w:w="629" w:type="pct"/>
          </w:tcPr>
          <w:p w:rsidR="005A63D9" w:rsidRPr="00E27ED8" w:rsidRDefault="005A63D9" w:rsidP="00221B9C">
            <w:pPr>
              <w:spacing w:after="144"/>
              <w:jc w:val="center"/>
              <w:rPr>
                <w:sz w:val="18"/>
                <w:szCs w:val="18"/>
              </w:rPr>
            </w:pPr>
            <w:r w:rsidRPr="00E27ED8">
              <w:rPr>
                <w:sz w:val="18"/>
                <w:szCs w:val="18"/>
              </w:rPr>
              <w:t>2,695</w:t>
            </w:r>
          </w:p>
        </w:tc>
        <w:tc>
          <w:tcPr>
            <w:tcW w:w="629" w:type="pct"/>
          </w:tcPr>
          <w:p w:rsidR="005A63D9" w:rsidRPr="00E27ED8" w:rsidRDefault="005A63D9" w:rsidP="00221B9C">
            <w:pPr>
              <w:spacing w:after="144"/>
              <w:jc w:val="center"/>
              <w:rPr>
                <w:sz w:val="18"/>
                <w:szCs w:val="18"/>
              </w:rPr>
            </w:pPr>
            <w:r w:rsidRPr="00E27ED8">
              <w:rPr>
                <w:sz w:val="18"/>
                <w:szCs w:val="18"/>
              </w:rPr>
              <w:t>4,1</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Soukromý sektor</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12,502</w:t>
            </w:r>
          </w:p>
        </w:tc>
        <w:tc>
          <w:tcPr>
            <w:tcW w:w="629" w:type="pct"/>
          </w:tcPr>
          <w:p w:rsidR="005A63D9" w:rsidRPr="00E27ED8" w:rsidRDefault="005A63D9" w:rsidP="00221B9C">
            <w:pPr>
              <w:spacing w:after="144"/>
              <w:jc w:val="center"/>
              <w:rPr>
                <w:sz w:val="18"/>
                <w:szCs w:val="18"/>
              </w:rPr>
            </w:pPr>
            <w:r w:rsidRPr="00E27ED8">
              <w:rPr>
                <w:sz w:val="18"/>
                <w:szCs w:val="18"/>
              </w:rPr>
              <w:t>17,6</w:t>
            </w:r>
          </w:p>
        </w:tc>
        <w:tc>
          <w:tcPr>
            <w:tcW w:w="629" w:type="pct"/>
          </w:tcPr>
          <w:p w:rsidR="005A63D9" w:rsidRPr="00E27ED8" w:rsidRDefault="005A63D9" w:rsidP="00221B9C">
            <w:pPr>
              <w:spacing w:after="144"/>
              <w:jc w:val="center"/>
              <w:rPr>
                <w:sz w:val="18"/>
                <w:szCs w:val="18"/>
              </w:rPr>
            </w:pPr>
            <w:r w:rsidRPr="00E27ED8">
              <w:rPr>
                <w:sz w:val="18"/>
                <w:szCs w:val="18"/>
              </w:rPr>
              <w:t>11,021</w:t>
            </w:r>
          </w:p>
        </w:tc>
        <w:tc>
          <w:tcPr>
            <w:tcW w:w="629" w:type="pct"/>
          </w:tcPr>
          <w:p w:rsidR="005A63D9" w:rsidRPr="00E27ED8" w:rsidRDefault="005A63D9" w:rsidP="00221B9C">
            <w:pPr>
              <w:spacing w:after="144"/>
              <w:jc w:val="center"/>
              <w:rPr>
                <w:sz w:val="18"/>
                <w:szCs w:val="18"/>
              </w:rPr>
            </w:pPr>
            <w:r w:rsidRPr="00E27ED8">
              <w:rPr>
                <w:sz w:val="18"/>
                <w:szCs w:val="18"/>
              </w:rPr>
              <w:t>17,5</w:t>
            </w:r>
          </w:p>
        </w:tc>
        <w:tc>
          <w:tcPr>
            <w:tcW w:w="629" w:type="pct"/>
          </w:tcPr>
          <w:p w:rsidR="005A63D9" w:rsidRPr="00E27ED8" w:rsidRDefault="005A63D9" w:rsidP="00221B9C">
            <w:pPr>
              <w:spacing w:after="144"/>
              <w:jc w:val="center"/>
              <w:rPr>
                <w:sz w:val="18"/>
                <w:szCs w:val="18"/>
              </w:rPr>
            </w:pPr>
            <w:r w:rsidRPr="00E27ED8">
              <w:rPr>
                <w:sz w:val="18"/>
                <w:szCs w:val="18"/>
              </w:rPr>
              <w:t>14,300</w:t>
            </w:r>
          </w:p>
        </w:tc>
        <w:tc>
          <w:tcPr>
            <w:tcW w:w="629" w:type="pct"/>
          </w:tcPr>
          <w:p w:rsidR="005A63D9" w:rsidRPr="00E27ED8" w:rsidRDefault="005A63D9" w:rsidP="00221B9C">
            <w:pPr>
              <w:spacing w:after="144"/>
              <w:jc w:val="center"/>
              <w:rPr>
                <w:sz w:val="18"/>
                <w:szCs w:val="18"/>
              </w:rPr>
            </w:pPr>
            <w:r w:rsidRPr="00E27ED8">
              <w:rPr>
                <w:sz w:val="18"/>
                <w:szCs w:val="18"/>
              </w:rPr>
              <w:t>21,6</w:t>
            </w:r>
          </w:p>
        </w:tc>
      </w:tr>
      <w:tr w:rsidR="005A63D9" w:rsidRPr="00E27ED8" w:rsidTr="00510C04">
        <w:tc>
          <w:tcPr>
            <w:tcW w:w="1224" w:type="pct"/>
            <w:tcBorders>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Ostatní</w:t>
            </w:r>
          </w:p>
        </w:tc>
        <w:tc>
          <w:tcPr>
            <w:tcW w:w="629" w:type="pct"/>
            <w:tcBorders>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6,557</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9,2</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8,346</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13,3</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8,378</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12,7</w:t>
            </w:r>
          </w:p>
        </w:tc>
      </w:tr>
      <w:tr w:rsidR="005A63D9" w:rsidRPr="00E27ED8" w:rsidTr="00510C04">
        <w:tc>
          <w:tcPr>
            <w:tcW w:w="1224" w:type="pct"/>
            <w:tcBorders>
              <w:top w:val="single" w:sz="12" w:space="0" w:color="auto"/>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CELKEM</w:t>
            </w:r>
          </w:p>
        </w:tc>
        <w:tc>
          <w:tcPr>
            <w:tcW w:w="629" w:type="pct"/>
            <w:tcBorders>
              <w:top w:val="single" w:sz="12" w:space="0" w:color="auto"/>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70,917</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62,912</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66,003</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r>
    </w:tbl>
    <w:p w:rsidR="005A63D9" w:rsidRPr="003E2752" w:rsidRDefault="005A63D9" w:rsidP="0008405A">
      <w:pPr>
        <w:pStyle w:val="ZDROJovan"/>
        <w:spacing w:after="144" w:line="288" w:lineRule="auto"/>
        <w:jc w:val="both"/>
      </w:pPr>
      <w:r w:rsidRPr="000B30A8">
        <w:t xml:space="preserve">Zdroj: 2012/13 a 2013/14, FERA Annual Report and Accounts 2013/14; 2014/15, FERA Business Plan 2014/2015.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Podíl státních (veřejných) zdrojů, bez započtení zdrojů Evropské komise, v posledních třech finančních rocích klesal (70,3 %; 55,9 % 51,6 %).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pStyle w:val="Heading3"/>
        <w:keepNext/>
        <w:spacing w:before="240" w:afterLines="0" w:line="240" w:lineRule="auto"/>
        <w:contextualSpacing w:val="0"/>
        <w:rPr>
          <w:bCs/>
          <w:shd w:val="clear" w:color="auto" w:fill="FFFFFF"/>
          <w:lang/>
        </w:rPr>
      </w:pPr>
      <w:bookmarkStart w:id="153" w:name="_Toc440897438"/>
      <w:bookmarkStart w:id="154" w:name="_Toc441760840"/>
      <w:bookmarkStart w:id="155" w:name="_Toc441849503"/>
      <w:r w:rsidRPr="00B36335">
        <w:rPr>
          <w:bCs/>
          <w:shd w:val="clear" w:color="auto" w:fill="FFFFFF"/>
          <w:lang/>
        </w:rPr>
        <w:t>CEFAS – Centrum pro výzkum ž</w:t>
      </w:r>
      <w:r>
        <w:rPr>
          <w:bCs/>
          <w:shd w:val="clear" w:color="auto" w:fill="FFFFFF"/>
          <w:lang/>
        </w:rPr>
        <w:t>ivotního prostředí, rybářství a </w:t>
      </w:r>
      <w:r w:rsidRPr="00B36335">
        <w:rPr>
          <w:bCs/>
          <w:shd w:val="clear" w:color="auto" w:fill="FFFFFF"/>
          <w:lang/>
        </w:rPr>
        <w:t>akvakultury</w:t>
      </w:r>
      <w:r w:rsidRPr="00B36335">
        <w:rPr>
          <w:bCs/>
          <w:shd w:val="clear" w:color="auto" w:fill="FFFFFF"/>
          <w:vertAlign w:val="superscript"/>
          <w:lang/>
        </w:rPr>
        <w:footnoteReference w:id="29"/>
      </w:r>
      <w:bookmarkEnd w:id="153"/>
      <w:bookmarkEnd w:id="154"/>
      <w:bookmarkEnd w:id="155"/>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(Centre for Environment , Fisheries and Aquaculture Science, CEFAS – www.cefas.co.uk)</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CEFAS je poradenskou a výzkumnou prováděcí ag</w:t>
      </w:r>
      <w:r>
        <w:rPr>
          <w:color w:val="000000"/>
          <w:shd w:val="clear" w:color="auto" w:fill="FFFFFF"/>
          <w:lang w:eastAsia="cs-CZ"/>
        </w:rPr>
        <w:t>enturou ministerstva DEFRA. Při </w:t>
      </w:r>
      <w:r w:rsidRPr="00B36335">
        <w:rPr>
          <w:color w:val="000000"/>
          <w:shd w:val="clear" w:color="auto" w:fill="FFFFFF"/>
          <w:lang w:eastAsia="cs-CZ"/>
        </w:rPr>
        <w:t>CEFAS jsou ustaveny: Poradní výbor pro pesticidy; Poradní výbor pro zprávy o životním prostředí; Nezávislý odvolací panel pro zemědělství; Pora</w:t>
      </w:r>
      <w:r>
        <w:rPr>
          <w:color w:val="000000"/>
          <w:shd w:val="clear" w:color="auto" w:fill="FFFFFF"/>
          <w:lang w:eastAsia="cs-CZ"/>
        </w:rPr>
        <w:t>dní výbor pro výzkum; Výbor pro </w:t>
      </w:r>
      <w:r w:rsidRPr="00B36335">
        <w:rPr>
          <w:color w:val="000000"/>
          <w:shd w:val="clear" w:color="auto" w:fill="FFFFFF"/>
          <w:lang w:eastAsia="cs-CZ"/>
        </w:rPr>
        <w:t>veterinární produkty.</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 xml:space="preserve">V zakládajícím dokumentu CEFAS (Framework Document) z února 2012 se obdobně jako u FERA konkrétně charakterizují úkoly. Vztahy k </w:t>
      </w:r>
      <w:r>
        <w:rPr>
          <w:color w:val="000000"/>
          <w:shd w:val="clear" w:color="auto" w:fill="FFFFFF"/>
          <w:lang w:eastAsia="cs-CZ"/>
        </w:rPr>
        <w:t>systémovému okolí (ministerstvo </w:t>
      </w:r>
      <w:r w:rsidRPr="00B36335">
        <w:rPr>
          <w:color w:val="000000"/>
          <w:shd w:val="clear" w:color="auto" w:fill="FFFFFF"/>
          <w:lang w:eastAsia="cs-CZ"/>
        </w:rPr>
        <w:t>DEFRA, další ministerstva, parlament aj.) jsou formulovány rovněž velice konkrétně.</w:t>
      </w:r>
    </w:p>
    <w:p w:rsidR="005A63D9" w:rsidRPr="00B36335" w:rsidRDefault="005A63D9" w:rsidP="00B36335">
      <w:pPr>
        <w:keepNext/>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Výzkumná část CEFAS podporuje tvorbu a reali</w:t>
      </w:r>
      <w:r>
        <w:rPr>
          <w:color w:val="000000"/>
          <w:shd w:val="clear" w:color="auto" w:fill="FFFFFF"/>
          <w:lang w:eastAsia="cs-CZ"/>
        </w:rPr>
        <w:t>zaci politik DEFRA. Zaměřuje se </w:t>
      </w:r>
      <w:r w:rsidRPr="00B36335">
        <w:rPr>
          <w:color w:val="000000"/>
          <w:shd w:val="clear" w:color="auto" w:fill="FFFFFF"/>
          <w:lang w:eastAsia="cs-CZ"/>
        </w:rPr>
        <w:t>především na výzkum problematik:</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odpadů a jejich recyklování;</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reformy zemědělské politiky UK;</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záplav a pobřežních změn</w:t>
      </w:r>
      <w:r>
        <w:rPr>
          <w:color w:val="000000"/>
          <w:shd w:val="clear" w:color="auto" w:fill="FFFFFF"/>
          <w:lang w:eastAsia="cs-CZ"/>
        </w:rPr>
        <w: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potravinářského průmyslu a zemědělství;</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kvality životního prostředí</w:t>
      </w:r>
      <w:r>
        <w:rPr>
          <w:color w:val="000000"/>
          <w:shd w:val="clear" w:color="auto" w:fill="FFFFFF"/>
          <w:lang w:eastAsia="cs-CZ"/>
        </w:rPr>
        <w:t>.</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Zvláštní pozornost je přitom zaměřena na problematiku moří a rybářství, včetně rybářství sladkovodního, a mořské těžby ropy a zemního plynu.</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CEFAS v posledních třech finančních rocích vyk</w:t>
      </w:r>
      <w:r>
        <w:rPr>
          <w:color w:val="000000"/>
          <w:shd w:val="clear" w:color="auto" w:fill="FFFFFF"/>
          <w:lang w:eastAsia="cs-CZ"/>
        </w:rPr>
        <w:t>azuje přes 500 zaměstnanců (521 </w:t>
      </w:r>
      <w:r w:rsidRPr="00B36335">
        <w:rPr>
          <w:color w:val="000000"/>
          <w:shd w:val="clear" w:color="auto" w:fill="FFFFFF"/>
          <w:lang w:eastAsia="cs-CZ"/>
        </w:rPr>
        <w:t>zaměstnanců v roce 2014–15 ) s cca 40 % podílem žen. CEFAS ve značném rozsahu spolupracuje s jednou ze sedmi Rad pro výzkum, a to s Radou pro výzkum životního prostředí.</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CEFAS obdobně jako je tomu u FERA řídí generální ředitel. Nejužší vedení tvoří generální ředitel a tři další manažeři – finanční ředitel, provozní ředitel, hlavní vědecký poradce. Do působnosti provozního ředitele opatří osm velkých odborných útvarů. Významným orgánem CEFAS je správní rada složená</w:t>
      </w:r>
      <w:r>
        <w:rPr>
          <w:color w:val="000000"/>
          <w:shd w:val="clear" w:color="auto" w:fill="FFFFFF"/>
          <w:lang w:eastAsia="cs-CZ"/>
        </w:rPr>
        <w:t xml:space="preserve"> ze čtyř vrcholových manažerů a </w:t>
      </w:r>
      <w:r w:rsidRPr="00B36335">
        <w:rPr>
          <w:color w:val="000000"/>
          <w:shd w:val="clear" w:color="auto" w:fill="FFFFFF"/>
          <w:lang w:eastAsia="cs-CZ"/>
        </w:rPr>
        <w:t>z ředitelů nižší úrovně (Non-Executive Directors – NEDs).</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p>
    <w:p w:rsidR="005A63D9" w:rsidRPr="00B36335" w:rsidRDefault="005A63D9" w:rsidP="00B36335">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32</w:t>
      </w:r>
      <w:r w:rsidRPr="00B36335">
        <w:rPr>
          <w:b/>
          <w:color w:val="000000"/>
          <w:shd w:val="clear" w:color="auto" w:fill="FFFFFF"/>
          <w:lang w:eastAsia="cs-CZ"/>
        </w:rPr>
        <w:t xml:space="preserve"> </w:t>
      </w:r>
      <w:r w:rsidRPr="00B36335">
        <w:rPr>
          <w:color w:val="000000"/>
          <w:shd w:val="clear" w:color="auto" w:fill="FFFFFF"/>
          <w:lang w:eastAsia="cs-CZ"/>
        </w:rPr>
        <w:t>Příjmy CEFAS (mil.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510"/>
        <w:gridCol w:w="1130"/>
        <w:gridCol w:w="1130"/>
        <w:gridCol w:w="1130"/>
        <w:gridCol w:w="1129"/>
        <w:gridCol w:w="1129"/>
        <w:gridCol w:w="1129"/>
      </w:tblGrid>
      <w:tr w:rsidR="005A63D9" w:rsidRPr="00E27ED8" w:rsidTr="00510C04">
        <w:tc>
          <w:tcPr>
            <w:tcW w:w="1351"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sz w:val="20"/>
                <w:szCs w:val="20"/>
              </w:rPr>
            </w:pPr>
          </w:p>
        </w:tc>
        <w:tc>
          <w:tcPr>
            <w:tcW w:w="1216" w:type="pct"/>
            <w:gridSpan w:val="2"/>
            <w:tcBorders>
              <w:top w:val="single" w:sz="12" w:space="0" w:color="auto"/>
              <w:left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2012/13</w:t>
            </w:r>
          </w:p>
        </w:tc>
        <w:tc>
          <w:tcPr>
            <w:tcW w:w="1216"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2013/14</w:t>
            </w:r>
          </w:p>
        </w:tc>
        <w:tc>
          <w:tcPr>
            <w:tcW w:w="1216"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2014/15</w:t>
            </w:r>
          </w:p>
        </w:tc>
      </w:tr>
      <w:tr w:rsidR="005A63D9" w:rsidRPr="00E27ED8" w:rsidTr="00510C04">
        <w:tc>
          <w:tcPr>
            <w:tcW w:w="1351"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sz w:val="18"/>
                <w:szCs w:val="18"/>
              </w:rPr>
            </w:pPr>
          </w:p>
        </w:tc>
        <w:tc>
          <w:tcPr>
            <w:tcW w:w="608" w:type="pct"/>
            <w:tcBorders>
              <w:left w:val="single" w:sz="12" w:space="0" w:color="auto"/>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08"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08"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08"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08"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08"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r>
      <w:tr w:rsidR="005A63D9" w:rsidRPr="00E27ED8" w:rsidTr="00510C04">
        <w:tc>
          <w:tcPr>
            <w:tcW w:w="1351" w:type="pct"/>
            <w:tcBorders>
              <w:top w:val="double" w:sz="4"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DEFRA</w:t>
            </w:r>
          </w:p>
        </w:tc>
        <w:tc>
          <w:tcPr>
            <w:tcW w:w="608" w:type="pct"/>
            <w:tcBorders>
              <w:top w:val="double" w:sz="4" w:space="0" w:color="auto"/>
              <w:left w:val="single" w:sz="12" w:space="0" w:color="auto"/>
            </w:tcBorders>
          </w:tcPr>
          <w:p w:rsidR="005A63D9" w:rsidRPr="00E27ED8" w:rsidRDefault="005A63D9" w:rsidP="00221B9C">
            <w:pPr>
              <w:spacing w:after="144"/>
              <w:jc w:val="center"/>
              <w:rPr>
                <w:sz w:val="18"/>
                <w:szCs w:val="18"/>
              </w:rPr>
            </w:pPr>
            <w:r w:rsidRPr="00E27ED8">
              <w:rPr>
                <w:sz w:val="18"/>
                <w:szCs w:val="18"/>
              </w:rPr>
              <w:t>36,205</w:t>
            </w:r>
          </w:p>
        </w:tc>
        <w:tc>
          <w:tcPr>
            <w:tcW w:w="608"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69,4</w:t>
            </w:r>
          </w:p>
        </w:tc>
        <w:tc>
          <w:tcPr>
            <w:tcW w:w="608"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34,878</w:t>
            </w:r>
          </w:p>
        </w:tc>
        <w:tc>
          <w:tcPr>
            <w:tcW w:w="608"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66,1</w:t>
            </w:r>
          </w:p>
        </w:tc>
        <w:tc>
          <w:tcPr>
            <w:tcW w:w="608"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30,231</w:t>
            </w:r>
          </w:p>
        </w:tc>
        <w:tc>
          <w:tcPr>
            <w:tcW w:w="608"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59,9</w:t>
            </w:r>
          </w:p>
        </w:tc>
      </w:tr>
      <w:tr w:rsidR="005A63D9" w:rsidRPr="00E27ED8" w:rsidTr="00510C04">
        <w:tc>
          <w:tcPr>
            <w:tcW w:w="1351"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Veřejný sektor</w:t>
            </w:r>
          </w:p>
        </w:tc>
        <w:tc>
          <w:tcPr>
            <w:tcW w:w="608"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7,503</w:t>
            </w:r>
          </w:p>
        </w:tc>
        <w:tc>
          <w:tcPr>
            <w:tcW w:w="608" w:type="pct"/>
          </w:tcPr>
          <w:p w:rsidR="005A63D9" w:rsidRPr="00E27ED8" w:rsidRDefault="005A63D9" w:rsidP="00221B9C">
            <w:pPr>
              <w:spacing w:after="144"/>
              <w:jc w:val="center"/>
              <w:rPr>
                <w:sz w:val="18"/>
                <w:szCs w:val="18"/>
              </w:rPr>
            </w:pPr>
            <w:r w:rsidRPr="00E27ED8">
              <w:rPr>
                <w:sz w:val="18"/>
                <w:szCs w:val="18"/>
              </w:rPr>
              <w:t>14,4</w:t>
            </w:r>
          </w:p>
        </w:tc>
        <w:tc>
          <w:tcPr>
            <w:tcW w:w="608" w:type="pct"/>
          </w:tcPr>
          <w:p w:rsidR="005A63D9" w:rsidRPr="00E27ED8" w:rsidRDefault="005A63D9" w:rsidP="00221B9C">
            <w:pPr>
              <w:spacing w:after="144"/>
              <w:jc w:val="center"/>
              <w:rPr>
                <w:sz w:val="18"/>
                <w:szCs w:val="18"/>
              </w:rPr>
            </w:pPr>
            <w:r w:rsidRPr="00E27ED8">
              <w:rPr>
                <w:sz w:val="18"/>
                <w:szCs w:val="18"/>
              </w:rPr>
              <w:t>9,520</w:t>
            </w:r>
          </w:p>
        </w:tc>
        <w:tc>
          <w:tcPr>
            <w:tcW w:w="608" w:type="pct"/>
          </w:tcPr>
          <w:p w:rsidR="005A63D9" w:rsidRPr="00E27ED8" w:rsidRDefault="005A63D9" w:rsidP="00221B9C">
            <w:pPr>
              <w:spacing w:after="144"/>
              <w:jc w:val="center"/>
              <w:rPr>
                <w:sz w:val="18"/>
                <w:szCs w:val="18"/>
              </w:rPr>
            </w:pPr>
            <w:r w:rsidRPr="00E27ED8">
              <w:rPr>
                <w:sz w:val="18"/>
                <w:szCs w:val="18"/>
              </w:rPr>
              <w:t>18,1</w:t>
            </w:r>
          </w:p>
        </w:tc>
        <w:tc>
          <w:tcPr>
            <w:tcW w:w="608" w:type="pct"/>
          </w:tcPr>
          <w:p w:rsidR="005A63D9" w:rsidRPr="00E27ED8" w:rsidRDefault="005A63D9" w:rsidP="00221B9C">
            <w:pPr>
              <w:spacing w:after="144"/>
              <w:jc w:val="center"/>
              <w:rPr>
                <w:sz w:val="18"/>
                <w:szCs w:val="18"/>
              </w:rPr>
            </w:pPr>
            <w:r w:rsidRPr="00E27ED8">
              <w:rPr>
                <w:sz w:val="18"/>
                <w:szCs w:val="18"/>
              </w:rPr>
              <w:t>9,207</w:t>
            </w:r>
          </w:p>
        </w:tc>
        <w:tc>
          <w:tcPr>
            <w:tcW w:w="608" w:type="pct"/>
          </w:tcPr>
          <w:p w:rsidR="005A63D9" w:rsidRPr="00E27ED8" w:rsidRDefault="005A63D9" w:rsidP="00221B9C">
            <w:pPr>
              <w:spacing w:after="144"/>
              <w:jc w:val="center"/>
              <w:rPr>
                <w:sz w:val="18"/>
                <w:szCs w:val="18"/>
              </w:rPr>
            </w:pPr>
            <w:r w:rsidRPr="00E27ED8">
              <w:rPr>
                <w:sz w:val="18"/>
                <w:szCs w:val="18"/>
              </w:rPr>
              <w:t>18,3</w:t>
            </w:r>
          </w:p>
        </w:tc>
      </w:tr>
      <w:tr w:rsidR="005A63D9" w:rsidRPr="00E27ED8" w:rsidTr="00510C04">
        <w:tc>
          <w:tcPr>
            <w:tcW w:w="1351"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Evropská komise</w:t>
            </w:r>
          </w:p>
        </w:tc>
        <w:tc>
          <w:tcPr>
            <w:tcW w:w="608"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2,598</w:t>
            </w:r>
          </w:p>
        </w:tc>
        <w:tc>
          <w:tcPr>
            <w:tcW w:w="608" w:type="pct"/>
          </w:tcPr>
          <w:p w:rsidR="005A63D9" w:rsidRPr="00E27ED8" w:rsidRDefault="005A63D9" w:rsidP="00221B9C">
            <w:pPr>
              <w:spacing w:after="144"/>
              <w:jc w:val="center"/>
              <w:rPr>
                <w:sz w:val="18"/>
                <w:szCs w:val="18"/>
              </w:rPr>
            </w:pPr>
            <w:r w:rsidRPr="00E27ED8">
              <w:rPr>
                <w:sz w:val="18"/>
                <w:szCs w:val="18"/>
              </w:rPr>
              <w:t>5,0</w:t>
            </w:r>
          </w:p>
        </w:tc>
        <w:tc>
          <w:tcPr>
            <w:tcW w:w="608" w:type="pct"/>
          </w:tcPr>
          <w:p w:rsidR="005A63D9" w:rsidRPr="00E27ED8" w:rsidRDefault="005A63D9" w:rsidP="00221B9C">
            <w:pPr>
              <w:spacing w:after="144"/>
              <w:jc w:val="center"/>
              <w:rPr>
                <w:sz w:val="18"/>
                <w:szCs w:val="18"/>
              </w:rPr>
            </w:pPr>
            <w:r w:rsidRPr="00E27ED8">
              <w:rPr>
                <w:sz w:val="18"/>
                <w:szCs w:val="18"/>
              </w:rPr>
              <w:t>3,123</w:t>
            </w:r>
          </w:p>
        </w:tc>
        <w:tc>
          <w:tcPr>
            <w:tcW w:w="608" w:type="pct"/>
          </w:tcPr>
          <w:p w:rsidR="005A63D9" w:rsidRPr="00E27ED8" w:rsidRDefault="005A63D9" w:rsidP="00221B9C">
            <w:pPr>
              <w:spacing w:after="144"/>
              <w:jc w:val="center"/>
              <w:rPr>
                <w:sz w:val="18"/>
                <w:szCs w:val="18"/>
              </w:rPr>
            </w:pPr>
            <w:r w:rsidRPr="00E27ED8">
              <w:rPr>
                <w:sz w:val="18"/>
                <w:szCs w:val="18"/>
              </w:rPr>
              <w:t>5,9</w:t>
            </w:r>
          </w:p>
        </w:tc>
        <w:tc>
          <w:tcPr>
            <w:tcW w:w="608" w:type="pct"/>
          </w:tcPr>
          <w:p w:rsidR="005A63D9" w:rsidRPr="00E27ED8" w:rsidRDefault="005A63D9" w:rsidP="00221B9C">
            <w:pPr>
              <w:spacing w:after="144"/>
              <w:jc w:val="center"/>
              <w:rPr>
                <w:sz w:val="18"/>
                <w:szCs w:val="18"/>
              </w:rPr>
            </w:pPr>
            <w:r w:rsidRPr="00E27ED8">
              <w:rPr>
                <w:sz w:val="18"/>
                <w:szCs w:val="18"/>
              </w:rPr>
              <w:t>2,579</w:t>
            </w:r>
          </w:p>
        </w:tc>
        <w:tc>
          <w:tcPr>
            <w:tcW w:w="608" w:type="pct"/>
          </w:tcPr>
          <w:p w:rsidR="005A63D9" w:rsidRPr="00E27ED8" w:rsidRDefault="005A63D9" w:rsidP="00221B9C">
            <w:pPr>
              <w:spacing w:after="144"/>
              <w:jc w:val="center"/>
              <w:rPr>
                <w:sz w:val="18"/>
                <w:szCs w:val="18"/>
              </w:rPr>
            </w:pPr>
            <w:r w:rsidRPr="00E27ED8">
              <w:rPr>
                <w:sz w:val="18"/>
                <w:szCs w:val="18"/>
              </w:rPr>
              <w:t>5,1</w:t>
            </w:r>
          </w:p>
        </w:tc>
      </w:tr>
      <w:tr w:rsidR="005A63D9" w:rsidRPr="00E27ED8" w:rsidTr="00510C04">
        <w:tc>
          <w:tcPr>
            <w:tcW w:w="1351"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Soukromý sektor (průmysl)</w:t>
            </w:r>
          </w:p>
        </w:tc>
        <w:tc>
          <w:tcPr>
            <w:tcW w:w="608"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5,838</w:t>
            </w:r>
          </w:p>
        </w:tc>
        <w:tc>
          <w:tcPr>
            <w:tcW w:w="608" w:type="pct"/>
          </w:tcPr>
          <w:p w:rsidR="005A63D9" w:rsidRPr="00E27ED8" w:rsidRDefault="005A63D9" w:rsidP="00221B9C">
            <w:pPr>
              <w:spacing w:after="144"/>
              <w:jc w:val="center"/>
              <w:rPr>
                <w:sz w:val="18"/>
                <w:szCs w:val="18"/>
              </w:rPr>
            </w:pPr>
            <w:r w:rsidRPr="00E27ED8">
              <w:rPr>
                <w:sz w:val="18"/>
                <w:szCs w:val="18"/>
              </w:rPr>
              <w:t>11,2</w:t>
            </w:r>
          </w:p>
        </w:tc>
        <w:tc>
          <w:tcPr>
            <w:tcW w:w="608" w:type="pct"/>
          </w:tcPr>
          <w:p w:rsidR="005A63D9" w:rsidRPr="00E27ED8" w:rsidRDefault="005A63D9" w:rsidP="00221B9C">
            <w:pPr>
              <w:spacing w:after="144"/>
              <w:jc w:val="center"/>
              <w:rPr>
                <w:sz w:val="18"/>
                <w:szCs w:val="18"/>
              </w:rPr>
            </w:pPr>
            <w:r w:rsidRPr="00E27ED8">
              <w:rPr>
                <w:sz w:val="18"/>
                <w:szCs w:val="18"/>
              </w:rPr>
              <w:t>5,482</w:t>
            </w:r>
          </w:p>
        </w:tc>
        <w:tc>
          <w:tcPr>
            <w:tcW w:w="608" w:type="pct"/>
          </w:tcPr>
          <w:p w:rsidR="005A63D9" w:rsidRPr="00E27ED8" w:rsidRDefault="005A63D9" w:rsidP="00221B9C">
            <w:pPr>
              <w:spacing w:after="144"/>
              <w:jc w:val="center"/>
              <w:rPr>
                <w:sz w:val="18"/>
                <w:szCs w:val="18"/>
              </w:rPr>
            </w:pPr>
            <w:r w:rsidRPr="00E27ED8">
              <w:rPr>
                <w:sz w:val="18"/>
                <w:szCs w:val="18"/>
              </w:rPr>
              <w:t>10,4</w:t>
            </w:r>
          </w:p>
        </w:tc>
        <w:tc>
          <w:tcPr>
            <w:tcW w:w="608" w:type="pct"/>
          </w:tcPr>
          <w:p w:rsidR="005A63D9" w:rsidRPr="00E27ED8" w:rsidRDefault="005A63D9" w:rsidP="00221B9C">
            <w:pPr>
              <w:spacing w:after="144"/>
              <w:jc w:val="center"/>
              <w:rPr>
                <w:sz w:val="18"/>
                <w:szCs w:val="18"/>
              </w:rPr>
            </w:pPr>
            <w:r w:rsidRPr="00E27ED8">
              <w:rPr>
                <w:sz w:val="18"/>
                <w:szCs w:val="18"/>
              </w:rPr>
              <w:t>8,431</w:t>
            </w:r>
          </w:p>
        </w:tc>
        <w:tc>
          <w:tcPr>
            <w:tcW w:w="608" w:type="pct"/>
          </w:tcPr>
          <w:p w:rsidR="005A63D9" w:rsidRPr="00E27ED8" w:rsidRDefault="005A63D9" w:rsidP="00221B9C">
            <w:pPr>
              <w:spacing w:after="144"/>
              <w:jc w:val="center"/>
              <w:rPr>
                <w:sz w:val="18"/>
                <w:szCs w:val="18"/>
              </w:rPr>
            </w:pPr>
            <w:r w:rsidRPr="00E27ED8">
              <w:rPr>
                <w:sz w:val="18"/>
                <w:szCs w:val="18"/>
              </w:rPr>
              <w:t>16,7</w:t>
            </w:r>
          </w:p>
        </w:tc>
      </w:tr>
      <w:tr w:rsidR="005A63D9" w:rsidRPr="00E27ED8" w:rsidTr="00510C04">
        <w:tc>
          <w:tcPr>
            <w:tcW w:w="1351" w:type="pct"/>
            <w:tcBorders>
              <w:top w:val="single" w:sz="12" w:space="0" w:color="auto"/>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CELKEM</w:t>
            </w:r>
          </w:p>
        </w:tc>
        <w:tc>
          <w:tcPr>
            <w:tcW w:w="608" w:type="pct"/>
            <w:tcBorders>
              <w:top w:val="single" w:sz="12" w:space="0" w:color="auto"/>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52,144</w:t>
            </w:r>
          </w:p>
        </w:tc>
        <w:tc>
          <w:tcPr>
            <w:tcW w:w="608"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08"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52,733</w:t>
            </w:r>
          </w:p>
        </w:tc>
        <w:tc>
          <w:tcPr>
            <w:tcW w:w="608"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08"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50,448</w:t>
            </w:r>
          </w:p>
        </w:tc>
        <w:tc>
          <w:tcPr>
            <w:tcW w:w="608"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r>
    </w:tbl>
    <w:p w:rsidR="005A63D9" w:rsidRPr="004F26F1" w:rsidRDefault="005A63D9" w:rsidP="000B30A8">
      <w:pPr>
        <w:pStyle w:val="ZDROJovan"/>
        <w:spacing w:after="144" w:line="288" w:lineRule="auto"/>
        <w:jc w:val="both"/>
      </w:pPr>
      <w:r w:rsidRPr="000B30A8">
        <w:t>Zdroj: 2012/13 a 2013/14, CEFAS Annual Report and Accounts 2013/14; 2014/15</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Podíl státních (veřejných zdrojů) na celkových příjmech CE</w:t>
      </w:r>
      <w:r>
        <w:rPr>
          <w:color w:val="000000"/>
          <w:shd w:val="clear" w:color="auto" w:fill="FFFFFF"/>
          <w:lang w:eastAsia="cs-CZ"/>
        </w:rPr>
        <w:t>FA</w:t>
      </w:r>
      <w:r w:rsidRPr="00B36335">
        <w:rPr>
          <w:color w:val="000000"/>
          <w:shd w:val="clear" w:color="auto" w:fill="FFFFFF"/>
          <w:lang w:eastAsia="cs-CZ"/>
        </w:rPr>
        <w:t>S je vysoký. Maximální podíl byl ve finančním roce 2007–2008 (87%). Nejnižší podíl byl ve finančním roce 2011 -2012 (73 %). V posledních třech finančních rocích činil podíl st</w:t>
      </w:r>
      <w:r>
        <w:rPr>
          <w:color w:val="000000"/>
          <w:shd w:val="clear" w:color="auto" w:fill="FFFFFF"/>
          <w:lang w:eastAsia="cs-CZ"/>
        </w:rPr>
        <w:t>átních (veřejných) zdrojů (83,8 </w:t>
      </w:r>
      <w:r w:rsidRPr="00B36335">
        <w:rPr>
          <w:color w:val="000000"/>
          <w:shd w:val="clear" w:color="auto" w:fill="FFFFFF"/>
          <w:lang w:eastAsia="cs-CZ"/>
        </w:rPr>
        <w:t>%; 84,2 %; 78,2 %). Podíl státní (veřejných) zdrojů je vyšší než u agentury FERA.</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 xml:space="preserve">Stejně jako všechny výkonné ministerské agentury </w:t>
      </w:r>
      <w:r>
        <w:rPr>
          <w:color w:val="000000"/>
          <w:shd w:val="clear" w:color="auto" w:fill="FFFFFF"/>
          <w:lang w:eastAsia="cs-CZ"/>
        </w:rPr>
        <w:t>i CEFAS ve výročních zprávách a </w:t>
      </w:r>
      <w:r w:rsidRPr="00B36335">
        <w:rPr>
          <w:color w:val="000000"/>
          <w:shd w:val="clear" w:color="auto" w:fill="FFFFFF"/>
          <w:lang w:eastAsia="cs-CZ"/>
        </w:rPr>
        <w:t xml:space="preserve">účetních uzávěrkách uvádí tabulku „Hodnocení výsledků“ se čtyřmi sloupci: Indikátor (metrika); Trend; Způsob hodnocení; Výsledky ve třech posledních finančních rocích. </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CEFAS ve zprávě za finanční rok 2014–2015 uvádí čtyři indikátory a jejich trendy:</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Finance (potřeba zlepšit);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Spokojenost zákazníků (setrvalý stav);</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Vědecká excelence (zlepšení – růst);</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Angažovanost zaměstnanců (setrvalý stav);</w:t>
      </w:r>
    </w:p>
    <w:p w:rsidR="005A63D9" w:rsidRPr="00B36335" w:rsidRDefault="005A63D9" w:rsidP="00B36335">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B36335">
        <w:rPr>
          <w:color w:val="000000"/>
          <w:shd w:val="clear" w:color="auto" w:fill="FFFFFF"/>
          <w:lang w:eastAsia="cs-CZ"/>
        </w:rPr>
        <w:t>Společenská odpovědnost centra (potřeba zlepšit).</w:t>
      </w:r>
    </w:p>
    <w:p w:rsidR="005A63D9" w:rsidRPr="00B934B2" w:rsidRDefault="005A63D9" w:rsidP="00B934B2">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56" w:name="_Toc440897439"/>
      <w:bookmarkStart w:id="157" w:name="_Toc441760841"/>
      <w:bookmarkStart w:id="158" w:name="_Toc441849504"/>
      <w:r>
        <w:rPr>
          <w:rFonts w:cs="Arial"/>
          <w:bCs/>
          <w:iCs/>
          <w:color w:val="000000"/>
          <w:shd w:val="clear" w:color="auto" w:fill="FFFFFF"/>
          <w:lang/>
        </w:rPr>
        <w:t xml:space="preserve">5.2. </w:t>
      </w:r>
      <w:r w:rsidRPr="00B934B2">
        <w:rPr>
          <w:rFonts w:cs="Arial"/>
          <w:bCs/>
          <w:iCs/>
          <w:color w:val="000000"/>
          <w:shd w:val="clear" w:color="auto" w:fill="FFFFFF"/>
          <w:lang/>
        </w:rPr>
        <w:t>Výzkumné rady</w:t>
      </w:r>
      <w:bookmarkEnd w:id="156"/>
      <w:bookmarkEnd w:id="157"/>
      <w:bookmarkEnd w:id="158"/>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(Research Councils UK – RC UK)</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 xml:space="preserve">Výzkumné rady UK jsou největším poskytovatelem státních (veřejných) prostředků v UK. Rozdělují cca třetinu celkových státních prostředků na VaV, což je v současné době více než 3 mld. £. Prostředky pro Rady jsou sice zákonem vázány v rozpočtové kapitole Ministerstva pro podnikání, inovace a znalost (BIS), ale </w:t>
      </w:r>
      <w:r>
        <w:rPr>
          <w:color w:val="000000"/>
          <w:shd w:val="clear" w:color="auto" w:fill="FFFFFF"/>
          <w:lang w:eastAsia="cs-CZ"/>
        </w:rPr>
        <w:t xml:space="preserve">o </w:t>
      </w:r>
      <w:r w:rsidRPr="00B36335">
        <w:rPr>
          <w:color w:val="000000"/>
          <w:shd w:val="clear" w:color="auto" w:fill="FFFFFF"/>
          <w:lang w:eastAsia="cs-CZ"/>
        </w:rPr>
        <w:t>jejich rozdělování rozhodují nezávisle na vládě. Jde o uplatňování staršího, mnohokrát zpochybňovaného Haldanova</w:t>
      </w:r>
      <w:r w:rsidRPr="00B36335">
        <w:rPr>
          <w:color w:val="000000"/>
          <w:shd w:val="clear" w:color="auto" w:fill="FFFFFF"/>
          <w:vertAlign w:val="superscript"/>
          <w:lang w:eastAsia="cs-CZ"/>
        </w:rPr>
        <w:footnoteReference w:id="30"/>
      </w:r>
      <w:r w:rsidRPr="00B36335">
        <w:rPr>
          <w:color w:val="000000"/>
          <w:shd w:val="clear" w:color="auto" w:fill="FFFFFF"/>
          <w:vertAlign w:val="superscript"/>
          <w:lang w:eastAsia="cs-CZ"/>
        </w:rPr>
        <w:t xml:space="preserve"> </w:t>
      </w:r>
      <w:r w:rsidRPr="00B36335">
        <w:rPr>
          <w:color w:val="000000"/>
          <w:shd w:val="clear" w:color="auto" w:fill="FFFFFF"/>
          <w:lang w:eastAsia="cs-CZ"/>
        </w:rPr>
        <w:t>principu, který již v roce 1904 tvrdil, že o prostředcích na výzkum mají rozhodovat sami výzkumní pracovníci.</w:t>
      </w:r>
    </w:p>
    <w:p w:rsidR="005A63D9" w:rsidRPr="00B36335" w:rsidRDefault="005A63D9" w:rsidP="00B36335">
      <w:pPr>
        <w:widowControl w:val="0"/>
        <w:adjustRightInd w:val="0"/>
        <w:spacing w:afterLines="0"/>
        <w:ind w:firstLine="539"/>
        <w:contextualSpacing w:val="0"/>
        <w:jc w:val="both"/>
        <w:textAlignment w:val="baseline"/>
        <w:rPr>
          <w:color w:val="000000"/>
          <w:shd w:val="clear" w:color="auto" w:fill="FFFFFF"/>
          <w:lang w:eastAsia="cs-CZ"/>
        </w:rPr>
      </w:pPr>
      <w:r w:rsidRPr="00B36335">
        <w:rPr>
          <w:color w:val="000000"/>
          <w:shd w:val="clear" w:color="auto" w:fill="FFFFFF"/>
          <w:lang w:eastAsia="cs-CZ"/>
        </w:rPr>
        <w:t>V současné době po řadě změn existuje sedm rad pro výzkum (viz úvod této kapitoly). Z hlediska výše rozdělovaných prostředků je „největší“ Radou Rada pro výzkum v technických a fyzikálních vědách (Engineering and Physical Sciences Research Council – EPSRC</w:t>
      </w:r>
      <w:r w:rsidRPr="00B36335">
        <w:rPr>
          <w:color w:val="000000"/>
          <w:shd w:val="clear" w:color="auto" w:fill="FFFFFF"/>
          <w:vertAlign w:val="superscript"/>
          <w:lang w:eastAsia="cs-CZ"/>
        </w:rPr>
        <w:footnoteReference w:id="31"/>
      </w:r>
      <w:r w:rsidRPr="00B36335">
        <w:rPr>
          <w:color w:val="000000"/>
          <w:shd w:val="clear" w:color="auto" w:fill="FFFFFF"/>
          <w:lang w:eastAsia="cs-CZ"/>
        </w:rPr>
        <w:t>. Tato rada rozděluje cca čtvrtinu disponibilních prostředků Rad pro výzkum. Rada pro výzkum životního prostředí (Natural Environment Research Council – NERC) je hlediska výše prostředků čtvrtou a rozděluje cca 15 % disponibilních prostředků.</w:t>
      </w:r>
    </w:p>
    <w:p w:rsidR="005A63D9" w:rsidRPr="00B36335" w:rsidRDefault="005A63D9" w:rsidP="00B36335">
      <w:pPr>
        <w:widowControl w:val="0"/>
        <w:adjustRightInd w:val="0"/>
        <w:spacing w:afterLines="0"/>
        <w:contextualSpacing w:val="0"/>
        <w:jc w:val="both"/>
        <w:textAlignment w:val="baseline"/>
        <w:rPr>
          <w:color w:val="000000"/>
          <w:shd w:val="clear" w:color="auto" w:fill="FFFFFF"/>
          <w:lang w:eastAsia="cs-CZ"/>
        </w:rPr>
      </w:pPr>
      <w:r w:rsidRPr="00B36335">
        <w:rPr>
          <w:color w:val="000000"/>
          <w:shd w:val="clear" w:color="auto" w:fill="FFFFFF"/>
          <w:lang w:eastAsia="cs-CZ"/>
        </w:rPr>
        <w:t>Rady pro výzkum mají několik společných orgánů:</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Správní rada (RCUK Executive group), která je slož</w:t>
      </w:r>
      <w:r>
        <w:rPr>
          <w:color w:val="000000"/>
          <w:shd w:val="clear" w:color="auto" w:fill="FFFFFF"/>
          <w:lang w:eastAsia="cs-CZ"/>
        </w:rPr>
        <w:t>ena z ředitelů jednotlivých Rad </w:t>
      </w:r>
      <w:r w:rsidRPr="005B6CB9">
        <w:rPr>
          <w:color w:val="000000"/>
          <w:shd w:val="clear" w:color="auto" w:fill="FFFFFF"/>
          <w:lang w:eastAsia="cs-CZ"/>
        </w:rPr>
        <w:t>pro výzkum</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Skupina pro efektivnost a reformu RCUK Efficiency and Reform Group), která je složena z ředitelů jednotlivých rad s působnosti pro finance a operativní činnost)</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Skupina pro efekty dopady výzkumu (RCUK Impact Group), která je složena z ředitelů jednotlivých Rad s působnosti, pro transfer poznatků, dopady výsledků výzkumu a inovace.</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Skupina pro výzkum (RCUK Research Group), která je složena z ředitelů jednotlivých rad z působností pro výzkum.</w:t>
      </w:r>
    </w:p>
    <w:p w:rsidR="005A63D9" w:rsidRPr="005B6CB9" w:rsidRDefault="005A63D9" w:rsidP="005B6CB9">
      <w:pPr>
        <w:widowControl w:val="0"/>
        <w:adjustRightInd w:val="0"/>
        <w:spacing w:afterLines="0"/>
        <w:ind w:firstLine="539"/>
        <w:contextualSpacing w:val="0"/>
        <w:jc w:val="both"/>
        <w:textAlignment w:val="baseline"/>
        <w:rPr>
          <w:color w:val="000000"/>
          <w:shd w:val="clear" w:color="auto" w:fill="FFFFFF"/>
          <w:lang w:eastAsia="cs-CZ"/>
        </w:rPr>
      </w:pPr>
      <w:r w:rsidRPr="005B6CB9">
        <w:rPr>
          <w:color w:val="000000"/>
          <w:shd w:val="clear" w:color="auto" w:fill="FFFFFF"/>
          <w:lang w:eastAsia="cs-CZ"/>
        </w:rPr>
        <w:t xml:space="preserve">Rady pro výzkum každoročně vydávají zprávu o efektech (dopadech) výsledků svého výzkumu </w:t>
      </w:r>
      <w:r>
        <w:rPr>
          <w:color w:val="000000"/>
          <w:shd w:val="clear" w:color="auto" w:fill="FFFFFF"/>
          <w:lang w:eastAsia="cs-CZ"/>
        </w:rPr>
        <w:t xml:space="preserve">- </w:t>
      </w:r>
      <w:r w:rsidRPr="005B6CB9">
        <w:rPr>
          <w:color w:val="000000"/>
          <w:shd w:val="clear" w:color="auto" w:fill="FFFFFF"/>
          <w:lang w:eastAsia="cs-CZ"/>
        </w:rPr>
        <w:t>RCUK Impact Report. Zprávy jsou dispozici na adrese www.rcuk.ac.uk.</w:t>
      </w:r>
    </w:p>
    <w:p w:rsidR="005A63D9" w:rsidRDefault="005A63D9" w:rsidP="005B6CB9">
      <w:pPr>
        <w:widowControl w:val="0"/>
        <w:adjustRightInd w:val="0"/>
        <w:spacing w:afterLines="0"/>
        <w:ind w:firstLine="539"/>
        <w:contextualSpacing w:val="0"/>
        <w:jc w:val="both"/>
        <w:textAlignment w:val="baseline"/>
        <w:rPr>
          <w:color w:val="000000"/>
          <w:shd w:val="clear" w:color="auto" w:fill="FFFFFF"/>
          <w:lang w:eastAsia="cs-CZ"/>
        </w:rPr>
      </w:pPr>
      <w:r w:rsidRPr="005B6CB9">
        <w:rPr>
          <w:color w:val="000000"/>
          <w:shd w:val="clear" w:color="auto" w:fill="FFFFFF"/>
          <w:lang w:eastAsia="cs-CZ"/>
        </w:rPr>
        <w:t>Problematikou životního prostředí se zabývá především Rada pro výzkum životního prostředí (a částečně i Rada pro výzkum biotechnologií a v biologi</w:t>
      </w:r>
      <w:r>
        <w:rPr>
          <w:color w:val="000000"/>
          <w:shd w:val="clear" w:color="auto" w:fill="FFFFFF"/>
          <w:lang w:eastAsia="cs-CZ"/>
        </w:rPr>
        <w:t xml:space="preserve">ckých vědách - </w:t>
      </w:r>
      <w:r w:rsidRPr="005B6CB9">
        <w:rPr>
          <w:color w:val="000000"/>
          <w:shd w:val="clear" w:color="auto" w:fill="FFFFFF"/>
          <w:lang w:eastAsia="cs-CZ"/>
        </w:rPr>
        <w:t xml:space="preserve">Biotechnology and Biological Sciences Research Council). </w:t>
      </w:r>
    </w:p>
    <w:p w:rsidR="005A63D9" w:rsidRPr="005B6CB9" w:rsidRDefault="005A63D9" w:rsidP="005B6CB9">
      <w:pPr>
        <w:widowControl w:val="0"/>
        <w:adjustRightInd w:val="0"/>
        <w:spacing w:afterLines="0"/>
        <w:ind w:firstLine="539"/>
        <w:contextualSpacing w:val="0"/>
        <w:jc w:val="both"/>
        <w:textAlignment w:val="baseline"/>
        <w:rPr>
          <w:color w:val="000000"/>
          <w:shd w:val="clear" w:color="auto" w:fill="FFFFFF"/>
          <w:lang w:eastAsia="cs-CZ"/>
        </w:rPr>
      </w:pPr>
    </w:p>
    <w:p w:rsidR="005A63D9" w:rsidRPr="005B6CB9" w:rsidRDefault="005A63D9" w:rsidP="003940B8">
      <w:pPr>
        <w:pStyle w:val="Heading3"/>
        <w:keepNext/>
        <w:spacing w:before="240" w:afterLines="0" w:line="240" w:lineRule="auto"/>
        <w:contextualSpacing w:val="0"/>
        <w:rPr>
          <w:bCs/>
          <w:shd w:val="clear" w:color="auto" w:fill="FFFFFF"/>
          <w:lang/>
        </w:rPr>
      </w:pPr>
      <w:bookmarkStart w:id="159" w:name="_Toc440897440"/>
      <w:bookmarkStart w:id="160" w:name="_Toc441760842"/>
      <w:bookmarkStart w:id="161" w:name="_Toc441849505"/>
      <w:r w:rsidRPr="005B6CB9">
        <w:rPr>
          <w:bCs/>
          <w:shd w:val="clear" w:color="auto" w:fill="FFFFFF"/>
          <w:lang/>
        </w:rPr>
        <w:t>Rada pro výzkum životního prostředí</w:t>
      </w:r>
      <w:bookmarkEnd w:id="159"/>
      <w:bookmarkEnd w:id="160"/>
      <w:bookmarkEnd w:id="161"/>
    </w:p>
    <w:p w:rsidR="005A63D9" w:rsidRPr="005B6CB9" w:rsidRDefault="005A63D9" w:rsidP="003940B8">
      <w:pPr>
        <w:keepNext/>
        <w:widowControl w:val="0"/>
        <w:adjustRightInd w:val="0"/>
        <w:spacing w:afterLines="0"/>
        <w:contextualSpacing w:val="0"/>
        <w:jc w:val="both"/>
        <w:textAlignment w:val="baseline"/>
        <w:rPr>
          <w:color w:val="000000"/>
          <w:shd w:val="clear" w:color="auto" w:fill="FFFFFF"/>
          <w:lang w:eastAsia="cs-CZ"/>
        </w:rPr>
      </w:pPr>
      <w:r w:rsidRPr="005B6CB9">
        <w:rPr>
          <w:color w:val="000000"/>
          <w:shd w:val="clear" w:color="auto" w:fill="FFFFFF"/>
          <w:lang w:eastAsia="cs-CZ"/>
        </w:rPr>
        <w:t>(Natural Environment Research Council, NERC – www.nerc.ac.uk)</w:t>
      </w:r>
    </w:p>
    <w:p w:rsidR="005A63D9" w:rsidRPr="005B6CB9" w:rsidRDefault="005A63D9" w:rsidP="005B6CB9">
      <w:pPr>
        <w:widowControl w:val="0"/>
        <w:adjustRightInd w:val="0"/>
        <w:spacing w:afterLines="0"/>
        <w:ind w:firstLine="539"/>
        <w:contextualSpacing w:val="0"/>
        <w:jc w:val="both"/>
        <w:textAlignment w:val="baseline"/>
        <w:rPr>
          <w:color w:val="000000"/>
          <w:shd w:val="clear" w:color="auto" w:fill="FFFFFF"/>
          <w:lang w:eastAsia="cs-CZ"/>
        </w:rPr>
      </w:pPr>
      <w:r w:rsidRPr="005B6CB9">
        <w:rPr>
          <w:color w:val="000000"/>
          <w:shd w:val="clear" w:color="auto" w:fill="FFFFFF"/>
          <w:lang w:eastAsia="cs-CZ"/>
        </w:rPr>
        <w:t>NERC je nevládní výkonná (exekutiv) organizace zabezpečující výzkum v následujících oblastech:</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geologické a geografické vědy o Zemi, včetně hydrologie, pedologie, atmosférického výzkumu a oceanografie;</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biologický a mikrobiologický výzkumu, zvířecí a rostlinná biod</w:t>
      </w:r>
      <w:r>
        <w:rPr>
          <w:color w:val="000000"/>
          <w:shd w:val="clear" w:color="auto" w:fill="FFFFFF"/>
          <w:lang w:eastAsia="cs-CZ"/>
        </w:rPr>
        <w:t>i</w:t>
      </w:r>
      <w:r w:rsidRPr="005B6CB9">
        <w:rPr>
          <w:color w:val="000000"/>
          <w:shd w:val="clear" w:color="auto" w:fill="FFFFFF"/>
          <w:lang w:eastAsia="cs-CZ"/>
        </w:rPr>
        <w:t>versita, populační dynamika a ekologie;</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klimatické změny;</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chemie a fyzika životního prostředí;</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družicové pozorování Země;</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polární výzkum;</w:t>
      </w:r>
    </w:p>
    <w:p w:rsidR="005A63D9" w:rsidRPr="005B6CB9" w:rsidRDefault="005A63D9" w:rsidP="005B6CB9">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B6CB9">
        <w:rPr>
          <w:color w:val="000000"/>
          <w:shd w:val="clear" w:color="auto" w:fill="FFFFFF"/>
          <w:lang w:eastAsia="cs-CZ"/>
        </w:rPr>
        <w:t>řízení krajiny a přírodních zdrojů.</w:t>
      </w:r>
    </w:p>
    <w:p w:rsidR="005A63D9" w:rsidRPr="00971547"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NERC je financována především z rozpočtové kapitoly BIS. Prostředky Pro NERC jsou v kapitole ministerstva účelově vázány zákonem o rozp</w:t>
      </w:r>
      <w:r>
        <w:rPr>
          <w:color w:val="000000"/>
          <w:shd w:val="clear" w:color="auto" w:fill="FFFFFF"/>
          <w:lang w:eastAsia="cs-CZ"/>
        </w:rPr>
        <w:t>očtu. Tak jako ostatní Rady pro </w:t>
      </w:r>
      <w:r w:rsidRPr="00971547">
        <w:rPr>
          <w:color w:val="000000"/>
          <w:shd w:val="clear" w:color="auto" w:fill="FFFFFF"/>
          <w:lang w:eastAsia="cs-CZ"/>
        </w:rPr>
        <w:t xml:space="preserve">výzkum i NERC institucionálně (částečně) podporuje svých 6 výzkumných center. </w:t>
      </w:r>
    </w:p>
    <w:p w:rsidR="005A63D9" w:rsidRPr="00971547"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Zbytek finančních prostředků rozděluje kompetitivním způsobem dvěma typ</w:t>
      </w:r>
      <w:r>
        <w:rPr>
          <w:color w:val="000000"/>
          <w:shd w:val="clear" w:color="auto" w:fill="FFFFFF"/>
          <w:lang w:eastAsia="cs-CZ"/>
        </w:rPr>
        <w:t>ům</w:t>
      </w:r>
      <w:r w:rsidRPr="00971547">
        <w:rPr>
          <w:color w:val="000000"/>
          <w:shd w:val="clear" w:color="auto" w:fill="FFFFFF"/>
          <w:lang w:eastAsia="cs-CZ"/>
        </w:rPr>
        <w:t xml:space="preserve"> grantů: standardní výzkumné projekty; stážové granty pro mladé výzkumné pracovníky a výzkumné hosty ze zahraničí. NERC zabezpečuje i studium doktorských programů ve vybraných oborech. Do působnosti NERC patří 6 výzkumných center:</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971547">
        <w:rPr>
          <w:bCs/>
          <w:color w:val="000000"/>
          <w:shd w:val="clear" w:color="auto" w:fill="FFFFFF"/>
          <w:lang w:eastAsia="cs-CZ"/>
        </w:rPr>
        <w:t>British Antarctic Survey (</w:t>
      </w:r>
      <w:r w:rsidRPr="00971547">
        <w:rPr>
          <w:color w:val="000000"/>
          <w:shd w:val="clear" w:color="auto" w:fill="FFFFFF"/>
          <w:lang w:eastAsia="cs-CZ"/>
        </w:rPr>
        <w:t>www.bas.ac.uk</w:t>
      </w:r>
      <w:r w:rsidRPr="00971547">
        <w:rPr>
          <w:bCs/>
          <w:color w:val="000000"/>
          <w:shd w:val="clear" w:color="auto" w:fill="FFFFFF"/>
          <w:lang w:eastAsia="cs-CZ"/>
        </w:rPr>
        <w:t>)</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971547">
        <w:rPr>
          <w:bCs/>
          <w:color w:val="000000"/>
          <w:shd w:val="clear" w:color="auto" w:fill="FFFFFF"/>
          <w:lang w:eastAsia="cs-CZ"/>
        </w:rPr>
        <w:t>British Geological Survey (</w:t>
      </w:r>
      <w:r w:rsidRPr="00971547">
        <w:rPr>
          <w:color w:val="000000"/>
          <w:shd w:val="clear" w:color="auto" w:fill="FFFFFF"/>
          <w:lang w:eastAsia="cs-CZ"/>
        </w:rPr>
        <w:t>www.gs.ac.uk</w:t>
      </w:r>
      <w:r w:rsidRPr="00971547">
        <w:rPr>
          <w:bCs/>
          <w:color w:val="000000"/>
          <w:shd w:val="clear" w:color="auto" w:fill="FFFFFF"/>
          <w:lang w:eastAsia="cs-CZ"/>
        </w:rPr>
        <w:t>)</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971547">
        <w:rPr>
          <w:bCs/>
          <w:color w:val="000000"/>
          <w:shd w:val="clear" w:color="auto" w:fill="FFFFFF"/>
          <w:lang w:eastAsia="cs-CZ"/>
        </w:rPr>
        <w:t>Centre for Ecology &amp; Hydrology (</w:t>
      </w:r>
      <w:r w:rsidRPr="00971547">
        <w:rPr>
          <w:color w:val="000000"/>
          <w:shd w:val="clear" w:color="auto" w:fill="FFFFFF"/>
          <w:lang w:eastAsia="cs-CZ"/>
        </w:rPr>
        <w:t>www.ceh.ac.uk</w:t>
      </w:r>
      <w:r w:rsidRPr="00971547">
        <w:rPr>
          <w:bCs/>
          <w:color w:val="000000"/>
          <w:shd w:val="clear" w:color="auto" w:fill="FFFFFF"/>
          <w:lang w:eastAsia="cs-CZ"/>
        </w:rPr>
        <w:t>)</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971547">
        <w:rPr>
          <w:bCs/>
          <w:color w:val="000000"/>
          <w:shd w:val="clear" w:color="auto" w:fill="FFFFFF"/>
          <w:lang w:eastAsia="cs-CZ"/>
        </w:rPr>
        <w:t>National Centre for Atmospheric Science (</w:t>
      </w:r>
      <w:r w:rsidRPr="00971547">
        <w:rPr>
          <w:color w:val="000000"/>
          <w:shd w:val="clear" w:color="auto" w:fill="FFFFFF"/>
          <w:lang w:eastAsia="cs-CZ"/>
        </w:rPr>
        <w:t>www.ncas.ac.uk</w:t>
      </w:r>
      <w:r w:rsidRPr="00971547">
        <w:rPr>
          <w:bCs/>
          <w:color w:val="000000"/>
          <w:shd w:val="clear" w:color="auto" w:fill="FFFFFF"/>
          <w:lang w:eastAsia="cs-CZ"/>
        </w:rPr>
        <w:t>)</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
          <w:color w:val="000000"/>
          <w:shd w:val="clear" w:color="auto" w:fill="FFFFFF"/>
          <w:lang w:eastAsia="cs-CZ"/>
        </w:rPr>
      </w:pPr>
      <w:r w:rsidRPr="00971547">
        <w:rPr>
          <w:bCs/>
          <w:color w:val="000000"/>
          <w:shd w:val="clear" w:color="auto" w:fill="FFFFFF"/>
          <w:lang w:eastAsia="cs-CZ"/>
        </w:rPr>
        <w:t>The National Centre for Earth Observation (</w:t>
      </w:r>
      <w:r w:rsidRPr="00971547">
        <w:rPr>
          <w:color w:val="000000"/>
          <w:shd w:val="clear" w:color="auto" w:fill="FFFFFF"/>
          <w:lang w:eastAsia="cs-CZ"/>
        </w:rPr>
        <w:t>www.nceo.ac.uk</w:t>
      </w:r>
      <w:r w:rsidRPr="00971547">
        <w:rPr>
          <w:bCs/>
          <w:color w:val="000000"/>
          <w:shd w:val="clear" w:color="auto" w:fill="FFFFFF"/>
          <w:lang w:eastAsia="cs-CZ"/>
        </w:rPr>
        <w:t>)</w:t>
      </w:r>
    </w:p>
    <w:p w:rsidR="005A63D9" w:rsidRPr="00971547" w:rsidRDefault="005A63D9" w:rsidP="00971547">
      <w:pPr>
        <w:pStyle w:val="ListParagraph"/>
        <w:widowControl w:val="0"/>
        <w:numPr>
          <w:ilvl w:val="0"/>
          <w:numId w:val="87"/>
        </w:numPr>
        <w:adjustRightInd w:val="0"/>
        <w:spacing w:afterLines="0"/>
        <w:ind w:left="851" w:hanging="284"/>
        <w:contextualSpacing w:val="0"/>
        <w:jc w:val="both"/>
        <w:textAlignment w:val="baseline"/>
        <w:rPr>
          <w:bCs/>
          <w:color w:val="000000"/>
          <w:shd w:val="clear" w:color="auto" w:fill="FFFFFF"/>
          <w:lang w:eastAsia="cs-CZ"/>
        </w:rPr>
      </w:pPr>
      <w:hyperlink r:id="rId9" w:anchor="collapse6" w:history="1">
        <w:r w:rsidRPr="00971547">
          <w:rPr>
            <w:bCs/>
            <w:color w:val="000000"/>
            <w:shd w:val="clear" w:color="auto" w:fill="FFFFFF"/>
            <w:lang w:eastAsia="cs-CZ"/>
          </w:rPr>
          <w:t xml:space="preserve">National Oceanography Centre </w:t>
        </w:r>
      </w:hyperlink>
      <w:r w:rsidRPr="00971547">
        <w:rPr>
          <w:bCs/>
          <w:color w:val="000000"/>
          <w:shd w:val="clear" w:color="auto" w:fill="FFFFFF"/>
          <w:lang w:eastAsia="cs-CZ"/>
        </w:rPr>
        <w:t>(</w:t>
      </w:r>
      <w:hyperlink r:id="rId10" w:history="1">
        <w:r w:rsidRPr="00971547">
          <w:rPr>
            <w:bCs/>
            <w:color w:val="000000"/>
            <w:shd w:val="clear" w:color="auto" w:fill="FFFFFF"/>
            <w:lang w:eastAsia="cs-CZ"/>
          </w:rPr>
          <w:t>www.noc.ac.uk</w:t>
        </w:r>
      </w:hyperlink>
      <w:r w:rsidRPr="00971547">
        <w:rPr>
          <w:bCs/>
          <w:color w:val="000000"/>
          <w:shd w:val="clear" w:color="auto" w:fill="FFFFFF"/>
          <w:lang w:eastAsia="cs-CZ"/>
        </w:rPr>
        <w:t>)</w:t>
      </w:r>
    </w:p>
    <w:p w:rsidR="005A63D9" w:rsidRPr="00971547"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NERC byla založena v roce 1965. Řídí ji Správní rada (Executive Board NERC) složená z hlavních ředitelů 6 výzkumných center, hlavního ředitele NERC, čtyř dalších vedoucích pracovníků NERC a jednoho zástupce delegovaného ministerstvem DBIUS.</w:t>
      </w:r>
    </w:p>
    <w:p w:rsidR="005A63D9" w:rsidRPr="00971547"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NERC má i svoji Vědeckou radu, složenou z 10 externích špičkových vědeckých pracovníků, vesměs univerzitních profesorů. Při NERC e</w:t>
      </w:r>
      <w:r>
        <w:rPr>
          <w:color w:val="000000"/>
          <w:shd w:val="clear" w:color="auto" w:fill="FFFFFF"/>
          <w:lang w:eastAsia="cs-CZ"/>
        </w:rPr>
        <w:t>xistuje i Výbor pro audity a </w:t>
      </w:r>
      <w:r w:rsidRPr="00971547">
        <w:rPr>
          <w:color w:val="000000"/>
          <w:shd w:val="clear" w:color="auto" w:fill="FFFFFF"/>
          <w:lang w:eastAsia="cs-CZ"/>
        </w:rPr>
        <w:t>hodnocení rizik (Audit and Risk Assurance). Výbor je složen z 6 zástupců výzkumných center NERC a 3 zástupců vedení NERC. Při NERC dále existuje Výbor pro odměňování (Renumeration Committee).</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971547" w:rsidRDefault="005A63D9" w:rsidP="00971547">
      <w:pPr>
        <w:widowControl w:val="0"/>
        <w:adjustRightInd w:val="0"/>
        <w:spacing w:afterLines="0"/>
        <w:contextualSpacing w:val="0"/>
        <w:jc w:val="both"/>
        <w:textAlignment w:val="baseline"/>
        <w:rPr>
          <w:b/>
          <w:color w:val="000000"/>
          <w:shd w:val="clear" w:color="auto" w:fill="FFFFFF"/>
          <w:lang w:eastAsia="cs-CZ"/>
        </w:rPr>
      </w:pPr>
      <w:r w:rsidRPr="00971547">
        <w:rPr>
          <w:b/>
          <w:color w:val="000000"/>
          <w:shd w:val="clear" w:color="auto" w:fill="FFFFFF"/>
          <w:lang w:eastAsia="cs-CZ"/>
        </w:rPr>
        <w:t xml:space="preserve">Tab. č. 33 </w:t>
      </w:r>
      <w:r w:rsidRPr="00971547">
        <w:rPr>
          <w:color w:val="000000"/>
          <w:shd w:val="clear" w:color="auto" w:fill="FFFFFF"/>
          <w:lang w:eastAsia="cs-CZ"/>
        </w:rPr>
        <w:t>Příjmy NERC (mil.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274"/>
        <w:gridCol w:w="1169"/>
        <w:gridCol w:w="1170"/>
        <w:gridCol w:w="1168"/>
        <w:gridCol w:w="1170"/>
        <w:gridCol w:w="1168"/>
        <w:gridCol w:w="1168"/>
      </w:tblGrid>
      <w:tr w:rsidR="005A63D9" w:rsidRPr="00E27ED8" w:rsidTr="00510C04">
        <w:tc>
          <w:tcPr>
            <w:tcW w:w="1224" w:type="pct"/>
            <w:vMerge w:val="restart"/>
            <w:tcBorders>
              <w:top w:val="single" w:sz="12" w:space="0" w:color="auto"/>
              <w:right w:val="single" w:sz="12" w:space="0" w:color="auto"/>
            </w:tcBorders>
            <w:shd w:val="clear" w:color="auto" w:fill="BFBFBF"/>
          </w:tcPr>
          <w:p w:rsidR="005A63D9" w:rsidRPr="00E27ED8" w:rsidRDefault="005A63D9" w:rsidP="0008405A">
            <w:pPr>
              <w:spacing w:after="144"/>
              <w:jc w:val="both"/>
              <w:rPr>
                <w:b/>
                <w:sz w:val="20"/>
                <w:szCs w:val="20"/>
              </w:rPr>
            </w:pPr>
          </w:p>
        </w:tc>
        <w:tc>
          <w:tcPr>
            <w:tcW w:w="1259" w:type="pct"/>
            <w:gridSpan w:val="2"/>
            <w:tcBorders>
              <w:top w:val="single" w:sz="12" w:space="0" w:color="auto"/>
              <w:left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2012/13</w:t>
            </w:r>
          </w:p>
        </w:tc>
        <w:tc>
          <w:tcPr>
            <w:tcW w:w="1259"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2013/14</w:t>
            </w:r>
          </w:p>
        </w:tc>
        <w:tc>
          <w:tcPr>
            <w:tcW w:w="1258" w:type="pct"/>
            <w:gridSpan w:val="2"/>
            <w:tcBorders>
              <w:top w:val="single" w:sz="12" w:space="0" w:color="auto"/>
            </w:tcBorders>
            <w:shd w:val="clear" w:color="auto" w:fill="BFBFBF"/>
          </w:tcPr>
          <w:p w:rsidR="005A63D9" w:rsidRPr="00E27ED8" w:rsidRDefault="005A63D9" w:rsidP="00221B9C">
            <w:pPr>
              <w:spacing w:after="144"/>
              <w:jc w:val="center"/>
              <w:rPr>
                <w:b/>
                <w:sz w:val="20"/>
                <w:szCs w:val="20"/>
              </w:rPr>
            </w:pPr>
            <w:r w:rsidRPr="00E27ED8">
              <w:rPr>
                <w:b/>
                <w:sz w:val="20"/>
                <w:szCs w:val="20"/>
              </w:rPr>
              <w:t>2014/15</w:t>
            </w:r>
          </w:p>
        </w:tc>
      </w:tr>
      <w:tr w:rsidR="005A63D9" w:rsidRPr="00E27ED8" w:rsidTr="00510C04">
        <w:tc>
          <w:tcPr>
            <w:tcW w:w="1224" w:type="pct"/>
            <w:vMerge/>
            <w:tcBorders>
              <w:bottom w:val="double" w:sz="4" w:space="0" w:color="auto"/>
              <w:right w:val="single" w:sz="12" w:space="0" w:color="auto"/>
            </w:tcBorders>
            <w:shd w:val="clear" w:color="auto" w:fill="BFBFBF"/>
          </w:tcPr>
          <w:p w:rsidR="005A63D9" w:rsidRPr="00E27ED8" w:rsidRDefault="005A63D9" w:rsidP="0008405A">
            <w:pPr>
              <w:spacing w:after="144"/>
              <w:jc w:val="both"/>
              <w:rPr>
                <w:sz w:val="18"/>
                <w:szCs w:val="18"/>
              </w:rPr>
            </w:pPr>
          </w:p>
        </w:tc>
        <w:tc>
          <w:tcPr>
            <w:tcW w:w="629" w:type="pct"/>
            <w:tcBorders>
              <w:left w:val="single" w:sz="12" w:space="0" w:color="auto"/>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(mil. £)</w:t>
            </w:r>
          </w:p>
        </w:tc>
        <w:tc>
          <w:tcPr>
            <w:tcW w:w="629" w:type="pct"/>
            <w:tcBorders>
              <w:bottom w:val="double" w:sz="4" w:space="0" w:color="auto"/>
            </w:tcBorders>
            <w:shd w:val="clear" w:color="auto" w:fill="BFBFBF"/>
          </w:tcPr>
          <w:p w:rsidR="005A63D9" w:rsidRPr="00E27ED8" w:rsidRDefault="005A63D9" w:rsidP="00221B9C">
            <w:pPr>
              <w:spacing w:after="144"/>
              <w:jc w:val="center"/>
              <w:rPr>
                <w:sz w:val="18"/>
                <w:szCs w:val="18"/>
              </w:rPr>
            </w:pPr>
            <w:r w:rsidRPr="00E27ED8">
              <w:rPr>
                <w:sz w:val="18"/>
                <w:szCs w:val="18"/>
              </w:rPr>
              <w:t>(%)</w:t>
            </w:r>
          </w:p>
        </w:tc>
      </w:tr>
      <w:tr w:rsidR="005A63D9" w:rsidRPr="00E27ED8" w:rsidTr="00510C04">
        <w:tc>
          <w:tcPr>
            <w:tcW w:w="1224" w:type="pct"/>
            <w:tcBorders>
              <w:top w:val="double" w:sz="4"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BIS</w:t>
            </w:r>
          </w:p>
        </w:tc>
        <w:tc>
          <w:tcPr>
            <w:tcW w:w="629" w:type="pct"/>
            <w:tcBorders>
              <w:top w:val="double" w:sz="4" w:space="0" w:color="auto"/>
              <w:left w:val="single" w:sz="12" w:space="0" w:color="auto"/>
            </w:tcBorders>
          </w:tcPr>
          <w:p w:rsidR="005A63D9" w:rsidRPr="00E27ED8" w:rsidRDefault="005A63D9" w:rsidP="00221B9C">
            <w:pPr>
              <w:spacing w:after="144"/>
              <w:jc w:val="center"/>
              <w:rPr>
                <w:sz w:val="18"/>
                <w:szCs w:val="18"/>
              </w:rPr>
            </w:pPr>
            <w:r w:rsidRPr="00E27ED8">
              <w:rPr>
                <w:sz w:val="18"/>
                <w:szCs w:val="18"/>
              </w:rPr>
              <w:t>353 926</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84,9</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366 870</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84,4</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355 754</w:t>
            </w:r>
          </w:p>
        </w:tc>
        <w:tc>
          <w:tcPr>
            <w:tcW w:w="629" w:type="pct"/>
            <w:tcBorders>
              <w:top w:val="double" w:sz="4" w:space="0" w:color="auto"/>
            </w:tcBorders>
          </w:tcPr>
          <w:p w:rsidR="005A63D9" w:rsidRPr="00E27ED8" w:rsidRDefault="005A63D9" w:rsidP="00221B9C">
            <w:pPr>
              <w:spacing w:after="144"/>
              <w:jc w:val="center"/>
              <w:rPr>
                <w:sz w:val="18"/>
                <w:szCs w:val="18"/>
              </w:rPr>
            </w:pPr>
            <w:r w:rsidRPr="00E27ED8">
              <w:rPr>
                <w:sz w:val="18"/>
                <w:szCs w:val="18"/>
              </w:rPr>
              <w:t>81,8</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Ostatní ministerstva</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13 755</w:t>
            </w:r>
          </w:p>
        </w:tc>
        <w:tc>
          <w:tcPr>
            <w:tcW w:w="629" w:type="pct"/>
          </w:tcPr>
          <w:p w:rsidR="005A63D9" w:rsidRPr="00E27ED8" w:rsidRDefault="005A63D9" w:rsidP="00221B9C">
            <w:pPr>
              <w:spacing w:after="144"/>
              <w:jc w:val="center"/>
              <w:rPr>
                <w:sz w:val="18"/>
                <w:szCs w:val="18"/>
              </w:rPr>
            </w:pPr>
            <w:r w:rsidRPr="00E27ED8">
              <w:rPr>
                <w:sz w:val="18"/>
                <w:szCs w:val="18"/>
              </w:rPr>
              <w:t>3,3</w:t>
            </w:r>
          </w:p>
        </w:tc>
        <w:tc>
          <w:tcPr>
            <w:tcW w:w="629" w:type="pct"/>
          </w:tcPr>
          <w:p w:rsidR="005A63D9" w:rsidRPr="00E27ED8" w:rsidRDefault="005A63D9" w:rsidP="00221B9C">
            <w:pPr>
              <w:spacing w:after="144"/>
              <w:jc w:val="center"/>
              <w:rPr>
                <w:sz w:val="18"/>
                <w:szCs w:val="18"/>
              </w:rPr>
            </w:pPr>
            <w:r w:rsidRPr="00E27ED8">
              <w:rPr>
                <w:sz w:val="18"/>
                <w:szCs w:val="18"/>
              </w:rPr>
              <w:t>13 943</w:t>
            </w:r>
          </w:p>
        </w:tc>
        <w:tc>
          <w:tcPr>
            <w:tcW w:w="629" w:type="pct"/>
          </w:tcPr>
          <w:p w:rsidR="005A63D9" w:rsidRPr="00E27ED8" w:rsidRDefault="005A63D9" w:rsidP="00221B9C">
            <w:pPr>
              <w:spacing w:after="144"/>
              <w:jc w:val="center"/>
              <w:rPr>
                <w:sz w:val="18"/>
                <w:szCs w:val="18"/>
              </w:rPr>
            </w:pPr>
            <w:r w:rsidRPr="00E27ED8">
              <w:rPr>
                <w:sz w:val="18"/>
                <w:szCs w:val="18"/>
              </w:rPr>
              <w:t>3,2</w:t>
            </w:r>
          </w:p>
        </w:tc>
        <w:tc>
          <w:tcPr>
            <w:tcW w:w="629" w:type="pct"/>
          </w:tcPr>
          <w:p w:rsidR="005A63D9" w:rsidRPr="00E27ED8" w:rsidRDefault="005A63D9" w:rsidP="00221B9C">
            <w:pPr>
              <w:spacing w:after="144"/>
              <w:jc w:val="center"/>
              <w:rPr>
                <w:sz w:val="18"/>
                <w:szCs w:val="18"/>
              </w:rPr>
            </w:pPr>
            <w:r w:rsidRPr="00E27ED8">
              <w:rPr>
                <w:sz w:val="18"/>
                <w:szCs w:val="18"/>
              </w:rPr>
              <w:t>15 325</w:t>
            </w:r>
          </w:p>
        </w:tc>
        <w:tc>
          <w:tcPr>
            <w:tcW w:w="629" w:type="pct"/>
          </w:tcPr>
          <w:p w:rsidR="005A63D9" w:rsidRPr="00E27ED8" w:rsidRDefault="005A63D9" w:rsidP="00221B9C">
            <w:pPr>
              <w:spacing w:after="144"/>
              <w:jc w:val="center"/>
              <w:rPr>
                <w:sz w:val="18"/>
                <w:szCs w:val="18"/>
              </w:rPr>
            </w:pPr>
            <w:r w:rsidRPr="00E27ED8">
              <w:rPr>
                <w:sz w:val="18"/>
                <w:szCs w:val="18"/>
              </w:rPr>
              <w:t>3,5</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Evropská komise</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7 351</w:t>
            </w:r>
          </w:p>
        </w:tc>
        <w:tc>
          <w:tcPr>
            <w:tcW w:w="629" w:type="pct"/>
          </w:tcPr>
          <w:p w:rsidR="005A63D9" w:rsidRPr="00E27ED8" w:rsidRDefault="005A63D9" w:rsidP="00221B9C">
            <w:pPr>
              <w:spacing w:after="144"/>
              <w:jc w:val="center"/>
              <w:rPr>
                <w:sz w:val="18"/>
                <w:szCs w:val="18"/>
              </w:rPr>
            </w:pPr>
            <w:r w:rsidRPr="00E27ED8">
              <w:rPr>
                <w:sz w:val="18"/>
                <w:szCs w:val="18"/>
              </w:rPr>
              <w:t>1,8</w:t>
            </w:r>
          </w:p>
        </w:tc>
        <w:tc>
          <w:tcPr>
            <w:tcW w:w="629" w:type="pct"/>
          </w:tcPr>
          <w:p w:rsidR="005A63D9" w:rsidRPr="00E27ED8" w:rsidRDefault="005A63D9" w:rsidP="00221B9C">
            <w:pPr>
              <w:spacing w:after="144"/>
              <w:jc w:val="center"/>
              <w:rPr>
                <w:sz w:val="18"/>
                <w:szCs w:val="18"/>
              </w:rPr>
            </w:pPr>
            <w:r w:rsidRPr="00E27ED8">
              <w:rPr>
                <w:sz w:val="18"/>
                <w:szCs w:val="18"/>
              </w:rPr>
              <w:t>5 180</w:t>
            </w:r>
          </w:p>
        </w:tc>
        <w:tc>
          <w:tcPr>
            <w:tcW w:w="629" w:type="pct"/>
          </w:tcPr>
          <w:p w:rsidR="005A63D9" w:rsidRPr="00E27ED8" w:rsidRDefault="005A63D9" w:rsidP="00221B9C">
            <w:pPr>
              <w:spacing w:after="144"/>
              <w:jc w:val="center"/>
              <w:rPr>
                <w:sz w:val="18"/>
                <w:szCs w:val="18"/>
              </w:rPr>
            </w:pPr>
            <w:r w:rsidRPr="00E27ED8">
              <w:rPr>
                <w:sz w:val="18"/>
                <w:szCs w:val="18"/>
              </w:rPr>
              <w:t>1,2</w:t>
            </w:r>
          </w:p>
        </w:tc>
        <w:tc>
          <w:tcPr>
            <w:tcW w:w="629" w:type="pct"/>
          </w:tcPr>
          <w:p w:rsidR="005A63D9" w:rsidRPr="00E27ED8" w:rsidRDefault="005A63D9" w:rsidP="00221B9C">
            <w:pPr>
              <w:spacing w:after="144"/>
              <w:jc w:val="center"/>
              <w:rPr>
                <w:sz w:val="18"/>
                <w:szCs w:val="18"/>
              </w:rPr>
            </w:pPr>
            <w:r w:rsidRPr="00E27ED8">
              <w:rPr>
                <w:sz w:val="18"/>
                <w:szCs w:val="18"/>
              </w:rPr>
              <w:t>8 460</w:t>
            </w:r>
          </w:p>
        </w:tc>
        <w:tc>
          <w:tcPr>
            <w:tcW w:w="629" w:type="pct"/>
          </w:tcPr>
          <w:p w:rsidR="005A63D9" w:rsidRPr="00E27ED8" w:rsidRDefault="005A63D9" w:rsidP="00221B9C">
            <w:pPr>
              <w:spacing w:after="144"/>
              <w:jc w:val="center"/>
              <w:rPr>
                <w:sz w:val="18"/>
                <w:szCs w:val="18"/>
              </w:rPr>
            </w:pPr>
            <w:r w:rsidRPr="00E27ED8">
              <w:rPr>
                <w:sz w:val="18"/>
                <w:szCs w:val="18"/>
              </w:rPr>
              <w:t>2,0</w:t>
            </w:r>
          </w:p>
        </w:tc>
      </w:tr>
      <w:tr w:rsidR="005A63D9" w:rsidRPr="00E27ED8" w:rsidTr="00510C04">
        <w:tc>
          <w:tcPr>
            <w:tcW w:w="1224" w:type="pct"/>
            <w:tcBorders>
              <w:right w:val="single" w:sz="12" w:space="0" w:color="auto"/>
            </w:tcBorders>
          </w:tcPr>
          <w:p w:rsidR="005A63D9" w:rsidRPr="00E27ED8" w:rsidRDefault="005A63D9" w:rsidP="0008405A">
            <w:pPr>
              <w:spacing w:after="144"/>
              <w:jc w:val="both"/>
              <w:rPr>
                <w:sz w:val="18"/>
                <w:szCs w:val="18"/>
              </w:rPr>
            </w:pPr>
            <w:r w:rsidRPr="00E27ED8">
              <w:rPr>
                <w:sz w:val="18"/>
                <w:szCs w:val="18"/>
              </w:rPr>
              <w:t>Soukromý sektor</w:t>
            </w:r>
          </w:p>
        </w:tc>
        <w:tc>
          <w:tcPr>
            <w:tcW w:w="629" w:type="pct"/>
            <w:tcBorders>
              <w:left w:val="single" w:sz="12" w:space="0" w:color="auto"/>
            </w:tcBorders>
          </w:tcPr>
          <w:p w:rsidR="005A63D9" w:rsidRPr="00E27ED8" w:rsidRDefault="005A63D9" w:rsidP="00221B9C">
            <w:pPr>
              <w:spacing w:after="144"/>
              <w:jc w:val="center"/>
              <w:rPr>
                <w:sz w:val="18"/>
                <w:szCs w:val="18"/>
              </w:rPr>
            </w:pPr>
            <w:r w:rsidRPr="00E27ED8">
              <w:rPr>
                <w:sz w:val="18"/>
                <w:szCs w:val="18"/>
              </w:rPr>
              <w:t>15 688</w:t>
            </w:r>
          </w:p>
        </w:tc>
        <w:tc>
          <w:tcPr>
            <w:tcW w:w="629" w:type="pct"/>
          </w:tcPr>
          <w:p w:rsidR="005A63D9" w:rsidRPr="00E27ED8" w:rsidRDefault="005A63D9" w:rsidP="00221B9C">
            <w:pPr>
              <w:spacing w:after="144"/>
              <w:jc w:val="center"/>
              <w:rPr>
                <w:sz w:val="18"/>
                <w:szCs w:val="18"/>
              </w:rPr>
            </w:pPr>
            <w:r w:rsidRPr="00E27ED8">
              <w:rPr>
                <w:sz w:val="18"/>
                <w:szCs w:val="18"/>
              </w:rPr>
              <w:t>3,8</w:t>
            </w:r>
          </w:p>
        </w:tc>
        <w:tc>
          <w:tcPr>
            <w:tcW w:w="629" w:type="pct"/>
          </w:tcPr>
          <w:p w:rsidR="005A63D9" w:rsidRPr="00E27ED8" w:rsidRDefault="005A63D9" w:rsidP="00221B9C">
            <w:pPr>
              <w:spacing w:after="144"/>
              <w:jc w:val="center"/>
              <w:rPr>
                <w:sz w:val="18"/>
                <w:szCs w:val="18"/>
              </w:rPr>
            </w:pPr>
            <w:r w:rsidRPr="00E27ED8">
              <w:rPr>
                <w:sz w:val="18"/>
                <w:szCs w:val="18"/>
              </w:rPr>
              <w:t>17 742</w:t>
            </w:r>
          </w:p>
        </w:tc>
        <w:tc>
          <w:tcPr>
            <w:tcW w:w="629" w:type="pct"/>
          </w:tcPr>
          <w:p w:rsidR="005A63D9" w:rsidRPr="00E27ED8" w:rsidRDefault="005A63D9" w:rsidP="00221B9C">
            <w:pPr>
              <w:spacing w:after="144"/>
              <w:jc w:val="center"/>
              <w:rPr>
                <w:sz w:val="18"/>
                <w:szCs w:val="18"/>
              </w:rPr>
            </w:pPr>
            <w:r w:rsidRPr="00E27ED8">
              <w:rPr>
                <w:sz w:val="18"/>
                <w:szCs w:val="18"/>
              </w:rPr>
              <w:t>4,1</w:t>
            </w:r>
          </w:p>
        </w:tc>
        <w:tc>
          <w:tcPr>
            <w:tcW w:w="629" w:type="pct"/>
          </w:tcPr>
          <w:p w:rsidR="005A63D9" w:rsidRPr="00E27ED8" w:rsidRDefault="005A63D9" w:rsidP="00221B9C">
            <w:pPr>
              <w:spacing w:after="144"/>
              <w:jc w:val="center"/>
              <w:rPr>
                <w:sz w:val="18"/>
                <w:szCs w:val="18"/>
              </w:rPr>
            </w:pPr>
            <w:r w:rsidRPr="00E27ED8">
              <w:rPr>
                <w:sz w:val="18"/>
                <w:szCs w:val="18"/>
              </w:rPr>
              <w:t>18 513</w:t>
            </w:r>
          </w:p>
        </w:tc>
        <w:tc>
          <w:tcPr>
            <w:tcW w:w="629" w:type="pct"/>
          </w:tcPr>
          <w:p w:rsidR="005A63D9" w:rsidRPr="00E27ED8" w:rsidRDefault="005A63D9" w:rsidP="00221B9C">
            <w:pPr>
              <w:spacing w:after="144"/>
              <w:jc w:val="center"/>
              <w:rPr>
                <w:sz w:val="18"/>
                <w:szCs w:val="18"/>
              </w:rPr>
            </w:pPr>
            <w:r w:rsidRPr="00E27ED8">
              <w:rPr>
                <w:sz w:val="18"/>
                <w:szCs w:val="18"/>
              </w:rPr>
              <w:t>4,3</w:t>
            </w:r>
          </w:p>
        </w:tc>
      </w:tr>
      <w:tr w:rsidR="005A63D9" w:rsidRPr="00E27ED8" w:rsidTr="00510C04">
        <w:tc>
          <w:tcPr>
            <w:tcW w:w="1224" w:type="pct"/>
            <w:tcBorders>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Ostatní</w:t>
            </w:r>
          </w:p>
        </w:tc>
        <w:tc>
          <w:tcPr>
            <w:tcW w:w="629" w:type="pct"/>
            <w:tcBorders>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22 926</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6,2</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19 011</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7,1</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26 433</w:t>
            </w:r>
          </w:p>
        </w:tc>
        <w:tc>
          <w:tcPr>
            <w:tcW w:w="629" w:type="pct"/>
            <w:tcBorders>
              <w:bottom w:val="single" w:sz="12" w:space="0" w:color="auto"/>
            </w:tcBorders>
          </w:tcPr>
          <w:p w:rsidR="005A63D9" w:rsidRPr="00E27ED8" w:rsidRDefault="005A63D9" w:rsidP="00221B9C">
            <w:pPr>
              <w:spacing w:after="144"/>
              <w:jc w:val="center"/>
              <w:rPr>
                <w:sz w:val="18"/>
                <w:szCs w:val="18"/>
              </w:rPr>
            </w:pPr>
            <w:r w:rsidRPr="00E27ED8">
              <w:rPr>
                <w:sz w:val="18"/>
                <w:szCs w:val="18"/>
              </w:rPr>
              <w:t>8,4</w:t>
            </w:r>
          </w:p>
        </w:tc>
      </w:tr>
      <w:tr w:rsidR="005A63D9" w:rsidRPr="00E27ED8" w:rsidTr="00510C04">
        <w:tc>
          <w:tcPr>
            <w:tcW w:w="1224" w:type="pct"/>
            <w:tcBorders>
              <w:top w:val="single" w:sz="12" w:space="0" w:color="auto"/>
              <w:bottom w:val="single" w:sz="12" w:space="0" w:color="auto"/>
              <w:right w:val="single" w:sz="12" w:space="0" w:color="auto"/>
            </w:tcBorders>
          </w:tcPr>
          <w:p w:rsidR="005A63D9" w:rsidRPr="00E27ED8" w:rsidRDefault="005A63D9" w:rsidP="0008405A">
            <w:pPr>
              <w:spacing w:after="144"/>
              <w:jc w:val="both"/>
              <w:rPr>
                <w:sz w:val="18"/>
                <w:szCs w:val="18"/>
              </w:rPr>
            </w:pPr>
            <w:r w:rsidRPr="00E27ED8">
              <w:rPr>
                <w:sz w:val="18"/>
                <w:szCs w:val="18"/>
              </w:rPr>
              <w:t>CELKEM</w:t>
            </w:r>
          </w:p>
        </w:tc>
        <w:tc>
          <w:tcPr>
            <w:tcW w:w="629" w:type="pct"/>
            <w:tcBorders>
              <w:top w:val="single" w:sz="12" w:space="0" w:color="auto"/>
              <w:left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413 646</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422 746</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424 489</w:t>
            </w:r>
          </w:p>
        </w:tc>
        <w:tc>
          <w:tcPr>
            <w:tcW w:w="629" w:type="pct"/>
            <w:tcBorders>
              <w:top w:val="single" w:sz="12" w:space="0" w:color="auto"/>
              <w:bottom w:val="single" w:sz="12" w:space="0" w:color="auto"/>
            </w:tcBorders>
          </w:tcPr>
          <w:p w:rsidR="005A63D9" w:rsidRPr="00E27ED8" w:rsidRDefault="005A63D9" w:rsidP="00221B9C">
            <w:pPr>
              <w:spacing w:after="144"/>
              <w:jc w:val="center"/>
              <w:rPr>
                <w:sz w:val="18"/>
                <w:szCs w:val="18"/>
              </w:rPr>
            </w:pPr>
            <w:r w:rsidRPr="00E27ED8">
              <w:rPr>
                <w:sz w:val="18"/>
                <w:szCs w:val="18"/>
              </w:rPr>
              <w:t>100</w:t>
            </w:r>
          </w:p>
        </w:tc>
      </w:tr>
    </w:tbl>
    <w:p w:rsidR="005A63D9" w:rsidRPr="00F726D2" w:rsidRDefault="005A63D9" w:rsidP="0008405A">
      <w:pPr>
        <w:pStyle w:val="ZDROJovan"/>
        <w:spacing w:after="144" w:line="288" w:lineRule="auto"/>
        <w:jc w:val="both"/>
      </w:pPr>
      <w:r w:rsidRPr="000B30A8">
        <w:t>Zdroj: 2012/13 a 2013/14, NERC Annual Report</w:t>
      </w:r>
      <w:r>
        <w:t xml:space="preserve"> and Accounts 2013/14; 2014/15</w:t>
      </w:r>
    </w:p>
    <w:p w:rsidR="005A63D9" w:rsidRPr="005364B5"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 xml:space="preserve">Ministerstvo pro podnikání, inovace a dovednosti (BIS) poskytuje v podstatě trvale přes 80 % celkových příjmů. Relativně zajímavý je rostoucí podíl prostředků ze soukromého sektoru, zejména vezme-li se do úvahy, že NERC stejně </w:t>
      </w:r>
      <w:r>
        <w:rPr>
          <w:color w:val="000000"/>
          <w:shd w:val="clear" w:color="auto" w:fill="FFFFFF"/>
          <w:lang w:eastAsia="cs-CZ"/>
        </w:rPr>
        <w:t>jako ostatní Rady pro výzkum se </w:t>
      </w:r>
      <w:r w:rsidRPr="005364B5">
        <w:rPr>
          <w:color w:val="000000"/>
          <w:shd w:val="clear" w:color="auto" w:fill="FFFFFF"/>
          <w:lang w:eastAsia="cs-CZ"/>
        </w:rPr>
        <w:t>zabývá především základním výzkumem. NERC kromě inst</w:t>
      </w:r>
      <w:r>
        <w:rPr>
          <w:color w:val="000000"/>
          <w:shd w:val="clear" w:color="auto" w:fill="FFFFFF"/>
          <w:lang w:eastAsia="cs-CZ"/>
        </w:rPr>
        <w:t>itucionální podpory poskytuje i </w:t>
      </w:r>
      <w:r w:rsidRPr="005364B5">
        <w:rPr>
          <w:color w:val="000000"/>
          <w:shd w:val="clear" w:color="auto" w:fill="FFFFFF"/>
          <w:lang w:eastAsia="cs-CZ"/>
        </w:rPr>
        <w:t>podporu účelovou (grantovou) v rámci vědních oborů, které má ve své působnosti. NERC poskytuje dva druhy grantů, standardní a stážové. Základní charakteristiky jsou uvedeny v následující Tab. č. 34. NERC vydala příručku pro navrhovatele grantů a příručku pr</w:t>
      </w:r>
      <w:r>
        <w:rPr>
          <w:color w:val="000000"/>
          <w:shd w:val="clear" w:color="auto" w:fill="FFFFFF"/>
          <w:lang w:eastAsia="cs-CZ"/>
        </w:rPr>
        <w:t>o </w:t>
      </w:r>
      <w:r w:rsidRPr="005364B5">
        <w:rPr>
          <w:color w:val="000000"/>
          <w:shd w:val="clear" w:color="auto" w:fill="FFFFFF"/>
          <w:lang w:eastAsia="cs-CZ"/>
        </w:rPr>
        <w:t>hodnotitele grantů:</w:t>
      </w:r>
    </w:p>
    <w:p w:rsidR="005A63D9" w:rsidRPr="005364B5" w:rsidRDefault="005A63D9" w:rsidP="009715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364B5">
        <w:rPr>
          <w:color w:val="000000"/>
          <w:shd w:val="clear" w:color="auto" w:fill="FFFFFF"/>
          <w:lang w:eastAsia="cs-CZ"/>
        </w:rPr>
        <w:t>NERC Research grants and fellowships Handbook; Grants awarded on full economic cost basis (83 stran)</w:t>
      </w:r>
    </w:p>
    <w:p w:rsidR="005A63D9" w:rsidRPr="005364B5" w:rsidRDefault="005A63D9" w:rsidP="0097154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364B5">
        <w:rPr>
          <w:color w:val="000000"/>
          <w:shd w:val="clear" w:color="auto" w:fill="FFFFFF"/>
          <w:lang w:eastAsia="cs-CZ"/>
        </w:rPr>
        <w:t>Guidance for Reviewers of discovery Science standard and new Investigator grants, (12 stran)</w:t>
      </w:r>
    </w:p>
    <w:p w:rsidR="005A63D9" w:rsidRPr="005364B5" w:rsidRDefault="005A63D9" w:rsidP="005364B5">
      <w:pPr>
        <w:widowControl w:val="0"/>
        <w:adjustRightInd w:val="0"/>
        <w:spacing w:afterLines="0"/>
        <w:ind w:firstLine="539"/>
        <w:contextualSpacing w:val="0"/>
        <w:jc w:val="both"/>
        <w:textAlignment w:val="baseline"/>
        <w:rPr>
          <w:color w:val="000000"/>
          <w:sz w:val="24"/>
          <w:shd w:val="clear" w:color="auto" w:fill="FFFFFF"/>
          <w:lang w:eastAsia="cs-CZ"/>
        </w:rPr>
      </w:pPr>
    </w:p>
    <w:p w:rsidR="005A63D9" w:rsidRPr="00971547" w:rsidRDefault="005A63D9" w:rsidP="00971547">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34</w:t>
      </w:r>
      <w:r w:rsidRPr="00971547">
        <w:rPr>
          <w:b/>
          <w:color w:val="000000"/>
          <w:shd w:val="clear" w:color="auto" w:fill="FFFFFF"/>
          <w:lang w:eastAsia="cs-CZ"/>
        </w:rPr>
        <w:t xml:space="preserve"> </w:t>
      </w:r>
      <w:r w:rsidRPr="00971547">
        <w:rPr>
          <w:color w:val="000000"/>
          <w:shd w:val="clear" w:color="auto" w:fill="FFFFFF"/>
          <w:lang w:eastAsia="cs-CZ"/>
        </w:rPr>
        <w:t>Základní charakteristiky grantové podpory poskytované NERC</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443"/>
        <w:gridCol w:w="1614"/>
        <w:gridCol w:w="1614"/>
        <w:gridCol w:w="1616"/>
      </w:tblGrid>
      <w:tr w:rsidR="005A63D9" w:rsidRPr="00E27ED8" w:rsidTr="00510C04">
        <w:tc>
          <w:tcPr>
            <w:tcW w:w="2392" w:type="pct"/>
            <w:tcBorders>
              <w:top w:val="single" w:sz="12" w:space="0" w:color="auto"/>
              <w:bottom w:val="double" w:sz="4" w:space="0" w:color="auto"/>
              <w:right w:val="single" w:sz="12" w:space="0" w:color="auto"/>
            </w:tcBorders>
            <w:shd w:val="clear" w:color="auto" w:fill="BFBFBF"/>
          </w:tcPr>
          <w:p w:rsidR="005A63D9" w:rsidRPr="00E27ED8" w:rsidRDefault="005A63D9" w:rsidP="0008405A">
            <w:pPr>
              <w:keepNext/>
              <w:spacing w:before="60" w:after="144"/>
              <w:jc w:val="both"/>
              <w:rPr>
                <w:sz w:val="20"/>
                <w:szCs w:val="20"/>
              </w:rPr>
            </w:pPr>
          </w:p>
        </w:tc>
        <w:tc>
          <w:tcPr>
            <w:tcW w:w="869" w:type="pct"/>
            <w:tcBorders>
              <w:top w:val="single" w:sz="12" w:space="0" w:color="auto"/>
              <w:left w:val="single" w:sz="12" w:space="0" w:color="auto"/>
              <w:bottom w:val="double" w:sz="4" w:space="0" w:color="auto"/>
            </w:tcBorders>
            <w:shd w:val="clear" w:color="auto" w:fill="BFBFBF"/>
            <w:vAlign w:val="center"/>
          </w:tcPr>
          <w:p w:rsidR="005A63D9" w:rsidRPr="00E27ED8" w:rsidRDefault="005A63D9" w:rsidP="00221B9C">
            <w:pPr>
              <w:keepNext/>
              <w:spacing w:before="60" w:after="144"/>
              <w:jc w:val="center"/>
              <w:rPr>
                <w:b/>
                <w:sz w:val="20"/>
                <w:szCs w:val="20"/>
              </w:rPr>
            </w:pPr>
            <w:r w:rsidRPr="00E27ED8">
              <w:rPr>
                <w:b/>
                <w:sz w:val="20"/>
                <w:szCs w:val="20"/>
              </w:rPr>
              <w:t>2012–13</w:t>
            </w:r>
          </w:p>
        </w:tc>
        <w:tc>
          <w:tcPr>
            <w:tcW w:w="869" w:type="pct"/>
            <w:tcBorders>
              <w:top w:val="single" w:sz="12" w:space="0" w:color="auto"/>
              <w:bottom w:val="double" w:sz="4" w:space="0" w:color="auto"/>
            </w:tcBorders>
            <w:shd w:val="clear" w:color="auto" w:fill="BFBFBF"/>
            <w:vAlign w:val="center"/>
          </w:tcPr>
          <w:p w:rsidR="005A63D9" w:rsidRPr="00E27ED8" w:rsidRDefault="005A63D9" w:rsidP="00221B9C">
            <w:pPr>
              <w:keepNext/>
              <w:spacing w:before="60" w:after="144"/>
              <w:jc w:val="center"/>
              <w:rPr>
                <w:b/>
                <w:sz w:val="20"/>
                <w:szCs w:val="20"/>
              </w:rPr>
            </w:pPr>
            <w:r w:rsidRPr="00E27ED8">
              <w:rPr>
                <w:b/>
                <w:sz w:val="20"/>
                <w:szCs w:val="20"/>
              </w:rPr>
              <w:t>2013–14</w:t>
            </w:r>
          </w:p>
        </w:tc>
        <w:tc>
          <w:tcPr>
            <w:tcW w:w="869" w:type="pct"/>
            <w:tcBorders>
              <w:top w:val="single" w:sz="12" w:space="0" w:color="auto"/>
              <w:bottom w:val="double" w:sz="4" w:space="0" w:color="auto"/>
            </w:tcBorders>
            <w:shd w:val="clear" w:color="auto" w:fill="BFBFBF"/>
            <w:vAlign w:val="center"/>
          </w:tcPr>
          <w:p w:rsidR="005A63D9" w:rsidRPr="00E27ED8" w:rsidRDefault="005A63D9" w:rsidP="00221B9C">
            <w:pPr>
              <w:keepNext/>
              <w:spacing w:before="60" w:after="144"/>
              <w:jc w:val="center"/>
              <w:rPr>
                <w:b/>
                <w:sz w:val="20"/>
                <w:szCs w:val="20"/>
              </w:rPr>
            </w:pPr>
            <w:r w:rsidRPr="00E27ED8">
              <w:rPr>
                <w:b/>
                <w:sz w:val="20"/>
                <w:szCs w:val="20"/>
              </w:rPr>
              <w:t>2014–15</w:t>
            </w:r>
          </w:p>
        </w:tc>
      </w:tr>
      <w:tr w:rsidR="005A63D9" w:rsidRPr="00E27ED8" w:rsidTr="00510C04">
        <w:tc>
          <w:tcPr>
            <w:tcW w:w="2392" w:type="pct"/>
            <w:tcBorders>
              <w:top w:val="double" w:sz="4" w:space="0" w:color="auto"/>
              <w:right w:val="single" w:sz="12" w:space="0" w:color="auto"/>
            </w:tcBorders>
          </w:tcPr>
          <w:p w:rsidR="005A63D9" w:rsidRPr="00E27ED8" w:rsidRDefault="005A63D9" w:rsidP="0008405A">
            <w:pPr>
              <w:spacing w:before="60" w:after="144"/>
              <w:jc w:val="both"/>
              <w:rPr>
                <w:b/>
                <w:sz w:val="18"/>
                <w:szCs w:val="18"/>
              </w:rPr>
            </w:pPr>
            <w:r w:rsidRPr="00E27ED8">
              <w:rPr>
                <w:b/>
                <w:sz w:val="18"/>
                <w:szCs w:val="18"/>
              </w:rPr>
              <w:t>Standardní granty</w:t>
            </w:r>
          </w:p>
        </w:tc>
        <w:tc>
          <w:tcPr>
            <w:tcW w:w="2608" w:type="pct"/>
            <w:gridSpan w:val="3"/>
            <w:tcBorders>
              <w:top w:val="double" w:sz="4" w:space="0" w:color="auto"/>
              <w:left w:val="single" w:sz="12" w:space="0" w:color="auto"/>
            </w:tcBorders>
            <w:vAlign w:val="center"/>
          </w:tcPr>
          <w:p w:rsidR="005A63D9" w:rsidRPr="00E27ED8" w:rsidRDefault="005A63D9" w:rsidP="00221B9C">
            <w:pPr>
              <w:spacing w:before="60" w:after="144"/>
              <w:jc w:val="center"/>
              <w:rPr>
                <w:sz w:val="18"/>
                <w:szCs w:val="18"/>
              </w:rPr>
            </w:pPr>
          </w:p>
        </w:tc>
      </w:tr>
      <w:tr w:rsidR="005A63D9" w:rsidRPr="00E27ED8" w:rsidTr="00510C04">
        <w:tc>
          <w:tcPr>
            <w:tcW w:w="2392" w:type="pct"/>
            <w:tcBorders>
              <w:right w:val="single" w:sz="12" w:space="0" w:color="auto"/>
            </w:tcBorders>
          </w:tcPr>
          <w:p w:rsidR="005A63D9" w:rsidRPr="00E27ED8" w:rsidRDefault="005A63D9" w:rsidP="0008405A">
            <w:pPr>
              <w:spacing w:before="60" w:after="144"/>
              <w:jc w:val="both"/>
              <w:rPr>
                <w:sz w:val="18"/>
                <w:szCs w:val="18"/>
              </w:rPr>
            </w:pPr>
            <w:r w:rsidRPr="00E27ED8">
              <w:rPr>
                <w:sz w:val="18"/>
                <w:szCs w:val="18"/>
              </w:rPr>
              <w:t>Počet návrhů</w:t>
            </w:r>
          </w:p>
        </w:tc>
        <w:tc>
          <w:tcPr>
            <w:tcW w:w="869" w:type="pct"/>
            <w:tcBorders>
              <w:left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853</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937</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1 064</w:t>
            </w:r>
          </w:p>
        </w:tc>
      </w:tr>
      <w:tr w:rsidR="005A63D9" w:rsidRPr="00E27ED8" w:rsidTr="00510C04">
        <w:tc>
          <w:tcPr>
            <w:tcW w:w="2392" w:type="pct"/>
            <w:tcBorders>
              <w:right w:val="single" w:sz="12" w:space="0" w:color="auto"/>
            </w:tcBorders>
          </w:tcPr>
          <w:p w:rsidR="005A63D9" w:rsidRPr="00E27ED8" w:rsidRDefault="005A63D9" w:rsidP="0008405A">
            <w:pPr>
              <w:spacing w:before="60" w:after="144"/>
              <w:jc w:val="both"/>
              <w:rPr>
                <w:sz w:val="18"/>
                <w:szCs w:val="18"/>
              </w:rPr>
            </w:pPr>
            <w:r w:rsidRPr="00E27ED8">
              <w:rPr>
                <w:sz w:val="18"/>
                <w:szCs w:val="18"/>
              </w:rPr>
              <w:t>Počet schválených</w:t>
            </w:r>
          </w:p>
        </w:tc>
        <w:tc>
          <w:tcPr>
            <w:tcW w:w="869" w:type="pct"/>
            <w:tcBorders>
              <w:left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225</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172</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141</w:t>
            </w:r>
          </w:p>
        </w:tc>
      </w:tr>
      <w:tr w:rsidR="005A63D9" w:rsidRPr="00E27ED8" w:rsidTr="00510C04">
        <w:tc>
          <w:tcPr>
            <w:tcW w:w="2392" w:type="pct"/>
            <w:tcBorders>
              <w:bottom w:val="single" w:sz="12" w:space="0" w:color="auto"/>
              <w:right w:val="single" w:sz="12" w:space="0" w:color="auto"/>
            </w:tcBorders>
          </w:tcPr>
          <w:p w:rsidR="005A63D9" w:rsidRPr="00E27ED8" w:rsidRDefault="005A63D9" w:rsidP="0008405A">
            <w:pPr>
              <w:spacing w:before="60" w:after="144"/>
              <w:jc w:val="both"/>
              <w:rPr>
                <w:sz w:val="18"/>
                <w:szCs w:val="18"/>
              </w:rPr>
            </w:pPr>
            <w:r w:rsidRPr="00E27ED8">
              <w:rPr>
                <w:sz w:val="18"/>
                <w:szCs w:val="18"/>
              </w:rPr>
              <w:t>Úspěšnost (%)</w:t>
            </w:r>
          </w:p>
        </w:tc>
        <w:tc>
          <w:tcPr>
            <w:tcW w:w="869" w:type="pct"/>
            <w:tcBorders>
              <w:left w:val="single" w:sz="12" w:space="0" w:color="auto"/>
              <w:bottom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26,4</w:t>
            </w:r>
          </w:p>
        </w:tc>
        <w:tc>
          <w:tcPr>
            <w:tcW w:w="869" w:type="pct"/>
            <w:tcBorders>
              <w:bottom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18,4</w:t>
            </w:r>
          </w:p>
        </w:tc>
        <w:tc>
          <w:tcPr>
            <w:tcW w:w="869" w:type="pct"/>
            <w:tcBorders>
              <w:bottom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13,0</w:t>
            </w:r>
          </w:p>
        </w:tc>
      </w:tr>
      <w:tr w:rsidR="005A63D9" w:rsidRPr="00E27ED8" w:rsidTr="00510C04">
        <w:tc>
          <w:tcPr>
            <w:tcW w:w="2392" w:type="pct"/>
            <w:tcBorders>
              <w:top w:val="single" w:sz="12" w:space="0" w:color="auto"/>
              <w:right w:val="single" w:sz="12" w:space="0" w:color="auto"/>
            </w:tcBorders>
          </w:tcPr>
          <w:p w:rsidR="005A63D9" w:rsidRPr="00E27ED8" w:rsidRDefault="005A63D9" w:rsidP="0008405A">
            <w:pPr>
              <w:spacing w:before="60" w:after="144"/>
              <w:jc w:val="both"/>
              <w:rPr>
                <w:b/>
                <w:sz w:val="18"/>
                <w:szCs w:val="18"/>
              </w:rPr>
            </w:pPr>
            <w:r w:rsidRPr="00E27ED8">
              <w:rPr>
                <w:b/>
                <w:sz w:val="18"/>
                <w:szCs w:val="18"/>
              </w:rPr>
              <w:t>Stážové granty</w:t>
            </w:r>
          </w:p>
        </w:tc>
        <w:tc>
          <w:tcPr>
            <w:tcW w:w="2608" w:type="pct"/>
            <w:gridSpan w:val="3"/>
            <w:tcBorders>
              <w:top w:val="single" w:sz="12" w:space="0" w:color="auto"/>
              <w:left w:val="single" w:sz="12" w:space="0" w:color="auto"/>
            </w:tcBorders>
            <w:vAlign w:val="center"/>
          </w:tcPr>
          <w:p w:rsidR="005A63D9" w:rsidRPr="00E27ED8" w:rsidRDefault="005A63D9" w:rsidP="00221B9C">
            <w:pPr>
              <w:spacing w:before="60" w:after="144"/>
              <w:jc w:val="center"/>
              <w:rPr>
                <w:sz w:val="18"/>
                <w:szCs w:val="18"/>
              </w:rPr>
            </w:pPr>
          </w:p>
        </w:tc>
      </w:tr>
      <w:tr w:rsidR="005A63D9" w:rsidRPr="00E27ED8" w:rsidTr="00510C04">
        <w:tc>
          <w:tcPr>
            <w:tcW w:w="2392" w:type="pct"/>
            <w:tcBorders>
              <w:right w:val="single" w:sz="12" w:space="0" w:color="auto"/>
            </w:tcBorders>
          </w:tcPr>
          <w:p w:rsidR="005A63D9" w:rsidRPr="00E27ED8" w:rsidRDefault="005A63D9" w:rsidP="0008405A">
            <w:pPr>
              <w:spacing w:before="60" w:after="144"/>
              <w:jc w:val="both"/>
              <w:rPr>
                <w:sz w:val="18"/>
                <w:szCs w:val="18"/>
              </w:rPr>
            </w:pPr>
            <w:r w:rsidRPr="00E27ED8">
              <w:rPr>
                <w:sz w:val="18"/>
                <w:szCs w:val="18"/>
              </w:rPr>
              <w:t>Počet návrhů</w:t>
            </w:r>
          </w:p>
        </w:tc>
        <w:tc>
          <w:tcPr>
            <w:tcW w:w="869" w:type="pct"/>
            <w:tcBorders>
              <w:left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158</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140</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175</w:t>
            </w:r>
          </w:p>
        </w:tc>
      </w:tr>
      <w:tr w:rsidR="005A63D9" w:rsidRPr="00E27ED8" w:rsidTr="00510C04">
        <w:tc>
          <w:tcPr>
            <w:tcW w:w="2392" w:type="pct"/>
            <w:tcBorders>
              <w:right w:val="single" w:sz="12" w:space="0" w:color="auto"/>
            </w:tcBorders>
          </w:tcPr>
          <w:p w:rsidR="005A63D9" w:rsidRPr="00E27ED8" w:rsidRDefault="005A63D9" w:rsidP="0008405A">
            <w:pPr>
              <w:spacing w:before="60" w:after="144"/>
              <w:jc w:val="both"/>
              <w:rPr>
                <w:sz w:val="18"/>
                <w:szCs w:val="18"/>
              </w:rPr>
            </w:pPr>
            <w:r w:rsidRPr="00E27ED8">
              <w:rPr>
                <w:sz w:val="18"/>
                <w:szCs w:val="18"/>
              </w:rPr>
              <w:t>Počet schválených</w:t>
            </w:r>
          </w:p>
        </w:tc>
        <w:tc>
          <w:tcPr>
            <w:tcW w:w="869" w:type="pct"/>
            <w:tcBorders>
              <w:left w:val="single" w:sz="12" w:space="0" w:color="auto"/>
            </w:tcBorders>
            <w:vAlign w:val="center"/>
          </w:tcPr>
          <w:p w:rsidR="005A63D9" w:rsidRPr="00E27ED8" w:rsidRDefault="005A63D9" w:rsidP="00221B9C">
            <w:pPr>
              <w:spacing w:before="60" w:after="144"/>
              <w:jc w:val="center"/>
              <w:rPr>
                <w:sz w:val="18"/>
                <w:szCs w:val="18"/>
              </w:rPr>
            </w:pPr>
            <w:r w:rsidRPr="00E27ED8">
              <w:rPr>
                <w:sz w:val="18"/>
                <w:szCs w:val="18"/>
              </w:rPr>
              <w:t>21</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20</w:t>
            </w:r>
          </w:p>
        </w:tc>
        <w:tc>
          <w:tcPr>
            <w:tcW w:w="869" w:type="pct"/>
            <w:vAlign w:val="center"/>
          </w:tcPr>
          <w:p w:rsidR="005A63D9" w:rsidRPr="00E27ED8" w:rsidRDefault="005A63D9" w:rsidP="00221B9C">
            <w:pPr>
              <w:spacing w:before="60" w:after="144"/>
              <w:jc w:val="center"/>
              <w:rPr>
                <w:sz w:val="18"/>
                <w:szCs w:val="18"/>
              </w:rPr>
            </w:pPr>
            <w:r w:rsidRPr="00E27ED8">
              <w:rPr>
                <w:sz w:val="18"/>
                <w:szCs w:val="18"/>
              </w:rPr>
              <w:t>14</w:t>
            </w:r>
          </w:p>
        </w:tc>
      </w:tr>
      <w:tr w:rsidR="005A63D9" w:rsidRPr="00E27ED8" w:rsidTr="00510C04">
        <w:tc>
          <w:tcPr>
            <w:tcW w:w="2392" w:type="pct"/>
            <w:tcBorders>
              <w:bottom w:val="single" w:sz="12" w:space="0" w:color="auto"/>
              <w:right w:val="single" w:sz="12" w:space="0" w:color="auto"/>
            </w:tcBorders>
          </w:tcPr>
          <w:p w:rsidR="005A63D9" w:rsidRPr="00E27ED8" w:rsidRDefault="005A63D9" w:rsidP="0008405A">
            <w:pPr>
              <w:spacing w:before="60" w:after="144"/>
              <w:jc w:val="both"/>
              <w:rPr>
                <w:sz w:val="18"/>
                <w:szCs w:val="18"/>
              </w:rPr>
            </w:pPr>
            <w:r w:rsidRPr="00E27ED8">
              <w:rPr>
                <w:sz w:val="18"/>
                <w:szCs w:val="18"/>
              </w:rPr>
              <w:t>Úspěšnost (%)</w:t>
            </w:r>
          </w:p>
        </w:tc>
        <w:tc>
          <w:tcPr>
            <w:tcW w:w="869" w:type="pct"/>
            <w:tcBorders>
              <w:left w:val="single" w:sz="12" w:space="0" w:color="auto"/>
              <w:bottom w:val="single" w:sz="12" w:space="0" w:color="auto"/>
            </w:tcBorders>
            <w:vAlign w:val="center"/>
          </w:tcPr>
          <w:p w:rsidR="005A63D9" w:rsidRPr="00E27ED8" w:rsidRDefault="005A63D9" w:rsidP="00221B9C">
            <w:pPr>
              <w:spacing w:before="60" w:after="144"/>
              <w:jc w:val="center"/>
              <w:rPr>
                <w:sz w:val="20"/>
                <w:szCs w:val="20"/>
              </w:rPr>
            </w:pPr>
            <w:r w:rsidRPr="00E27ED8">
              <w:rPr>
                <w:sz w:val="20"/>
                <w:szCs w:val="20"/>
              </w:rPr>
              <w:t>13,3</w:t>
            </w:r>
          </w:p>
        </w:tc>
        <w:tc>
          <w:tcPr>
            <w:tcW w:w="869" w:type="pct"/>
            <w:tcBorders>
              <w:bottom w:val="single" w:sz="12" w:space="0" w:color="auto"/>
            </w:tcBorders>
            <w:vAlign w:val="center"/>
          </w:tcPr>
          <w:p w:rsidR="005A63D9" w:rsidRPr="00E27ED8" w:rsidRDefault="005A63D9" w:rsidP="00221B9C">
            <w:pPr>
              <w:spacing w:before="60" w:after="144"/>
              <w:jc w:val="center"/>
              <w:rPr>
                <w:sz w:val="20"/>
                <w:szCs w:val="20"/>
              </w:rPr>
            </w:pPr>
            <w:r w:rsidRPr="00E27ED8">
              <w:rPr>
                <w:sz w:val="20"/>
                <w:szCs w:val="20"/>
              </w:rPr>
              <w:t>14,3</w:t>
            </w:r>
          </w:p>
        </w:tc>
        <w:tc>
          <w:tcPr>
            <w:tcW w:w="869" w:type="pct"/>
            <w:tcBorders>
              <w:bottom w:val="single" w:sz="12" w:space="0" w:color="auto"/>
            </w:tcBorders>
            <w:vAlign w:val="center"/>
          </w:tcPr>
          <w:p w:rsidR="005A63D9" w:rsidRPr="00E27ED8" w:rsidRDefault="005A63D9" w:rsidP="00221B9C">
            <w:pPr>
              <w:spacing w:before="60" w:after="144"/>
              <w:jc w:val="center"/>
              <w:rPr>
                <w:sz w:val="20"/>
                <w:szCs w:val="20"/>
              </w:rPr>
            </w:pPr>
            <w:r w:rsidRPr="00E27ED8">
              <w:rPr>
                <w:sz w:val="20"/>
                <w:szCs w:val="20"/>
              </w:rPr>
              <w:t>8,0</w:t>
            </w:r>
          </w:p>
        </w:tc>
      </w:tr>
    </w:tbl>
    <w:p w:rsidR="005A63D9" w:rsidRPr="00F726D2" w:rsidRDefault="005A63D9" w:rsidP="0008405A">
      <w:pPr>
        <w:pStyle w:val="ZDROJovan"/>
        <w:spacing w:after="144" w:line="288" w:lineRule="auto"/>
        <w:jc w:val="both"/>
      </w:pPr>
      <w:r w:rsidRPr="000B30A8">
        <w:t>Zdroj: NERC Annual Report and Accounts 2012/2013; 2013/14; 2014/15.</w:t>
      </w:r>
    </w:p>
    <w:p w:rsidR="005A63D9" w:rsidRPr="00971547" w:rsidRDefault="005A63D9" w:rsidP="00971547">
      <w:pPr>
        <w:widowControl w:val="0"/>
        <w:adjustRightInd w:val="0"/>
        <w:spacing w:afterLines="0"/>
        <w:ind w:firstLine="539"/>
        <w:contextualSpacing w:val="0"/>
        <w:jc w:val="both"/>
        <w:textAlignment w:val="baseline"/>
        <w:rPr>
          <w:color w:val="000000"/>
          <w:shd w:val="clear" w:color="auto" w:fill="FFFFFF"/>
          <w:lang w:eastAsia="cs-CZ"/>
        </w:rPr>
      </w:pPr>
      <w:r w:rsidRPr="00971547">
        <w:rPr>
          <w:color w:val="000000"/>
          <w:shd w:val="clear" w:color="auto" w:fill="FFFFFF"/>
          <w:lang w:eastAsia="cs-CZ"/>
        </w:rPr>
        <w:t>Úspěšnost výrazně klesá. Ve výročních zprávách není tento pokles nijak komentován. U ostatních Rad pro výzkum je úspěšnost obdobná. NERC kromě v tabulce uvedených dat sleduje odděleně i úspěšnost mužů a žen a úspěšnost finanční.</w:t>
      </w:r>
    </w:p>
    <w:p w:rsidR="005A63D9" w:rsidRPr="004F26F1" w:rsidRDefault="005A63D9" w:rsidP="0008405A">
      <w:pPr>
        <w:spacing w:after="144"/>
        <w:jc w:val="both"/>
        <w:rPr>
          <w:b/>
          <w:sz w:val="24"/>
          <w:szCs w:val="24"/>
        </w:rPr>
      </w:pPr>
      <w:r w:rsidRPr="004F26F1">
        <w:rPr>
          <w:b/>
          <w:sz w:val="24"/>
          <w:szCs w:val="24"/>
        </w:rPr>
        <w:br w:type="page"/>
      </w:r>
    </w:p>
    <w:p w:rsidR="005A63D9" w:rsidRPr="00B934B2" w:rsidRDefault="005A63D9" w:rsidP="00B934B2">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162" w:name="_Toc440897441"/>
      <w:bookmarkStart w:id="163" w:name="_Toc441760843"/>
      <w:bookmarkStart w:id="164" w:name="_Toc441849506"/>
      <w:r w:rsidRPr="00B934B2">
        <w:rPr>
          <w:rFonts w:cs="Arial"/>
          <w:bCs/>
          <w:color w:val="000000"/>
          <w:kern w:val="32"/>
          <w:szCs w:val="32"/>
          <w:shd w:val="clear" w:color="auto" w:fill="FFFFFF"/>
          <w:lang/>
        </w:rPr>
        <w:t>6. Evropská unie</w:t>
      </w:r>
      <w:bookmarkEnd w:id="162"/>
      <w:bookmarkEnd w:id="163"/>
      <w:bookmarkEnd w:id="164"/>
    </w:p>
    <w:p w:rsidR="005A63D9" w:rsidRPr="00B934B2" w:rsidRDefault="005A63D9" w:rsidP="00B934B2">
      <w:pPr>
        <w:widowControl w:val="0"/>
        <w:adjustRightInd w:val="0"/>
        <w:spacing w:afterLines="0"/>
        <w:ind w:firstLine="539"/>
        <w:contextualSpacing w:val="0"/>
        <w:jc w:val="both"/>
        <w:textAlignment w:val="baseline"/>
        <w:rPr>
          <w:color w:val="000000"/>
          <w:shd w:val="clear" w:color="auto" w:fill="FFFFFF"/>
          <w:lang w:eastAsia="cs-CZ"/>
        </w:rPr>
      </w:pPr>
      <w:r w:rsidRPr="00B934B2">
        <w:rPr>
          <w:color w:val="000000"/>
          <w:shd w:val="clear" w:color="auto" w:fill="FFFFFF"/>
          <w:lang w:eastAsia="cs-CZ"/>
        </w:rPr>
        <w:t>Výzkum a vývoj je v EU podporován od roku 1984 rámcovými programy. První rámcový program byl na sedm let (1984–1990), další programy byly většinou čtyřleté. Předposlední rámcový program (7. RP) je v souladu s rozpočtovým obdobím EU sedmiletý (2007–2013). Z počátku se rámcové programy i částečně překrývaly (viz dodatek č. 5 této přílohy).</w:t>
      </w:r>
    </w:p>
    <w:p w:rsidR="005A63D9" w:rsidRPr="00B934B2" w:rsidRDefault="005A63D9" w:rsidP="00B934B2">
      <w:pPr>
        <w:widowControl w:val="0"/>
        <w:adjustRightInd w:val="0"/>
        <w:spacing w:afterLines="0"/>
        <w:ind w:firstLine="539"/>
        <w:contextualSpacing w:val="0"/>
        <w:jc w:val="both"/>
        <w:textAlignment w:val="baseline"/>
        <w:rPr>
          <w:color w:val="000000"/>
          <w:shd w:val="clear" w:color="auto" w:fill="FFFFFF"/>
          <w:lang w:eastAsia="cs-CZ"/>
        </w:rPr>
      </w:pPr>
      <w:r w:rsidRPr="00B934B2">
        <w:rPr>
          <w:color w:val="000000"/>
          <w:shd w:val="clear" w:color="auto" w:fill="FFFFFF"/>
          <w:lang w:eastAsia="cs-CZ"/>
        </w:rPr>
        <w:t>V některých obdobích byla podpora VaV v EU organizačně i metodicky relativně složitá. V rozpočtovém období EU 2007–2013 byl VaVaI v EU podporován 7. rámcovým programem výzkumu</w:t>
      </w:r>
      <w:r>
        <w:rPr>
          <w:color w:val="000000"/>
          <w:shd w:val="clear" w:color="auto" w:fill="FFFFFF"/>
          <w:lang w:eastAsia="cs-CZ"/>
        </w:rPr>
        <w:t>,</w:t>
      </w:r>
      <w:r w:rsidRPr="00B934B2">
        <w:rPr>
          <w:color w:val="000000"/>
          <w:shd w:val="clear" w:color="auto" w:fill="FFFFFF"/>
          <w:lang w:eastAsia="cs-CZ"/>
        </w:rPr>
        <w:t xml:space="preserve"> vývoje technologií a demonstraci (7.RP), rámcovým programem Euratomu, Rámcovým programem pro konkurenceschopnost a inovace (CIP)</w:t>
      </w:r>
      <w:r w:rsidRPr="001F3427">
        <w:rPr>
          <w:color w:val="000000"/>
          <w:shd w:val="clear" w:color="auto" w:fill="FFFFFF"/>
          <w:vertAlign w:val="superscript"/>
          <w:lang w:eastAsia="cs-CZ"/>
        </w:rPr>
        <w:footnoteReference w:id="32"/>
      </w:r>
      <w:r>
        <w:rPr>
          <w:color w:val="000000"/>
          <w:shd w:val="clear" w:color="auto" w:fill="FFFFFF"/>
          <w:lang w:eastAsia="cs-CZ"/>
        </w:rPr>
        <w:t xml:space="preserve"> a částečně i </w:t>
      </w:r>
      <w:r w:rsidRPr="00B934B2">
        <w:rPr>
          <w:color w:val="000000"/>
          <w:shd w:val="clear" w:color="auto" w:fill="FFFFFF"/>
          <w:lang w:eastAsia="cs-CZ"/>
        </w:rPr>
        <w:t>ze strukturálních fondů a z několika vzdělávacích a výchovných programu. Hlavním cílem tohoto systému byl rozvoj Evropského výzkumného a inovačního prostoru.</w:t>
      </w:r>
    </w:p>
    <w:p w:rsidR="005A63D9" w:rsidRPr="00B934B2" w:rsidRDefault="005A63D9" w:rsidP="00B934B2">
      <w:pPr>
        <w:widowControl w:val="0"/>
        <w:adjustRightInd w:val="0"/>
        <w:spacing w:afterLines="0"/>
        <w:ind w:firstLine="539"/>
        <w:contextualSpacing w:val="0"/>
        <w:jc w:val="both"/>
        <w:textAlignment w:val="baseline"/>
        <w:rPr>
          <w:color w:val="000000"/>
          <w:shd w:val="clear" w:color="auto" w:fill="FFFFFF"/>
          <w:lang w:eastAsia="cs-CZ"/>
        </w:rPr>
      </w:pPr>
      <w:r w:rsidRPr="006404F4">
        <w:rPr>
          <w:color w:val="000000"/>
          <w:shd w:val="clear" w:color="auto" w:fill="FFFFFF"/>
          <w:lang w:eastAsia="cs-CZ"/>
        </w:rPr>
        <w:t>Pro rozpočtové období 2014–2020 EU formulovala nadřazenou celkovou politiku Evropa 2020. Cílem politiky Evropy 2020 je zabezpečení inte</w:t>
      </w:r>
      <w:r>
        <w:rPr>
          <w:color w:val="000000"/>
          <w:shd w:val="clear" w:color="auto" w:fill="FFFFFF"/>
          <w:lang w:eastAsia="cs-CZ"/>
        </w:rPr>
        <w:t>ligentního, udržitelného a </w:t>
      </w:r>
      <w:r w:rsidRPr="006404F4">
        <w:rPr>
          <w:color w:val="000000"/>
          <w:shd w:val="clear" w:color="auto" w:fill="FFFFFF"/>
          <w:lang w:eastAsia="cs-CZ"/>
        </w:rPr>
        <w:t>integrativního (integrujícího) růstu:</w:t>
      </w:r>
      <w:r w:rsidRPr="00B934B2">
        <w:rPr>
          <w:color w:val="000000"/>
          <w:shd w:val="clear" w:color="auto" w:fill="FFFFFF"/>
          <w:lang w:eastAsia="cs-CZ"/>
        </w:rPr>
        <w:t xml:space="preserve"> </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inteligentního</w:t>
      </w:r>
      <w:r w:rsidRPr="001F3427">
        <w:rPr>
          <w:color w:val="000000"/>
          <w:shd w:val="clear" w:color="auto" w:fill="FFFFFF"/>
          <w:lang w:eastAsia="cs-CZ"/>
        </w:rPr>
        <w:t xml:space="preserve"> účinnějšími investicemi do vzdělání, výzkumu a inovací; </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udržitelného</w:t>
      </w:r>
      <w:r w:rsidRPr="001F3427">
        <w:rPr>
          <w:color w:val="000000"/>
          <w:shd w:val="clear" w:color="auto" w:fill="FFFFFF"/>
          <w:lang w:eastAsia="cs-CZ"/>
        </w:rPr>
        <w:t xml:space="preserve"> výrazným zaměření</w:t>
      </w:r>
      <w:r>
        <w:rPr>
          <w:color w:val="000000"/>
          <w:shd w:val="clear" w:color="auto" w:fill="FFFFFF"/>
          <w:lang w:eastAsia="cs-CZ"/>
        </w:rPr>
        <w:t>m na nízkouhlíkovou ekonomiku a </w:t>
      </w:r>
      <w:r w:rsidRPr="001F3427">
        <w:rPr>
          <w:color w:val="000000"/>
          <w:shd w:val="clear" w:color="auto" w:fill="FFFFFF"/>
          <w:lang w:eastAsia="cs-CZ"/>
        </w:rPr>
        <w:t xml:space="preserve">konkurenceschopný průmysl; </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integrujícího</w:t>
      </w:r>
      <w:r w:rsidRPr="001F3427">
        <w:rPr>
          <w:color w:val="000000"/>
          <w:shd w:val="clear" w:color="auto" w:fill="FFFFFF"/>
          <w:lang w:eastAsia="cs-CZ"/>
        </w:rPr>
        <w:t xml:space="preserve"> prioritním vytvářením pracovních míst a potlačením bídy. Jádrem strategie je pět ambiciózních cílů v zaměstnanosti, výzkumu, vzdělání, potlačení bídy, energetice a klimatu. </w:t>
      </w:r>
    </w:p>
    <w:p w:rsidR="005A63D9" w:rsidRPr="006404F4" w:rsidRDefault="005A63D9" w:rsidP="006404F4">
      <w:pPr>
        <w:widowControl w:val="0"/>
        <w:adjustRightInd w:val="0"/>
        <w:spacing w:afterLines="0"/>
        <w:ind w:firstLine="539"/>
        <w:contextualSpacing w:val="0"/>
        <w:jc w:val="both"/>
        <w:textAlignment w:val="baseline"/>
        <w:rPr>
          <w:color w:val="000000"/>
          <w:shd w:val="clear" w:color="auto" w:fill="FFFFFF"/>
          <w:lang w:eastAsia="cs-CZ"/>
        </w:rPr>
      </w:pPr>
      <w:r w:rsidRPr="006404F4">
        <w:rPr>
          <w:color w:val="000000"/>
          <w:shd w:val="clear" w:color="auto" w:fill="FFFFFF"/>
          <w:lang w:eastAsia="cs-CZ"/>
        </w:rPr>
        <w:t>Pro oblast VaVaI byl připraven, schválen a vyhlášen program Horizont 2020. V některých dokumentech EU, především o rozpoč</w:t>
      </w:r>
      <w:r>
        <w:rPr>
          <w:color w:val="000000"/>
          <w:shd w:val="clear" w:color="auto" w:fill="FFFFFF"/>
          <w:lang w:eastAsia="cs-CZ"/>
        </w:rPr>
        <w:t>tu EU na období 2014–2020, bývá </w:t>
      </w:r>
      <w:r w:rsidRPr="006404F4">
        <w:rPr>
          <w:color w:val="000000"/>
          <w:shd w:val="clear" w:color="auto" w:fill="FFFFFF"/>
          <w:lang w:eastAsia="cs-CZ"/>
        </w:rPr>
        <w:t>program Horizont 2020 označován jako Společný strategický rámec pro výzkum a inovace.</w:t>
      </w:r>
    </w:p>
    <w:p w:rsidR="005A63D9" w:rsidRPr="006404F4" w:rsidRDefault="005A63D9" w:rsidP="006404F4">
      <w:pPr>
        <w:widowControl w:val="0"/>
        <w:adjustRightInd w:val="0"/>
        <w:spacing w:afterLines="0"/>
        <w:ind w:firstLine="539"/>
        <w:contextualSpacing w:val="0"/>
        <w:jc w:val="both"/>
        <w:textAlignment w:val="baseline"/>
        <w:rPr>
          <w:color w:val="000000"/>
          <w:shd w:val="clear" w:color="auto" w:fill="FFFFFF"/>
          <w:lang w:eastAsia="cs-CZ"/>
        </w:rPr>
      </w:pPr>
      <w:r w:rsidRPr="006404F4">
        <w:rPr>
          <w:color w:val="000000"/>
          <w:shd w:val="clear" w:color="auto" w:fill="FFFFFF"/>
          <w:lang w:eastAsia="cs-CZ"/>
        </w:rPr>
        <w:t>Ve všech dosavadních rámcových programech byl ve značném rozsahu zařazen VaV v oblasti životního prostředí. VaV v oblasti životního prostředí však není ostře vymezen. VaV v řadě oblastí a směrů je motivován požadavky životního prostředí (energetika, zemědělství, potraviny aj.). Tato interdisciplinarita a transdisciplinar</w:t>
      </w:r>
      <w:r>
        <w:rPr>
          <w:color w:val="000000"/>
          <w:shd w:val="clear" w:color="auto" w:fill="FFFFFF"/>
          <w:lang w:eastAsia="cs-CZ"/>
        </w:rPr>
        <w:t>ita VaV v životním prostředí se </w:t>
      </w:r>
      <w:r w:rsidRPr="006404F4">
        <w:rPr>
          <w:color w:val="000000"/>
          <w:shd w:val="clear" w:color="auto" w:fill="FFFFFF"/>
          <w:lang w:eastAsia="cs-CZ"/>
        </w:rPr>
        <w:t>postupem času zvyšuje. Zvlášť výrazně se to projevuje v programu Horizont 2020.</w:t>
      </w:r>
    </w:p>
    <w:p w:rsidR="005A63D9" w:rsidRPr="006404F4" w:rsidRDefault="005A63D9" w:rsidP="006404F4">
      <w:pPr>
        <w:widowControl w:val="0"/>
        <w:adjustRightInd w:val="0"/>
        <w:spacing w:afterLines="0"/>
        <w:ind w:firstLine="539"/>
        <w:contextualSpacing w:val="0"/>
        <w:jc w:val="both"/>
        <w:textAlignment w:val="baseline"/>
        <w:rPr>
          <w:color w:val="000000"/>
          <w:shd w:val="clear" w:color="auto" w:fill="FFFFFF"/>
          <w:lang w:eastAsia="cs-CZ"/>
        </w:rPr>
      </w:pPr>
    </w:p>
    <w:p w:rsidR="005A63D9" w:rsidRPr="001F3427" w:rsidRDefault="005A63D9" w:rsidP="001F3427">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65" w:name="_Toc440897442"/>
      <w:bookmarkStart w:id="166" w:name="_Toc441760844"/>
      <w:bookmarkStart w:id="167" w:name="_Toc441849507"/>
      <w:r w:rsidRPr="001F3427">
        <w:rPr>
          <w:rFonts w:cs="Arial"/>
          <w:bCs/>
          <w:iCs/>
          <w:color w:val="000000"/>
          <w:shd w:val="clear" w:color="auto" w:fill="FFFFFF"/>
          <w:lang/>
        </w:rPr>
        <w:t>6.1. Orgány EU v oblasti VaVaI a životního prostředí</w:t>
      </w:r>
      <w:bookmarkEnd w:id="165"/>
      <w:bookmarkEnd w:id="166"/>
      <w:bookmarkEnd w:id="167"/>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Záležitosti VaVaI a životního prostředí mají samostatné útvary ve všech nejvyšších orgánech EU, v Evropském parlamentu, Evropské komisi i v Radě Evropy. Evropský parlament a Rada Evropy jsou uvedeny proto, že všechny významné dokumenty, jako</w:t>
      </w:r>
      <w:r>
        <w:rPr>
          <w:color w:val="000000"/>
          <w:shd w:val="clear" w:color="auto" w:fill="FFFFFF"/>
          <w:lang w:eastAsia="cs-CZ"/>
        </w:rPr>
        <w:t> </w:t>
      </w:r>
      <w:r w:rsidRPr="001F3427">
        <w:rPr>
          <w:color w:val="000000"/>
          <w:shd w:val="clear" w:color="auto" w:fill="FFFFFF"/>
          <w:lang w:eastAsia="cs-CZ"/>
        </w:rPr>
        <w:t>například Rámcové programy schvalují Evropský parlament a Rada Evropy.</w:t>
      </w:r>
    </w:p>
    <w:p w:rsidR="005A63D9" w:rsidRPr="001F3427" w:rsidRDefault="005A63D9" w:rsidP="001F3427">
      <w:pPr>
        <w:pStyle w:val="Heading3"/>
        <w:keepNext/>
        <w:spacing w:before="240" w:afterLines="0" w:line="240" w:lineRule="auto"/>
        <w:contextualSpacing w:val="0"/>
        <w:rPr>
          <w:bCs/>
          <w:shd w:val="clear" w:color="auto" w:fill="FFFFFF"/>
          <w:lang/>
        </w:rPr>
      </w:pPr>
      <w:bookmarkStart w:id="168" w:name="_Toc440897443"/>
      <w:bookmarkStart w:id="169" w:name="_Toc441760845"/>
      <w:bookmarkStart w:id="170" w:name="_Toc441849508"/>
      <w:r w:rsidRPr="001F3427">
        <w:rPr>
          <w:bCs/>
          <w:shd w:val="clear" w:color="auto" w:fill="FFFFFF"/>
          <w:lang/>
        </w:rPr>
        <w:t>Evropský parlament</w:t>
      </w:r>
      <w:bookmarkEnd w:id="168"/>
      <w:bookmarkEnd w:id="169"/>
      <w:bookmarkEnd w:id="170"/>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V Evropském parlamentu (www.europarl.europa.eu) jsou kromě jiných výbory:</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 xml:space="preserve">Výbor pro průmysl, výzkum a energii. </w:t>
      </w:r>
      <w:r w:rsidRPr="001F3427">
        <w:rPr>
          <w:color w:val="000000"/>
          <w:shd w:val="clear" w:color="auto" w:fill="FFFFFF"/>
          <w:lang w:eastAsia="cs-CZ"/>
        </w:rPr>
        <w:t>Předsedou výboru s několika desítkami členů je Polák Jerzy Buzek. Členy za Česko jsou L. Niedermayer, M. Ransdorf, P. Telička a E. Tošenovský;</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 xml:space="preserve">Výbor pro otázky životního prostředí, veřejné zdravotnictví a bezpečnost potravin. </w:t>
      </w:r>
      <w:r w:rsidRPr="001F3427">
        <w:rPr>
          <w:color w:val="000000"/>
          <w:shd w:val="clear" w:color="auto" w:fill="FFFFFF"/>
          <w:lang w:eastAsia="cs-CZ"/>
        </w:rPr>
        <w:t>Předsedou výboru rovněž s několika desítkami členů je Ital Giovanni La Via. Členy za Česko jsou K. Konečná a P. Ploc.</w:t>
      </w:r>
    </w:p>
    <w:p w:rsidR="005A63D9" w:rsidRPr="001F3427" w:rsidRDefault="005A63D9" w:rsidP="001F3427">
      <w:pPr>
        <w:pStyle w:val="Heading3"/>
        <w:keepNext/>
        <w:spacing w:before="240" w:afterLines="0" w:line="240" w:lineRule="auto"/>
        <w:contextualSpacing w:val="0"/>
        <w:rPr>
          <w:bCs/>
          <w:shd w:val="clear" w:color="auto" w:fill="FFFFFF"/>
          <w:lang/>
        </w:rPr>
      </w:pPr>
      <w:bookmarkStart w:id="171" w:name="_Toc440897444"/>
      <w:bookmarkStart w:id="172" w:name="_Toc441760846"/>
      <w:bookmarkStart w:id="173" w:name="_Toc441849509"/>
      <w:r w:rsidRPr="001F3427">
        <w:rPr>
          <w:bCs/>
          <w:shd w:val="clear" w:color="auto" w:fill="FFFFFF"/>
          <w:lang/>
        </w:rPr>
        <w:t>Rada Evropy</w:t>
      </w:r>
      <w:bookmarkEnd w:id="171"/>
      <w:bookmarkEnd w:id="172"/>
      <w:bookmarkEnd w:id="173"/>
      <w:r w:rsidRPr="001F3427">
        <w:rPr>
          <w:bCs/>
          <w:shd w:val="clear" w:color="auto" w:fill="FFFFFF"/>
          <w:lang/>
        </w:rPr>
        <w:t xml:space="preserve"> </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Rada Evropy (www.consilium.europa.eu) má 10 formací složených z ministrů příslušných zemí. Pro oblasti sledované v předkládaném dokumentu to jsou Rady:</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 xml:space="preserve">Konkurenceschopnost, vnitřní trh, průmysl a výzkum. </w:t>
      </w:r>
      <w:r>
        <w:rPr>
          <w:color w:val="000000"/>
          <w:shd w:val="clear" w:color="auto" w:fill="FFFFFF"/>
          <w:lang w:eastAsia="cs-CZ"/>
        </w:rPr>
        <w:t>Do působnosti Rady patří i </w:t>
      </w:r>
      <w:r w:rsidRPr="001F3427">
        <w:rPr>
          <w:color w:val="000000"/>
          <w:shd w:val="clear" w:color="auto" w:fill="FFFFFF"/>
          <w:lang w:eastAsia="cs-CZ"/>
        </w:rPr>
        <w:t>inovace a kosmonautika. Působnosti výzkum a „ek</w:t>
      </w:r>
      <w:r>
        <w:rPr>
          <w:color w:val="000000"/>
          <w:shd w:val="clear" w:color="auto" w:fill="FFFFFF"/>
          <w:lang w:eastAsia="cs-CZ"/>
        </w:rPr>
        <w:t>onomika“ v širším pojetí jsou i </w:t>
      </w:r>
      <w:r w:rsidRPr="001F3427">
        <w:rPr>
          <w:color w:val="000000"/>
          <w:shd w:val="clear" w:color="auto" w:fill="FFFFFF"/>
          <w:lang w:eastAsia="cs-CZ"/>
        </w:rPr>
        <w:t>na úrovni Rady projevem evropské tendence spojovat záležitosti výzkumu s ekonomikou, o čemž svědčí společná ministerstva pro tyto oblasti v některých evropských zemích (např. Velká Británie, Švýcarsko a do jisté míry i Rakousko)</w:t>
      </w:r>
      <w:r w:rsidRPr="001F3427">
        <w:rPr>
          <w:color w:val="000000"/>
          <w:shd w:val="clear" w:color="auto" w:fill="FFFFFF"/>
          <w:vertAlign w:val="superscript"/>
          <w:lang w:eastAsia="cs-CZ"/>
        </w:rPr>
        <w:footnoteReference w:id="33"/>
      </w:r>
      <w:r w:rsidRPr="001F3427">
        <w:rPr>
          <w:color w:val="000000"/>
          <w:shd w:val="clear" w:color="auto" w:fill="FFFFFF"/>
          <w:lang w:eastAsia="cs-CZ"/>
        </w:rPr>
        <w:t>. Rada se schází minimálně čtyřikrát do roka. Jednání se v závislosti na programu zúčastňují příslušní komisaři.</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 xml:space="preserve">Životní prostředí. </w:t>
      </w:r>
      <w:r w:rsidRPr="001F3427">
        <w:rPr>
          <w:color w:val="000000"/>
          <w:shd w:val="clear" w:color="auto" w:fill="FFFFFF"/>
          <w:lang w:eastAsia="cs-CZ"/>
        </w:rPr>
        <w:t>Do působnosti této Rady patří kromě ochrany životního prostředí udržitelné využívání přírodních zdrojů a o</w:t>
      </w:r>
      <w:r>
        <w:rPr>
          <w:color w:val="000000"/>
          <w:shd w:val="clear" w:color="auto" w:fill="FFFFFF"/>
          <w:lang w:eastAsia="cs-CZ"/>
        </w:rPr>
        <w:t>chrana zdraví lidí. Zabývá se i </w:t>
      </w:r>
      <w:r w:rsidRPr="001F3427">
        <w:rPr>
          <w:color w:val="000000"/>
          <w:shd w:val="clear" w:color="auto" w:fill="FFFFFF"/>
          <w:lang w:eastAsia="cs-CZ"/>
        </w:rPr>
        <w:t>mezinárodními problémy ochrany klimatu. Rada jen výjimečně projednává záležitosti VaV. Evropskou komisi na zasedáních zastupuje komisař pro životní prostředí a komisař pro opatření v oblasti změny klimatu.</w:t>
      </w:r>
    </w:p>
    <w:p w:rsidR="005A63D9" w:rsidRPr="001F3427" w:rsidRDefault="005A63D9" w:rsidP="001F3427">
      <w:pPr>
        <w:pStyle w:val="Heading3"/>
        <w:keepNext/>
        <w:spacing w:before="240" w:afterLines="0" w:line="240" w:lineRule="auto"/>
        <w:contextualSpacing w:val="0"/>
        <w:rPr>
          <w:bCs/>
          <w:shd w:val="clear" w:color="auto" w:fill="FFFFFF"/>
          <w:lang/>
        </w:rPr>
      </w:pPr>
      <w:bookmarkStart w:id="174" w:name="_Toc440897445"/>
      <w:bookmarkStart w:id="175" w:name="_Toc441760847"/>
      <w:bookmarkStart w:id="176" w:name="_Toc441849510"/>
      <w:r w:rsidRPr="001F3427">
        <w:rPr>
          <w:bCs/>
          <w:shd w:val="clear" w:color="auto" w:fill="FFFFFF"/>
          <w:lang/>
        </w:rPr>
        <w:t>Evropská komise</w:t>
      </w:r>
      <w:bookmarkEnd w:id="174"/>
      <w:bookmarkEnd w:id="175"/>
      <w:bookmarkEnd w:id="176"/>
      <w:r w:rsidRPr="001F3427">
        <w:rPr>
          <w:bCs/>
          <w:shd w:val="clear" w:color="auto" w:fill="FFFFFF"/>
          <w:lang/>
        </w:rPr>
        <w:t xml:space="preserve"> </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Evropská komise (http://ec.europa.eu) má řadu komisařů, kteří vedou generální ředitelství. Pro VaVaI a životní prostředí to jsou:</w:t>
      </w:r>
    </w:p>
    <w:p w:rsidR="005A63D9" w:rsidRPr="001F3427" w:rsidRDefault="005A63D9" w:rsidP="001F3427">
      <w:pPr>
        <w:widowControl w:val="0"/>
        <w:adjustRightInd w:val="0"/>
        <w:spacing w:afterLines="0"/>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Generální ředitelství Výzkum a inovace</w:t>
      </w:r>
      <w:r w:rsidRPr="001F3427">
        <w:rPr>
          <w:color w:val="000000"/>
          <w:shd w:val="clear" w:color="auto" w:fill="FFFFFF"/>
          <w:lang w:eastAsia="cs-CZ"/>
        </w:rPr>
        <w:t xml:space="preserve"> (http://ec.euro</w:t>
      </w:r>
      <w:r>
        <w:rPr>
          <w:color w:val="000000"/>
          <w:shd w:val="clear" w:color="auto" w:fill="FFFFFF"/>
          <w:lang w:eastAsia="cs-CZ"/>
        </w:rPr>
        <w:t>pa.eu/research). Toto GŘ má tři </w:t>
      </w:r>
      <w:r w:rsidRPr="001F3427">
        <w:rPr>
          <w:color w:val="000000"/>
          <w:shd w:val="clear" w:color="auto" w:fill="FFFFFF"/>
          <w:lang w:eastAsia="cs-CZ"/>
        </w:rPr>
        <w:t>zástupce generálního ředitele, kteří vedou sekce členěná na ředitelství: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Sekce Rámcové programy má tři ředitelství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(A) Příprava politiky a její koordinace (má 5 oddělení a několik menších útvarů)</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(R) Zdroje (má 5 oddělení a několik menších útvarů)</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(J) Centrum pro podporu (5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Sekce Inovace a Evropský výzkumný prostor (ERA) má dvě ředitelství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(B) Inovační unie a ERA (7 oddělení a několik menších útvarů)</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(C) Mezinárodní spolupráce (4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Sekce výzkumné programy má pět ředitelství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(D) Klíčové technologie – Key Enabling Technologie (5 oddělení)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(E) Zdraví (6 oddělení)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(G) Energie (6 oddělení)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(H) Transport (4 oddělení)</w:t>
      </w:r>
    </w:p>
    <w:p w:rsidR="005A63D9" w:rsidRPr="001F3427" w:rsidRDefault="005A63D9" w:rsidP="001F3427">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(I) Klima a efektivnost zdrojů (5 oddělení: Strategie; Eko-inovace; Udržitelný management přírodních zdrojů; Klima a</w:t>
      </w:r>
      <w:r>
        <w:rPr>
          <w:color w:val="000000"/>
          <w:shd w:val="clear" w:color="auto" w:fill="FFFFFF"/>
          <w:lang w:eastAsia="cs-CZ"/>
        </w:rPr>
        <w:t xml:space="preserve"> sledování Země; Administrace a </w:t>
      </w:r>
      <w:r w:rsidRPr="001F3427">
        <w:rPr>
          <w:color w:val="000000"/>
          <w:shd w:val="clear" w:color="auto" w:fill="FFFFFF"/>
          <w:lang w:eastAsia="cs-CZ"/>
        </w:rPr>
        <w:t>finance a několik menších útvarů</w:t>
      </w:r>
    </w:p>
    <w:p w:rsidR="005A63D9" w:rsidRPr="001F3427" w:rsidRDefault="005A63D9" w:rsidP="001F3427">
      <w:pPr>
        <w:widowControl w:val="0"/>
        <w:adjustRightInd w:val="0"/>
        <w:spacing w:afterLines="0"/>
        <w:contextualSpacing w:val="0"/>
        <w:jc w:val="both"/>
        <w:textAlignment w:val="baseline"/>
        <w:rPr>
          <w:color w:val="000000"/>
          <w:u w:val="single"/>
          <w:shd w:val="clear" w:color="auto" w:fill="FFFFFF"/>
          <w:lang w:eastAsia="cs-CZ"/>
        </w:rPr>
      </w:pPr>
      <w:r w:rsidRPr="001F3427">
        <w:rPr>
          <w:color w:val="000000"/>
          <w:u w:val="single"/>
          <w:shd w:val="clear" w:color="auto" w:fill="FFFFFF"/>
          <w:lang w:eastAsia="cs-CZ"/>
        </w:rPr>
        <w:t>Generální ředitelství Životní prostředí</w:t>
      </w:r>
      <w:r w:rsidRPr="001F3427">
        <w:rPr>
          <w:color w:val="000000"/>
          <w:shd w:val="clear" w:color="auto" w:fill="FFFFFF"/>
          <w:lang w:eastAsia="cs-CZ"/>
        </w:rPr>
        <w:t xml:space="preserve"> (http://ec.europa.eu/envioronment). Toto GŘ má jednoho zástupce generálního ředitele a 6 ředitelství: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(A) Green Economy má tři oddělení: Eko-inovace; Ekonomika s uzavřenými oběhy; Management odpadů a recyklování; Chemikálie</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(B) Přírodní bohatství má tři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(C) Kvalita života, vody a ovzduší má 4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(D) Implementace, řízení a podávání zpráv (reporting) má 4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(E) Globální a regionální výzvy má 4 oddělení</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shd w:val="clear" w:color="auto" w:fill="FFFFFF"/>
          <w:lang w:eastAsia="cs-CZ"/>
        </w:rPr>
        <w:t>(F) Strategie má 3 oddělení: Efektivnost zdrojů a ekonomické analýzy; Strategie, koordinace a komunikace; Poznatky, rizika a rozvoj měst</w:t>
      </w:r>
    </w:p>
    <w:p w:rsidR="005A63D9" w:rsidRPr="001F3427" w:rsidRDefault="005A63D9" w:rsidP="001F3427">
      <w:pPr>
        <w:widowControl w:val="0"/>
        <w:adjustRightInd w:val="0"/>
        <w:spacing w:afterLines="0"/>
        <w:contextualSpacing w:val="0"/>
        <w:jc w:val="both"/>
        <w:textAlignment w:val="baseline"/>
        <w:rPr>
          <w:color w:val="000000"/>
          <w:shd w:val="clear" w:color="auto" w:fill="FFFFFF"/>
          <w:lang w:eastAsia="cs-CZ"/>
        </w:rPr>
      </w:pPr>
      <w:r w:rsidRPr="001F3427">
        <w:rPr>
          <w:color w:val="000000"/>
          <w:shd w:val="clear" w:color="auto" w:fill="FFFFFF"/>
          <w:lang w:eastAsia="cs-CZ"/>
        </w:rPr>
        <w:t>GŘ Životní prostředí nemá žádný útvar pro VaV.</w:t>
      </w:r>
    </w:p>
    <w:p w:rsidR="005A63D9" w:rsidRDefault="005A63D9" w:rsidP="0008405A">
      <w:pPr>
        <w:spacing w:after="144"/>
        <w:jc w:val="both"/>
      </w:pPr>
    </w:p>
    <w:p w:rsidR="005A63D9" w:rsidRPr="001F3427" w:rsidRDefault="005A63D9" w:rsidP="001F3427">
      <w:pPr>
        <w:pStyle w:val="Heading3"/>
        <w:keepNext/>
        <w:spacing w:before="240" w:afterLines="0" w:line="240" w:lineRule="auto"/>
        <w:contextualSpacing w:val="0"/>
        <w:rPr>
          <w:bCs/>
          <w:shd w:val="clear" w:color="auto" w:fill="FFFFFF"/>
          <w:lang/>
        </w:rPr>
      </w:pPr>
      <w:bookmarkStart w:id="177" w:name="_Toc440897446"/>
      <w:bookmarkStart w:id="178" w:name="_Toc441760848"/>
      <w:bookmarkStart w:id="179" w:name="_Toc441849511"/>
      <w:r w:rsidRPr="001F3427">
        <w:rPr>
          <w:bCs/>
          <w:shd w:val="clear" w:color="auto" w:fill="FFFFFF"/>
          <w:lang/>
        </w:rPr>
        <w:t>Evropská rada pro výzkum</w:t>
      </w:r>
      <w:bookmarkEnd w:id="177"/>
      <w:bookmarkEnd w:id="178"/>
      <w:bookmarkEnd w:id="179"/>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Evropská rada pro výzkum (European Research Council – http://erc.europa.eu) je orgánem EU pro kompetitivní podporu především základního výzkumu. Vzhledem k zaměření Rady jsou v tomto dokumentu uvedeny jen základní informace. Základními útvary ERC jsou:</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Vědecká rada</w:t>
      </w:r>
      <w:r w:rsidRPr="001F3427">
        <w:rPr>
          <w:color w:val="000000"/>
          <w:shd w:val="clear" w:color="auto" w:fill="FFFFFF"/>
          <w:lang w:eastAsia="cs-CZ"/>
        </w:rPr>
        <w:t xml:space="preserve"> je složena z 22 špičkových vědeckých pracovníků. Členy Rady jmenuje Evropská komise na základě doručení Výboru pro jmenování (identification Committee)</w:t>
      </w:r>
      <w:r w:rsidRPr="001F3427">
        <w:rPr>
          <w:color w:val="000000"/>
          <w:shd w:val="clear" w:color="auto" w:fill="FFFFFF"/>
          <w:vertAlign w:val="superscript"/>
          <w:lang w:eastAsia="cs-CZ"/>
        </w:rPr>
        <w:footnoteReference w:id="34"/>
      </w:r>
      <w:r w:rsidRPr="001F3427">
        <w:rPr>
          <w:color w:val="000000"/>
          <w:shd w:val="clear" w:color="auto" w:fill="FFFFFF"/>
          <w:lang w:eastAsia="cs-CZ"/>
        </w:rPr>
        <w:t>. Radu řídí předsednictvo složené z předsedy a tří místopředsedů. Rada stanovuje strategii a metodiku podpory hraničního výzkumu (špičkového badatelského výzkumu). Vědecká rada v souladu se svým jednacím řádem</w:t>
      </w:r>
      <w:r w:rsidRPr="00AA539A">
        <w:rPr>
          <w:color w:val="000000"/>
          <w:shd w:val="clear" w:color="auto" w:fill="FFFFFF"/>
          <w:vertAlign w:val="superscript"/>
          <w:lang w:eastAsia="cs-CZ"/>
        </w:rPr>
        <w:footnoteReference w:id="35"/>
      </w:r>
      <w:r w:rsidRPr="001F3427">
        <w:rPr>
          <w:color w:val="000000"/>
          <w:shd w:val="clear" w:color="auto" w:fill="FFFFFF"/>
          <w:lang w:eastAsia="cs-CZ"/>
        </w:rPr>
        <w:t xml:space="preserve"> zřizuje Stále výbory a Pracovní skupiny. Členem Vědecké rady je i T. Jungwirth z Fyzikálního ústavu AV ČR.</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Agentura ERC</w:t>
      </w:r>
      <w:r w:rsidRPr="001F3427">
        <w:rPr>
          <w:color w:val="000000"/>
          <w:shd w:val="clear" w:color="auto" w:fill="FFFFFF"/>
          <w:lang w:eastAsia="cs-CZ"/>
        </w:rPr>
        <w:t xml:space="preserve"> (Executive Agency) je v souladu s právními předpisy pro veškeré agentury EU řízena ředitelem a řídícím výborem. Ředitele i Řídící výbor jmenuje Komise. Agentura zajišťuje realizaci strategie ERC, odpovídá za procesy hodnocení návrhů projektů a zajišťuje veškeré finanční operace. Má cca 400 pracovníků. Podle ročenky ERC 2014 z března 2015 měla Agentura </w:t>
      </w:r>
      <w:r>
        <w:rPr>
          <w:color w:val="000000"/>
          <w:shd w:val="clear" w:color="auto" w:fill="FFFFFF"/>
          <w:lang w:eastAsia="cs-CZ"/>
        </w:rPr>
        <w:t>v roce 2014 388 pracovníků z 27 </w:t>
      </w:r>
      <w:r w:rsidRPr="001F3427">
        <w:rPr>
          <w:color w:val="000000"/>
          <w:shd w:val="clear" w:color="auto" w:fill="FFFFFF"/>
          <w:lang w:eastAsia="cs-CZ"/>
        </w:rPr>
        <w:t>evropských zemí 98 z Belgie, 54 z Itálie, (žádný z Česka). Podíl žen činil v roce 2014 36 %.</w:t>
      </w:r>
    </w:p>
    <w:p w:rsidR="005A63D9" w:rsidRPr="001F3427" w:rsidRDefault="005A63D9" w:rsidP="001F342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1F3427">
        <w:rPr>
          <w:color w:val="000000"/>
          <w:u w:val="single"/>
          <w:shd w:val="clear" w:color="auto" w:fill="FFFFFF"/>
          <w:lang w:eastAsia="cs-CZ"/>
        </w:rPr>
        <w:t xml:space="preserve">Řídící výbor Agentury ERC </w:t>
      </w:r>
      <w:r w:rsidRPr="001F3427">
        <w:rPr>
          <w:color w:val="000000"/>
          <w:shd w:val="clear" w:color="auto" w:fill="FFFFFF"/>
          <w:lang w:eastAsia="cs-CZ"/>
        </w:rPr>
        <w:t>– dohlíží na její provoz, schvaluje její roční pracovní programy, správní rozpočty a výroční zprávy. Členy řídícího výboru (Steering Committee) jmenuje Evropská komise na dobu dvou let. Funkční období lze jednou opakovat. Řídící výbor má 5 členů.</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V 7. Rámcovém programu ERC zabezpečovala specifický program I. Myšlenky (Ideje). V programu Horizont 2020 ERC zabezpečuje jednu oblast z části I. Vynikající věda.</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p>
    <w:p w:rsidR="005A63D9" w:rsidRPr="001F3427" w:rsidRDefault="005A63D9" w:rsidP="001F3427">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80" w:name="_Toc440897447"/>
      <w:bookmarkStart w:id="181" w:name="_Toc441760849"/>
      <w:bookmarkStart w:id="182" w:name="_Toc441849512"/>
      <w:r>
        <w:rPr>
          <w:rFonts w:cs="Arial"/>
          <w:bCs/>
          <w:iCs/>
          <w:color w:val="000000"/>
          <w:shd w:val="clear" w:color="auto" w:fill="FFFFFF"/>
          <w:lang/>
        </w:rPr>
        <w:t xml:space="preserve">6.2. </w:t>
      </w:r>
      <w:r w:rsidRPr="001F3427">
        <w:rPr>
          <w:rFonts w:cs="Arial"/>
          <w:bCs/>
          <w:iCs/>
          <w:color w:val="000000"/>
          <w:shd w:val="clear" w:color="auto" w:fill="FFFFFF"/>
          <w:lang/>
        </w:rPr>
        <w:t>Nástroje podpory VaV</w:t>
      </w:r>
      <w:bookmarkEnd w:id="180"/>
      <w:bookmarkEnd w:id="181"/>
      <w:bookmarkEnd w:id="182"/>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Jak již bylo uvedeno, hlavním nástrojem podpory VaVaI jsou rámcové programy. Rámcové programy zpravidla bývají členěny na programy specifické (zvláštní, dílčí). Základní charakteristiky specifických programů jsou uváděny v rozhodnutích Evropského parlamentu a Rady o programech jako celcích. Podrobnosti o specifických programech jsou uváděny v rozhodnutích Rady, která jsou rovněž zveřejňována v Úředním věstníku EU.</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r w:rsidRPr="001F3427">
        <w:rPr>
          <w:color w:val="000000"/>
          <w:shd w:val="clear" w:color="auto" w:fill="FFFFFF"/>
          <w:lang w:eastAsia="cs-CZ"/>
        </w:rPr>
        <w:t>7. RP měl pět specifických (zvláštních, dílčích) programů. V Tab. č. 35 jsou specifické programy uvedeny spolu s náklady na jejich podporu.</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p>
    <w:p w:rsidR="005A63D9" w:rsidRPr="001F3427" w:rsidRDefault="005A63D9" w:rsidP="001F3427">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35</w:t>
      </w:r>
      <w:r w:rsidRPr="001F3427">
        <w:rPr>
          <w:b/>
          <w:color w:val="000000"/>
          <w:shd w:val="clear" w:color="auto" w:fill="FFFFFF"/>
          <w:lang w:eastAsia="cs-CZ"/>
        </w:rPr>
        <w:t xml:space="preserve"> </w:t>
      </w:r>
      <w:r w:rsidRPr="001F3427">
        <w:rPr>
          <w:color w:val="000000"/>
          <w:shd w:val="clear" w:color="auto" w:fill="FFFFFF"/>
          <w:lang w:eastAsia="cs-CZ"/>
        </w:rPr>
        <w:t>Specifické programy 7. RP a náklady na jejich podporu (mil. 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1"/>
        <w:gridCol w:w="3096"/>
      </w:tblGrid>
      <w:tr w:rsidR="005A63D9" w:rsidRPr="00E27ED8" w:rsidTr="00E27ED8">
        <w:tc>
          <w:tcPr>
            <w:tcW w:w="3333" w:type="pct"/>
            <w:tcBorders>
              <w:top w:val="single" w:sz="12" w:space="0" w:color="auto"/>
              <w:left w:val="single" w:sz="12" w:space="0" w:color="auto"/>
              <w:bottom w:val="double" w:sz="4" w:space="0" w:color="auto"/>
              <w:right w:val="single" w:sz="12" w:space="0" w:color="auto"/>
            </w:tcBorders>
            <w:shd w:val="clear" w:color="auto" w:fill="BFBFBF"/>
            <w:vAlign w:val="center"/>
          </w:tcPr>
          <w:p w:rsidR="005A63D9" w:rsidRPr="00E27ED8" w:rsidRDefault="005A63D9" w:rsidP="00E27ED8">
            <w:pPr>
              <w:spacing w:after="144"/>
              <w:jc w:val="both"/>
              <w:rPr>
                <w:b/>
                <w:sz w:val="20"/>
                <w:szCs w:val="20"/>
              </w:rPr>
            </w:pPr>
            <w:r w:rsidRPr="00E27ED8">
              <w:rPr>
                <w:b/>
                <w:sz w:val="20"/>
                <w:szCs w:val="20"/>
              </w:rPr>
              <w:t>Specifický program</w:t>
            </w:r>
          </w:p>
        </w:tc>
        <w:tc>
          <w:tcPr>
            <w:tcW w:w="1667" w:type="pct"/>
            <w:tcBorders>
              <w:top w:val="single" w:sz="12" w:space="0" w:color="auto"/>
              <w:left w:val="single" w:sz="12" w:space="0" w:color="auto"/>
              <w:bottom w:val="double" w:sz="4" w:space="0" w:color="auto"/>
              <w:right w:val="single" w:sz="12" w:space="0" w:color="auto"/>
            </w:tcBorders>
            <w:shd w:val="clear" w:color="auto" w:fill="BFBFBF"/>
            <w:vAlign w:val="center"/>
          </w:tcPr>
          <w:p w:rsidR="005A63D9" w:rsidRPr="00E27ED8" w:rsidRDefault="005A63D9" w:rsidP="00E27ED8">
            <w:pPr>
              <w:spacing w:after="144"/>
              <w:jc w:val="center"/>
              <w:rPr>
                <w:b/>
                <w:sz w:val="20"/>
                <w:szCs w:val="20"/>
              </w:rPr>
            </w:pPr>
            <w:r w:rsidRPr="00E27ED8">
              <w:rPr>
                <w:b/>
                <w:sz w:val="20"/>
                <w:szCs w:val="20"/>
              </w:rPr>
              <w:t>Náklady</w:t>
            </w:r>
          </w:p>
          <w:p w:rsidR="005A63D9" w:rsidRPr="00E27ED8" w:rsidRDefault="005A63D9" w:rsidP="00E27ED8">
            <w:pPr>
              <w:spacing w:after="144"/>
              <w:jc w:val="center"/>
              <w:rPr>
                <w:b/>
                <w:sz w:val="20"/>
                <w:szCs w:val="20"/>
              </w:rPr>
            </w:pPr>
            <w:r w:rsidRPr="00E27ED8">
              <w:rPr>
                <w:b/>
                <w:sz w:val="20"/>
                <w:szCs w:val="20"/>
              </w:rPr>
              <w:t>(mil. €)</w:t>
            </w:r>
          </w:p>
        </w:tc>
      </w:tr>
      <w:tr w:rsidR="005A63D9" w:rsidRPr="00E27ED8" w:rsidTr="00E27ED8">
        <w:tc>
          <w:tcPr>
            <w:tcW w:w="3333" w:type="pct"/>
            <w:tcBorders>
              <w:top w:val="double" w:sz="4" w:space="0" w:color="auto"/>
              <w:left w:val="single" w:sz="12" w:space="0" w:color="auto"/>
              <w:right w:val="single" w:sz="12" w:space="0" w:color="auto"/>
            </w:tcBorders>
            <w:vAlign w:val="center"/>
          </w:tcPr>
          <w:p w:rsidR="005A63D9" w:rsidRPr="00E27ED8" w:rsidRDefault="005A63D9" w:rsidP="00E27ED8">
            <w:pPr>
              <w:spacing w:after="144"/>
              <w:jc w:val="both"/>
              <w:rPr>
                <w:sz w:val="20"/>
                <w:szCs w:val="20"/>
              </w:rPr>
            </w:pPr>
            <w:r w:rsidRPr="00E27ED8">
              <w:rPr>
                <w:sz w:val="20"/>
                <w:szCs w:val="20"/>
              </w:rPr>
              <w:t>Spolupráce</w:t>
            </w:r>
          </w:p>
        </w:tc>
        <w:tc>
          <w:tcPr>
            <w:tcW w:w="1667" w:type="pct"/>
            <w:tcBorders>
              <w:top w:val="double" w:sz="4" w:space="0" w:color="auto"/>
              <w:left w:val="single" w:sz="12" w:space="0" w:color="auto"/>
              <w:right w:val="single" w:sz="12" w:space="0" w:color="auto"/>
            </w:tcBorders>
            <w:vAlign w:val="center"/>
          </w:tcPr>
          <w:p w:rsidR="005A63D9" w:rsidRPr="00E27ED8" w:rsidRDefault="005A63D9" w:rsidP="00E27ED8">
            <w:pPr>
              <w:spacing w:after="144"/>
              <w:jc w:val="center"/>
              <w:rPr>
                <w:sz w:val="20"/>
                <w:szCs w:val="20"/>
              </w:rPr>
            </w:pPr>
            <w:r w:rsidRPr="00E27ED8">
              <w:rPr>
                <w:sz w:val="20"/>
                <w:szCs w:val="20"/>
              </w:rPr>
              <w:t>32 413</w:t>
            </w:r>
          </w:p>
        </w:tc>
      </w:tr>
      <w:tr w:rsidR="005A63D9" w:rsidRPr="00E27ED8" w:rsidTr="00E27ED8">
        <w:tc>
          <w:tcPr>
            <w:tcW w:w="3333" w:type="pct"/>
            <w:tcBorders>
              <w:left w:val="single" w:sz="12" w:space="0" w:color="auto"/>
              <w:right w:val="single" w:sz="12" w:space="0" w:color="auto"/>
            </w:tcBorders>
            <w:vAlign w:val="center"/>
          </w:tcPr>
          <w:p w:rsidR="005A63D9" w:rsidRPr="00E27ED8" w:rsidRDefault="005A63D9" w:rsidP="00E27ED8">
            <w:pPr>
              <w:spacing w:after="144"/>
              <w:jc w:val="both"/>
              <w:rPr>
                <w:sz w:val="20"/>
                <w:szCs w:val="20"/>
              </w:rPr>
            </w:pPr>
            <w:r w:rsidRPr="00E27ED8">
              <w:rPr>
                <w:sz w:val="20"/>
                <w:szCs w:val="20"/>
              </w:rPr>
              <w:t>Myšlenky (Ideje)</w:t>
            </w:r>
          </w:p>
        </w:tc>
        <w:tc>
          <w:tcPr>
            <w:tcW w:w="1667" w:type="pct"/>
            <w:tcBorders>
              <w:left w:val="single" w:sz="12" w:space="0" w:color="auto"/>
              <w:right w:val="single" w:sz="12" w:space="0" w:color="auto"/>
            </w:tcBorders>
            <w:vAlign w:val="center"/>
          </w:tcPr>
          <w:p w:rsidR="005A63D9" w:rsidRPr="00E27ED8" w:rsidRDefault="005A63D9" w:rsidP="00E27ED8">
            <w:pPr>
              <w:spacing w:after="144"/>
              <w:jc w:val="center"/>
              <w:rPr>
                <w:sz w:val="20"/>
                <w:szCs w:val="20"/>
              </w:rPr>
            </w:pPr>
            <w:r w:rsidRPr="00E27ED8">
              <w:rPr>
                <w:sz w:val="20"/>
                <w:szCs w:val="20"/>
              </w:rPr>
              <w:t>7 510</w:t>
            </w:r>
          </w:p>
        </w:tc>
      </w:tr>
      <w:tr w:rsidR="005A63D9" w:rsidRPr="00E27ED8" w:rsidTr="00E27ED8">
        <w:tc>
          <w:tcPr>
            <w:tcW w:w="3333" w:type="pct"/>
            <w:tcBorders>
              <w:left w:val="single" w:sz="12" w:space="0" w:color="auto"/>
              <w:right w:val="single" w:sz="12" w:space="0" w:color="auto"/>
            </w:tcBorders>
            <w:vAlign w:val="center"/>
          </w:tcPr>
          <w:p w:rsidR="005A63D9" w:rsidRPr="00E27ED8" w:rsidRDefault="005A63D9" w:rsidP="00E27ED8">
            <w:pPr>
              <w:spacing w:after="144"/>
              <w:jc w:val="both"/>
              <w:rPr>
                <w:sz w:val="20"/>
                <w:szCs w:val="20"/>
              </w:rPr>
            </w:pPr>
            <w:r w:rsidRPr="00E27ED8">
              <w:rPr>
                <w:sz w:val="20"/>
                <w:szCs w:val="20"/>
              </w:rPr>
              <w:t>Lidé</w:t>
            </w:r>
          </w:p>
        </w:tc>
        <w:tc>
          <w:tcPr>
            <w:tcW w:w="1667" w:type="pct"/>
            <w:tcBorders>
              <w:left w:val="single" w:sz="12" w:space="0" w:color="auto"/>
              <w:right w:val="single" w:sz="12" w:space="0" w:color="auto"/>
            </w:tcBorders>
            <w:vAlign w:val="center"/>
          </w:tcPr>
          <w:p w:rsidR="005A63D9" w:rsidRPr="00E27ED8" w:rsidRDefault="005A63D9" w:rsidP="00E27ED8">
            <w:pPr>
              <w:spacing w:after="144"/>
              <w:jc w:val="center"/>
              <w:rPr>
                <w:sz w:val="20"/>
                <w:szCs w:val="20"/>
              </w:rPr>
            </w:pPr>
            <w:r w:rsidRPr="00E27ED8">
              <w:rPr>
                <w:sz w:val="20"/>
                <w:szCs w:val="20"/>
              </w:rPr>
              <w:t>4 750</w:t>
            </w:r>
          </w:p>
        </w:tc>
      </w:tr>
      <w:tr w:rsidR="005A63D9" w:rsidRPr="00E27ED8" w:rsidTr="00E27ED8">
        <w:tc>
          <w:tcPr>
            <w:tcW w:w="3333" w:type="pct"/>
            <w:tcBorders>
              <w:left w:val="single" w:sz="12" w:space="0" w:color="auto"/>
              <w:right w:val="single" w:sz="12" w:space="0" w:color="auto"/>
            </w:tcBorders>
            <w:vAlign w:val="center"/>
          </w:tcPr>
          <w:p w:rsidR="005A63D9" w:rsidRPr="00E27ED8" w:rsidRDefault="005A63D9" w:rsidP="00E27ED8">
            <w:pPr>
              <w:spacing w:after="144"/>
              <w:jc w:val="both"/>
              <w:rPr>
                <w:sz w:val="20"/>
                <w:szCs w:val="20"/>
              </w:rPr>
            </w:pPr>
            <w:r w:rsidRPr="00E27ED8">
              <w:rPr>
                <w:sz w:val="20"/>
                <w:szCs w:val="20"/>
              </w:rPr>
              <w:t>Kapacity</w:t>
            </w:r>
          </w:p>
        </w:tc>
        <w:tc>
          <w:tcPr>
            <w:tcW w:w="1667" w:type="pct"/>
            <w:tcBorders>
              <w:left w:val="single" w:sz="12" w:space="0" w:color="auto"/>
              <w:right w:val="single" w:sz="12" w:space="0" w:color="auto"/>
            </w:tcBorders>
            <w:vAlign w:val="center"/>
          </w:tcPr>
          <w:p w:rsidR="005A63D9" w:rsidRPr="00E27ED8" w:rsidRDefault="005A63D9" w:rsidP="00E27ED8">
            <w:pPr>
              <w:spacing w:after="144"/>
              <w:jc w:val="center"/>
              <w:rPr>
                <w:sz w:val="20"/>
                <w:szCs w:val="20"/>
              </w:rPr>
            </w:pPr>
            <w:r w:rsidRPr="00E27ED8">
              <w:rPr>
                <w:sz w:val="20"/>
                <w:szCs w:val="20"/>
              </w:rPr>
              <w:t>4 097</w:t>
            </w:r>
          </w:p>
        </w:tc>
      </w:tr>
      <w:tr w:rsidR="005A63D9" w:rsidRPr="00E27ED8" w:rsidTr="00E27ED8">
        <w:tc>
          <w:tcPr>
            <w:tcW w:w="3333" w:type="pct"/>
            <w:tcBorders>
              <w:left w:val="single" w:sz="12" w:space="0" w:color="auto"/>
              <w:bottom w:val="double" w:sz="4" w:space="0" w:color="auto"/>
              <w:right w:val="single" w:sz="12" w:space="0" w:color="auto"/>
            </w:tcBorders>
            <w:vAlign w:val="center"/>
          </w:tcPr>
          <w:p w:rsidR="005A63D9" w:rsidRPr="00E27ED8" w:rsidRDefault="005A63D9" w:rsidP="00E27ED8">
            <w:pPr>
              <w:spacing w:after="144"/>
              <w:jc w:val="both"/>
              <w:rPr>
                <w:sz w:val="20"/>
                <w:szCs w:val="20"/>
              </w:rPr>
            </w:pPr>
            <w:r w:rsidRPr="00E27ED8">
              <w:rPr>
                <w:sz w:val="20"/>
                <w:szCs w:val="20"/>
              </w:rPr>
              <w:t>Společné výzkumné centrum (JRC) – nejaderné aktivity</w:t>
            </w:r>
          </w:p>
        </w:tc>
        <w:tc>
          <w:tcPr>
            <w:tcW w:w="1667" w:type="pct"/>
            <w:tcBorders>
              <w:left w:val="single" w:sz="12" w:space="0" w:color="auto"/>
              <w:bottom w:val="double" w:sz="4" w:space="0" w:color="auto"/>
              <w:right w:val="single" w:sz="12" w:space="0" w:color="auto"/>
            </w:tcBorders>
            <w:vAlign w:val="center"/>
          </w:tcPr>
          <w:p w:rsidR="005A63D9" w:rsidRPr="00E27ED8" w:rsidRDefault="005A63D9" w:rsidP="00E27ED8">
            <w:pPr>
              <w:spacing w:after="144"/>
              <w:jc w:val="center"/>
              <w:rPr>
                <w:sz w:val="20"/>
                <w:szCs w:val="20"/>
              </w:rPr>
            </w:pPr>
            <w:r w:rsidRPr="00E27ED8">
              <w:rPr>
                <w:sz w:val="20"/>
                <w:szCs w:val="20"/>
              </w:rPr>
              <w:t>1 751</w:t>
            </w:r>
          </w:p>
        </w:tc>
      </w:tr>
      <w:tr w:rsidR="005A63D9" w:rsidRPr="00E27ED8" w:rsidTr="00E27ED8">
        <w:tc>
          <w:tcPr>
            <w:tcW w:w="3333" w:type="pct"/>
            <w:tcBorders>
              <w:top w:val="double" w:sz="4" w:space="0" w:color="auto"/>
              <w:left w:val="single" w:sz="12" w:space="0" w:color="auto"/>
              <w:bottom w:val="single" w:sz="12" w:space="0" w:color="auto"/>
              <w:right w:val="single" w:sz="12" w:space="0" w:color="auto"/>
            </w:tcBorders>
            <w:vAlign w:val="center"/>
          </w:tcPr>
          <w:p w:rsidR="005A63D9" w:rsidRPr="00E27ED8" w:rsidRDefault="005A63D9" w:rsidP="00E27ED8">
            <w:pPr>
              <w:spacing w:after="144"/>
              <w:jc w:val="both"/>
              <w:rPr>
                <w:b/>
                <w:sz w:val="20"/>
                <w:szCs w:val="20"/>
              </w:rPr>
            </w:pPr>
            <w:r w:rsidRPr="00E27ED8">
              <w:rPr>
                <w:b/>
                <w:sz w:val="20"/>
                <w:szCs w:val="20"/>
              </w:rPr>
              <w:t>CELKEM</w:t>
            </w:r>
          </w:p>
        </w:tc>
        <w:tc>
          <w:tcPr>
            <w:tcW w:w="1667" w:type="pct"/>
            <w:tcBorders>
              <w:top w:val="double" w:sz="4" w:space="0" w:color="auto"/>
              <w:left w:val="single" w:sz="12" w:space="0" w:color="auto"/>
              <w:bottom w:val="single" w:sz="12" w:space="0" w:color="auto"/>
              <w:right w:val="single" w:sz="12" w:space="0" w:color="auto"/>
            </w:tcBorders>
            <w:vAlign w:val="center"/>
          </w:tcPr>
          <w:p w:rsidR="005A63D9" w:rsidRPr="00E27ED8" w:rsidRDefault="005A63D9" w:rsidP="00E27ED8">
            <w:pPr>
              <w:spacing w:after="144"/>
              <w:jc w:val="center"/>
              <w:rPr>
                <w:b/>
                <w:sz w:val="20"/>
                <w:szCs w:val="20"/>
              </w:rPr>
            </w:pPr>
            <w:r w:rsidRPr="00E27ED8">
              <w:rPr>
                <w:b/>
                <w:sz w:val="20"/>
                <w:szCs w:val="20"/>
              </w:rPr>
              <w:t>50 521</w:t>
            </w:r>
          </w:p>
        </w:tc>
      </w:tr>
    </w:tbl>
    <w:p w:rsidR="005A63D9" w:rsidRPr="002D69B6" w:rsidRDefault="005A63D9" w:rsidP="0008405A">
      <w:pPr>
        <w:spacing w:before="60" w:after="144"/>
        <w:jc w:val="both"/>
        <w:rPr>
          <w:i/>
          <w:sz w:val="18"/>
          <w:szCs w:val="18"/>
        </w:rPr>
      </w:pPr>
      <w:r w:rsidRPr="002D69B6">
        <w:rPr>
          <w:i/>
          <w:sz w:val="18"/>
          <w:szCs w:val="18"/>
        </w:rPr>
        <w:t>Zdroj: Příručka o 7. RP; http://ec.europa.eu/research/fp7</w:t>
      </w:r>
    </w:p>
    <w:p w:rsidR="005A63D9" w:rsidRPr="001F3427" w:rsidRDefault="005A63D9" w:rsidP="001F3427">
      <w:pPr>
        <w:widowControl w:val="0"/>
        <w:adjustRightInd w:val="0"/>
        <w:spacing w:afterLines="0"/>
        <w:ind w:firstLine="539"/>
        <w:contextualSpacing w:val="0"/>
        <w:jc w:val="both"/>
        <w:textAlignment w:val="baseline"/>
        <w:rPr>
          <w:color w:val="000000"/>
          <w:shd w:val="clear" w:color="auto" w:fill="FFFFFF"/>
          <w:lang w:eastAsia="cs-CZ"/>
        </w:rPr>
      </w:pPr>
    </w:p>
    <w:p w:rsidR="005A63D9" w:rsidRPr="00991DD7" w:rsidRDefault="005A63D9" w:rsidP="00991DD7">
      <w:pPr>
        <w:pStyle w:val="Heading3"/>
        <w:keepNext/>
        <w:spacing w:before="240" w:afterLines="0" w:line="240" w:lineRule="auto"/>
        <w:contextualSpacing w:val="0"/>
        <w:rPr>
          <w:bCs/>
          <w:shd w:val="clear" w:color="auto" w:fill="FFFFFF"/>
          <w:lang/>
        </w:rPr>
      </w:pPr>
      <w:bookmarkStart w:id="183" w:name="_Toc440897448"/>
      <w:bookmarkStart w:id="184" w:name="_Toc441760850"/>
      <w:bookmarkStart w:id="185" w:name="_Toc441849513"/>
      <w:r w:rsidRPr="00991DD7">
        <w:rPr>
          <w:bCs/>
          <w:shd w:val="clear" w:color="auto" w:fill="FFFFFF"/>
          <w:lang/>
        </w:rPr>
        <w:t>Program Horizont 2020</w:t>
      </w:r>
      <w:bookmarkEnd w:id="183"/>
      <w:bookmarkEnd w:id="184"/>
      <w:bookmarkEnd w:id="185"/>
      <w:r w:rsidRPr="00991DD7">
        <w:rPr>
          <w:bCs/>
          <w:shd w:val="clear" w:color="auto" w:fill="FFFFFF"/>
          <w:lang/>
        </w:rPr>
        <w:t xml:space="preserve"> </w:t>
      </w:r>
    </w:p>
    <w:p w:rsidR="005A63D9" w:rsidRPr="00991DD7" w:rsidRDefault="005A63D9" w:rsidP="00991DD7">
      <w:pPr>
        <w:widowControl w:val="0"/>
        <w:adjustRightInd w:val="0"/>
        <w:spacing w:afterLines="0"/>
        <w:ind w:firstLine="539"/>
        <w:contextualSpacing w:val="0"/>
        <w:jc w:val="both"/>
        <w:textAlignment w:val="baseline"/>
        <w:rPr>
          <w:color w:val="000000"/>
          <w:shd w:val="clear" w:color="auto" w:fill="FFFFFF"/>
          <w:lang w:eastAsia="cs-CZ"/>
        </w:rPr>
      </w:pPr>
      <w:r w:rsidRPr="00991DD7">
        <w:rPr>
          <w:color w:val="000000"/>
          <w:shd w:val="clear" w:color="auto" w:fill="FFFFFF"/>
          <w:lang w:eastAsia="cs-CZ"/>
        </w:rPr>
        <w:t>Program Horizont 2020 je novou složitou strukturou, která spojuje všechny dosavadní finanční prostředky EU na výzkum a inovace (VaI). V některých dokumentech EU, především o rozpočtu EU na období 2014–2020 bývá program Horizont 2020 označován jako Společný strategický rámec pro výzkum a inovace. Do program</w:t>
      </w:r>
      <w:r>
        <w:rPr>
          <w:color w:val="000000"/>
          <w:shd w:val="clear" w:color="auto" w:fill="FFFFFF"/>
          <w:lang w:eastAsia="cs-CZ"/>
        </w:rPr>
        <w:t>u Horizont 2020 jsou zařazeny i </w:t>
      </w:r>
      <w:r w:rsidRPr="00991DD7">
        <w:rPr>
          <w:color w:val="000000"/>
          <w:shd w:val="clear" w:color="auto" w:fill="FFFFFF"/>
          <w:lang w:eastAsia="cs-CZ"/>
        </w:rPr>
        <w:t xml:space="preserve">všechny aktivity navazující na aktivity podporující </w:t>
      </w:r>
      <w:r>
        <w:rPr>
          <w:color w:val="000000"/>
          <w:shd w:val="clear" w:color="auto" w:fill="FFFFFF"/>
          <w:lang w:eastAsia="cs-CZ"/>
        </w:rPr>
        <w:t>výzkum a inovace</w:t>
      </w:r>
      <w:r w:rsidRPr="00991DD7">
        <w:rPr>
          <w:color w:val="000000"/>
          <w:shd w:val="clear" w:color="auto" w:fill="FFFFFF"/>
          <w:lang w:eastAsia="cs-CZ"/>
        </w:rPr>
        <w:t xml:space="preserve"> ve stávajícím programu“ Konkurenceschopnost a inovace (CIP)“. Do programu Horizont 2020 jsou začleněny i všechny budoucí aktivity Evropského inovačního a technologického institutu (EIT) a nejaderné aktivity Společného výzkumného centra EU (Joint Research Center – JRC). Součástí programu Horizont 2020 je i výzkum v jaderné oblasti v rámci programu Euratomu. Program Horizont 2020 má následující cíle:</w:t>
      </w:r>
    </w:p>
    <w:p w:rsidR="005A63D9" w:rsidRPr="00991DD7" w:rsidRDefault="005A63D9" w:rsidP="00991DD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91DD7">
        <w:rPr>
          <w:color w:val="000000"/>
          <w:shd w:val="clear" w:color="auto" w:fill="FFFFFF"/>
          <w:lang w:eastAsia="cs-CZ"/>
        </w:rPr>
        <w:t>Posílení špičkového výzkumu v EU (24,4 mld. €, včetně 13 mld. €) pro Evropskou radu pro výzkum – ERC);</w:t>
      </w:r>
    </w:p>
    <w:p w:rsidR="005A63D9" w:rsidRPr="00991DD7" w:rsidRDefault="005A63D9" w:rsidP="00991DD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91DD7">
        <w:rPr>
          <w:color w:val="000000"/>
          <w:shd w:val="clear" w:color="auto" w:fill="FFFFFF"/>
          <w:lang w:eastAsia="cs-CZ"/>
        </w:rPr>
        <w:t>Podpora průmyslových inovací (17 mld. €), včetně investic do klíčových technologií, snazšího přístupu ke kapitálu a podpory malých a středních podniků);</w:t>
      </w:r>
    </w:p>
    <w:p w:rsidR="005A63D9" w:rsidRPr="00991DD7" w:rsidRDefault="005A63D9" w:rsidP="00991DD7">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991DD7">
        <w:rPr>
          <w:color w:val="000000"/>
          <w:shd w:val="clear" w:color="auto" w:fill="FFFFFF"/>
          <w:lang w:eastAsia="cs-CZ"/>
        </w:rPr>
        <w:t>Zvládnutí velkých společenských výzev (24,4 mld. €), jakými jsou změny klimatu, udržitelné dopravní systémy, obnovitelné zdroje</w:t>
      </w:r>
      <w:r>
        <w:rPr>
          <w:color w:val="000000"/>
          <w:shd w:val="clear" w:color="auto" w:fill="FFFFFF"/>
          <w:lang w:eastAsia="cs-CZ"/>
        </w:rPr>
        <w:t xml:space="preserve"> energie, bezpečnost potravin a </w:t>
      </w:r>
      <w:r w:rsidRPr="00991DD7">
        <w:rPr>
          <w:color w:val="000000"/>
          <w:shd w:val="clear" w:color="auto" w:fill="FFFFFF"/>
          <w:lang w:eastAsia="cs-CZ"/>
        </w:rPr>
        <w:t>výživy a stárnutí obyvatelstva.</w:t>
      </w:r>
    </w:p>
    <w:p w:rsidR="005A63D9" w:rsidRPr="00991DD7" w:rsidRDefault="005A63D9" w:rsidP="00991DD7">
      <w:pPr>
        <w:widowControl w:val="0"/>
        <w:adjustRightInd w:val="0"/>
        <w:spacing w:afterLines="0"/>
        <w:ind w:firstLine="539"/>
        <w:contextualSpacing w:val="0"/>
        <w:jc w:val="both"/>
        <w:textAlignment w:val="baseline"/>
        <w:rPr>
          <w:color w:val="000000"/>
          <w:shd w:val="clear" w:color="auto" w:fill="FFFFFF"/>
          <w:lang w:eastAsia="cs-CZ"/>
        </w:rPr>
      </w:pPr>
      <w:r w:rsidRPr="00991DD7">
        <w:rPr>
          <w:color w:val="000000"/>
          <w:shd w:val="clear" w:color="auto" w:fill="FFFFFF"/>
          <w:lang w:eastAsia="cs-CZ"/>
        </w:rPr>
        <w:t>Výdaje na program Horizont 2020 mají v období 2014–2020 činit cca 80 mld. €. Dostatečnou představu o struktuře, prioritách, hlavních aktivitách programu Horizont 2020 a financování si lze učinit z tabulky na následující straně. Z tabulky vyplývá, že program Horizont 2020 má tři stěžejní části: Vynikající věda – v podstatě podpora základního výzkumu; Vedoucí postavení v průmyslu – podpora aplikovaného výzkumu a inovací se</w:t>
      </w:r>
      <w:r>
        <w:rPr>
          <w:color w:val="000000"/>
          <w:shd w:val="clear" w:color="auto" w:fill="FFFFFF"/>
          <w:lang w:eastAsia="cs-CZ"/>
        </w:rPr>
        <w:t> </w:t>
      </w:r>
      <w:r w:rsidRPr="00991DD7">
        <w:rPr>
          <w:color w:val="000000"/>
          <w:shd w:val="clear" w:color="auto" w:fill="FFFFFF"/>
          <w:lang w:eastAsia="cs-CZ"/>
        </w:rPr>
        <w:t>zaměřením na tržní produkty a služby; Společenské výzvy – řešení šesti velkých globálních problémů v oblastech veřejných statků (zdraví, životní prostředí, bezpečnost aj.) s relativně značnou účastí společenských věd.</w:t>
      </w:r>
      <w:r>
        <w:rPr>
          <w:color w:val="000000"/>
          <w:shd w:val="clear" w:color="auto" w:fill="FFFFFF"/>
          <w:lang w:eastAsia="cs-CZ"/>
        </w:rPr>
        <w:t xml:space="preserve"> </w:t>
      </w:r>
    </w:p>
    <w:p w:rsidR="005A63D9" w:rsidRDefault="005A63D9">
      <w:pPr>
        <w:spacing w:afterLines="0" w:line="259" w:lineRule="auto"/>
        <w:contextualSpacing w:val="0"/>
        <w:rPr>
          <w:rFonts w:cs="Calibri"/>
          <w:b/>
          <w:bCs/>
        </w:rPr>
      </w:pPr>
      <w:r>
        <w:rPr>
          <w:rFonts w:cs="Calibri"/>
          <w:b/>
          <w:bCs/>
        </w:rPr>
        <w:br w:type="page"/>
      </w:r>
    </w:p>
    <w:p w:rsidR="005A63D9" w:rsidRPr="00991DD7" w:rsidRDefault="005A63D9" w:rsidP="00991DD7">
      <w:pPr>
        <w:widowControl w:val="0"/>
        <w:adjustRightInd w:val="0"/>
        <w:spacing w:afterLines="0"/>
        <w:contextualSpacing w:val="0"/>
        <w:jc w:val="both"/>
        <w:textAlignment w:val="baseline"/>
        <w:rPr>
          <w:b/>
          <w:color w:val="000000"/>
          <w:shd w:val="clear" w:color="auto" w:fill="FFFFFF"/>
          <w:lang w:eastAsia="cs-CZ"/>
        </w:rPr>
      </w:pPr>
      <w:r w:rsidRPr="00991DD7">
        <w:rPr>
          <w:b/>
          <w:color w:val="000000"/>
          <w:shd w:val="clear" w:color="auto" w:fill="FFFFFF"/>
          <w:lang w:eastAsia="cs-CZ"/>
        </w:rPr>
        <w:t xml:space="preserve">Tab. č. 36 </w:t>
      </w:r>
      <w:r w:rsidRPr="00991DD7">
        <w:rPr>
          <w:color w:val="000000"/>
          <w:shd w:val="clear" w:color="auto" w:fill="FFFFFF"/>
          <w:lang w:eastAsia="cs-CZ"/>
        </w:rPr>
        <w:t>Rozdělení finančních prostředků pro program Horizont 2020 (mil. €, běžné ceny)</w:t>
      </w:r>
    </w:p>
    <w:tbl>
      <w:tblPr>
        <w:tblW w:w="5000" w:type="pct"/>
        <w:tblCellMar>
          <w:left w:w="10" w:type="dxa"/>
          <w:right w:w="10" w:type="dxa"/>
        </w:tblCellMar>
        <w:tblLook w:val="00A0"/>
      </w:tblPr>
      <w:tblGrid>
        <w:gridCol w:w="6623"/>
        <w:gridCol w:w="1332"/>
        <w:gridCol w:w="1332"/>
      </w:tblGrid>
      <w:tr w:rsidR="005A63D9" w:rsidRPr="00E27ED8" w:rsidTr="00E621E3">
        <w:tc>
          <w:tcPr>
            <w:tcW w:w="3565"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tcPr>
          <w:p w:rsidR="005A63D9" w:rsidRPr="00E27ED8" w:rsidRDefault="005A63D9" w:rsidP="0008405A">
            <w:pPr>
              <w:autoSpaceDE w:val="0"/>
              <w:spacing w:after="144"/>
              <w:jc w:val="both"/>
              <w:rPr>
                <w:rFonts w:cs="Calibri"/>
                <w:b/>
                <w:bCs/>
                <w:sz w:val="18"/>
                <w:szCs w:val="18"/>
              </w:rPr>
            </w:pPr>
            <w:r w:rsidRPr="00E27ED8">
              <w:rPr>
                <w:rFonts w:cs="Calibri"/>
                <w:b/>
                <w:bCs/>
                <w:sz w:val="18"/>
                <w:szCs w:val="18"/>
              </w:rPr>
              <w:t>NAŘÍZENÍ EU (2014–2020)</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vAlign w:val="center"/>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(mil. €)</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vAlign w:val="center"/>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w:t>
            </w:r>
          </w:p>
        </w:tc>
      </w:tr>
      <w:tr w:rsidR="005A63D9" w:rsidRPr="00E27ED8" w:rsidTr="00E621E3">
        <w:tc>
          <w:tcPr>
            <w:tcW w:w="3565"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tcPr>
          <w:p w:rsidR="005A63D9" w:rsidRPr="00E27ED8" w:rsidRDefault="005A63D9">
            <w:pPr>
              <w:pStyle w:val="ListParagraph"/>
              <w:numPr>
                <w:ilvl w:val="0"/>
                <w:numId w:val="63"/>
              </w:numPr>
              <w:autoSpaceDE w:val="0"/>
              <w:autoSpaceDN w:val="0"/>
              <w:spacing w:afterLines="0"/>
              <w:ind w:left="426" w:hanging="426"/>
              <w:contextualSpacing w:val="0"/>
              <w:rPr>
                <w:sz w:val="18"/>
                <w:szCs w:val="18"/>
              </w:rPr>
            </w:pPr>
            <w:r w:rsidRPr="00E27ED8">
              <w:rPr>
                <w:rFonts w:cs="Calibri"/>
                <w:b/>
                <w:bCs/>
                <w:sz w:val="18"/>
                <w:szCs w:val="18"/>
              </w:rPr>
              <w:t>Vynikající věda</w:t>
            </w:r>
            <w:r w:rsidRPr="00E27ED8">
              <w:rPr>
                <w:rFonts w:cs="Calibri"/>
                <w:bCs/>
                <w:sz w:val="18"/>
                <w:szCs w:val="18"/>
              </w:rPr>
              <w:t xml:space="preserve">, </w:t>
            </w:r>
            <w:r w:rsidRPr="00E27ED8">
              <w:rPr>
                <w:rFonts w:cs="Calibri"/>
                <w:bCs/>
                <w:i/>
                <w:sz w:val="18"/>
                <w:szCs w:val="18"/>
              </w:rPr>
              <w:t>z toho:</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24 441</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vAlign w:val="center"/>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31,73</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4"/>
              </w:numPr>
              <w:autoSpaceDE w:val="0"/>
              <w:autoSpaceDN w:val="0"/>
              <w:spacing w:afterLines="0"/>
              <w:ind w:left="851" w:hanging="425"/>
              <w:contextualSpacing w:val="0"/>
              <w:rPr>
                <w:rFonts w:cs="Calibri"/>
                <w:bCs/>
                <w:sz w:val="16"/>
                <w:szCs w:val="16"/>
              </w:rPr>
            </w:pPr>
            <w:r w:rsidRPr="00E27ED8">
              <w:rPr>
                <w:rFonts w:cs="Calibri"/>
                <w:bCs/>
                <w:sz w:val="16"/>
                <w:szCs w:val="16"/>
              </w:rPr>
              <w:t>Evropská rada pro výzkum</w:t>
            </w:r>
          </w:p>
        </w:tc>
        <w:tc>
          <w:tcPr>
            <w:tcW w:w="717" w:type="pct"/>
            <w:tcBorders>
              <w:top w:val="single" w:sz="4" w:space="0" w:color="000000"/>
              <w:left w:val="single" w:sz="12" w:space="0" w:color="000000"/>
              <w:bottom w:val="single" w:sz="4" w:space="0" w:color="000000"/>
              <w:right w:val="single" w:sz="12" w:space="0" w:color="000000"/>
            </w:tcBorders>
          </w:tcPr>
          <w:p w:rsidR="005A63D9" w:rsidRPr="00E27ED8" w:rsidRDefault="005A63D9" w:rsidP="002D69B6">
            <w:pPr>
              <w:autoSpaceDE w:val="0"/>
              <w:spacing w:after="144"/>
              <w:jc w:val="center"/>
              <w:rPr>
                <w:rFonts w:cs="Calibri"/>
                <w:b/>
                <w:bCs/>
                <w:sz w:val="16"/>
                <w:szCs w:val="16"/>
              </w:rPr>
            </w:pPr>
            <w:r w:rsidRPr="00E27ED8">
              <w:rPr>
                <w:rFonts w:cs="Calibri"/>
                <w:b/>
                <w:bCs/>
                <w:sz w:val="16"/>
                <w:szCs w:val="16"/>
              </w:rPr>
              <w:t>13 095</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17</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4"/>
              </w:numPr>
              <w:autoSpaceDE w:val="0"/>
              <w:autoSpaceDN w:val="0"/>
              <w:spacing w:afterLines="0"/>
              <w:ind w:left="851" w:hanging="425"/>
              <w:contextualSpacing w:val="0"/>
              <w:rPr>
                <w:rFonts w:cs="Calibri"/>
                <w:bCs/>
                <w:sz w:val="16"/>
                <w:szCs w:val="16"/>
              </w:rPr>
            </w:pPr>
            <w:r w:rsidRPr="00E27ED8">
              <w:rPr>
                <w:rFonts w:cs="Calibri"/>
                <w:bCs/>
                <w:sz w:val="16"/>
                <w:szCs w:val="16"/>
              </w:rPr>
              <w:t>Budoucí a vznikající technologie</w:t>
            </w:r>
          </w:p>
        </w:tc>
        <w:tc>
          <w:tcPr>
            <w:tcW w:w="717" w:type="pct"/>
            <w:tcBorders>
              <w:top w:val="single" w:sz="4" w:space="0" w:color="000000"/>
              <w:left w:val="single" w:sz="12" w:space="0" w:color="000000"/>
              <w:bottom w:val="single" w:sz="4" w:space="0" w:color="000000"/>
              <w:right w:val="single" w:sz="12" w:space="0" w:color="000000"/>
            </w:tcBorders>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2 698</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3,50</w:t>
            </w:r>
          </w:p>
        </w:tc>
      </w:tr>
      <w:tr w:rsidR="005A63D9" w:rsidRPr="00E27ED8" w:rsidTr="00E621E3">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4"/>
              </w:numPr>
              <w:suppressAutoHyphens/>
              <w:autoSpaceDE w:val="0"/>
              <w:autoSpaceDN w:val="0"/>
              <w:spacing w:afterLines="0"/>
              <w:ind w:left="850" w:hanging="425"/>
              <w:contextualSpacing w:val="0"/>
              <w:rPr>
                <w:rFonts w:cs="Calibri"/>
                <w:bCs/>
                <w:sz w:val="16"/>
                <w:szCs w:val="16"/>
              </w:rPr>
            </w:pPr>
            <w:r w:rsidRPr="00E27ED8">
              <w:rPr>
                <w:rFonts w:cs="Calibri"/>
                <w:bCs/>
                <w:sz w:val="16"/>
                <w:szCs w:val="16"/>
              </w:rPr>
              <w:t>Akce „Marie Curie“ týkající se dovedností, odborné přípravy a profesního rozvoje</w:t>
            </w:r>
          </w:p>
        </w:tc>
        <w:tc>
          <w:tcPr>
            <w:tcW w:w="717" w:type="pct"/>
            <w:tcBorders>
              <w:top w:val="single" w:sz="4" w:space="0" w:color="000000"/>
              <w:left w:val="single" w:sz="12" w:space="0" w:color="000000"/>
              <w:bottom w:val="single" w:sz="4" w:space="0" w:color="000000"/>
              <w:right w:val="single" w:sz="12" w:space="0" w:color="000000"/>
            </w:tcBorders>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6 162</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8</w:t>
            </w:r>
          </w:p>
        </w:tc>
      </w:tr>
      <w:tr w:rsidR="005A63D9" w:rsidRPr="00E27ED8" w:rsidTr="00E621E3">
        <w:tc>
          <w:tcPr>
            <w:tcW w:w="3565"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4"/>
              </w:numPr>
              <w:autoSpaceDE w:val="0"/>
              <w:autoSpaceDN w:val="0"/>
              <w:spacing w:afterLines="0"/>
              <w:ind w:left="851" w:hanging="425"/>
              <w:contextualSpacing w:val="0"/>
              <w:rPr>
                <w:sz w:val="16"/>
                <w:szCs w:val="16"/>
              </w:rPr>
            </w:pPr>
            <w:r w:rsidRPr="00E27ED8">
              <w:rPr>
                <w:rFonts w:cs="Calibri"/>
                <w:bCs/>
                <w:sz w:val="16"/>
                <w:szCs w:val="16"/>
              </w:rPr>
              <w:t>Evropské výzkumné infrastruktury (včetně elektronických infrastruktur)</w:t>
            </w:r>
          </w:p>
        </w:tc>
        <w:tc>
          <w:tcPr>
            <w:tcW w:w="717" w:type="pct"/>
            <w:tcBorders>
              <w:top w:val="single" w:sz="4"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2 488</w:t>
            </w:r>
          </w:p>
        </w:tc>
        <w:tc>
          <w:tcPr>
            <w:tcW w:w="717"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3,23</w:t>
            </w:r>
          </w:p>
        </w:tc>
      </w:tr>
      <w:tr w:rsidR="005A63D9" w:rsidRPr="00E27ED8" w:rsidTr="00E621E3">
        <w:tc>
          <w:tcPr>
            <w:tcW w:w="3565"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tcPr>
          <w:p w:rsidR="005A63D9" w:rsidRPr="00E27ED8" w:rsidRDefault="005A63D9">
            <w:pPr>
              <w:pStyle w:val="ListParagraph"/>
              <w:numPr>
                <w:ilvl w:val="0"/>
                <w:numId w:val="63"/>
              </w:numPr>
              <w:autoSpaceDE w:val="0"/>
              <w:autoSpaceDN w:val="0"/>
              <w:spacing w:afterLines="0"/>
              <w:ind w:left="426" w:hanging="426"/>
              <w:contextualSpacing w:val="0"/>
              <w:rPr>
                <w:sz w:val="18"/>
                <w:szCs w:val="18"/>
              </w:rPr>
            </w:pPr>
            <w:r w:rsidRPr="00E27ED8">
              <w:rPr>
                <w:rFonts w:cs="Calibri"/>
                <w:b/>
                <w:bCs/>
                <w:sz w:val="18"/>
                <w:szCs w:val="18"/>
              </w:rPr>
              <w:t>Vedoucí postavení v průmyslu</w:t>
            </w:r>
            <w:r w:rsidRPr="00E27ED8">
              <w:rPr>
                <w:rFonts w:cs="Calibri"/>
                <w:bCs/>
                <w:i/>
                <w:sz w:val="18"/>
                <w:szCs w:val="18"/>
              </w:rPr>
              <w:t>, z toho:</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17 016</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vAlign w:val="center"/>
          </w:tcPr>
          <w:p w:rsidR="005A63D9" w:rsidRPr="00E27ED8" w:rsidRDefault="005A63D9" w:rsidP="002D69B6">
            <w:pPr>
              <w:autoSpaceDE w:val="0"/>
              <w:spacing w:after="144"/>
              <w:jc w:val="center"/>
              <w:rPr>
                <w:rFonts w:cs="Calibri"/>
                <w:b/>
                <w:bCs/>
                <w:sz w:val="18"/>
                <w:szCs w:val="18"/>
              </w:rPr>
            </w:pP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5"/>
              </w:numPr>
              <w:autoSpaceDE w:val="0"/>
              <w:autoSpaceDN w:val="0"/>
              <w:spacing w:afterLines="0"/>
              <w:ind w:left="851" w:hanging="425"/>
              <w:contextualSpacing w:val="0"/>
              <w:rPr>
                <w:sz w:val="16"/>
                <w:szCs w:val="16"/>
              </w:rPr>
            </w:pPr>
            <w:r w:rsidRPr="00E27ED8">
              <w:rPr>
                <w:rFonts w:cs="Calibri"/>
                <w:bCs/>
                <w:sz w:val="16"/>
                <w:szCs w:val="16"/>
              </w:rPr>
              <w:t>Vedoucí postavení v základních a průmyslových technologiích</w:t>
            </w:r>
            <w:r w:rsidRPr="00E27ED8">
              <w:rPr>
                <w:rFonts w:cs="Calibri"/>
                <w:bCs/>
                <w:sz w:val="16"/>
                <w:szCs w:val="16"/>
                <w:vertAlign w:val="superscript"/>
              </w:rPr>
              <w:t>*</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13 557</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17,60</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5"/>
              </w:numPr>
              <w:autoSpaceDE w:val="0"/>
              <w:autoSpaceDN w:val="0"/>
              <w:spacing w:afterLines="0"/>
              <w:ind w:left="851" w:hanging="425"/>
              <w:contextualSpacing w:val="0"/>
              <w:rPr>
                <w:sz w:val="16"/>
                <w:szCs w:val="16"/>
              </w:rPr>
            </w:pPr>
            <w:r w:rsidRPr="00E27ED8">
              <w:rPr>
                <w:rFonts w:cs="Calibri"/>
                <w:bCs/>
                <w:sz w:val="16"/>
                <w:szCs w:val="16"/>
              </w:rPr>
              <w:t>Přístup k rizikovému financování</w:t>
            </w:r>
            <w:r w:rsidRPr="00E27ED8">
              <w:rPr>
                <w:rFonts w:cs="Calibri"/>
                <w:bCs/>
                <w:sz w:val="16"/>
                <w:szCs w:val="16"/>
                <w:vertAlign w:val="superscript"/>
              </w:rPr>
              <w:t>**</w:t>
            </w:r>
          </w:p>
        </w:tc>
        <w:tc>
          <w:tcPr>
            <w:tcW w:w="717" w:type="pct"/>
            <w:tcBorders>
              <w:top w:val="single" w:sz="4" w:space="0" w:color="000000"/>
              <w:left w:val="single" w:sz="12" w:space="0" w:color="000000"/>
              <w:bottom w:val="single" w:sz="4" w:space="0" w:color="000000"/>
              <w:right w:val="single" w:sz="12" w:space="0" w:color="000000"/>
            </w:tcBorders>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2 842</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3,69</w:t>
            </w:r>
          </w:p>
        </w:tc>
      </w:tr>
      <w:tr w:rsidR="005A63D9" w:rsidRPr="00E27ED8" w:rsidTr="00E621E3">
        <w:trPr>
          <w:trHeight w:val="227"/>
        </w:trPr>
        <w:tc>
          <w:tcPr>
            <w:tcW w:w="3565"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5"/>
              </w:numPr>
              <w:autoSpaceDE w:val="0"/>
              <w:autoSpaceDN w:val="0"/>
              <w:spacing w:afterLines="0"/>
              <w:ind w:left="851" w:hanging="425"/>
              <w:contextualSpacing w:val="0"/>
              <w:rPr>
                <w:rFonts w:cs="Calibri"/>
                <w:bCs/>
                <w:sz w:val="16"/>
                <w:szCs w:val="16"/>
              </w:rPr>
            </w:pPr>
            <w:r w:rsidRPr="00E27ED8">
              <w:rPr>
                <w:rFonts w:cs="Calibri"/>
                <w:bCs/>
                <w:sz w:val="16"/>
                <w:szCs w:val="16"/>
              </w:rPr>
              <w:t>Inovace v MSP</w:t>
            </w:r>
          </w:p>
        </w:tc>
        <w:tc>
          <w:tcPr>
            <w:tcW w:w="717" w:type="pct"/>
            <w:tcBorders>
              <w:top w:val="single" w:sz="4" w:space="0" w:color="000000"/>
              <w:left w:val="single" w:sz="12" w:space="0" w:color="000000"/>
              <w:bottom w:val="single" w:sz="12" w:space="0" w:color="000000"/>
              <w:right w:val="single" w:sz="12" w:space="0" w:color="000000"/>
            </w:tcBorders>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616</w:t>
            </w:r>
          </w:p>
        </w:tc>
        <w:tc>
          <w:tcPr>
            <w:tcW w:w="717"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0,80</w:t>
            </w:r>
          </w:p>
        </w:tc>
      </w:tr>
      <w:tr w:rsidR="005A63D9" w:rsidRPr="00E27ED8" w:rsidTr="00E621E3">
        <w:tc>
          <w:tcPr>
            <w:tcW w:w="3565"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tcPr>
          <w:p w:rsidR="005A63D9" w:rsidRPr="00E27ED8" w:rsidRDefault="005A63D9">
            <w:pPr>
              <w:pStyle w:val="ListParagraph"/>
              <w:numPr>
                <w:ilvl w:val="0"/>
                <w:numId w:val="66"/>
              </w:numPr>
              <w:autoSpaceDE w:val="0"/>
              <w:autoSpaceDN w:val="0"/>
              <w:spacing w:afterLines="0"/>
              <w:ind w:left="426" w:hanging="284"/>
              <w:contextualSpacing w:val="0"/>
              <w:rPr>
                <w:sz w:val="18"/>
                <w:szCs w:val="18"/>
              </w:rPr>
            </w:pPr>
            <w:r w:rsidRPr="00E27ED8">
              <w:rPr>
                <w:rFonts w:cs="Calibri"/>
                <w:b/>
                <w:bCs/>
                <w:sz w:val="18"/>
                <w:szCs w:val="18"/>
              </w:rPr>
              <w:t>Společenské výzvy</w:t>
            </w:r>
            <w:r w:rsidRPr="00E27ED8">
              <w:rPr>
                <w:rFonts w:cs="Calibri"/>
                <w:bCs/>
                <w:sz w:val="18"/>
                <w:szCs w:val="18"/>
              </w:rPr>
              <w:t xml:space="preserve">, </w:t>
            </w:r>
            <w:r w:rsidRPr="00E27ED8">
              <w:rPr>
                <w:rFonts w:cs="Calibri"/>
                <w:bCs/>
                <w:i/>
                <w:sz w:val="18"/>
                <w:szCs w:val="18"/>
              </w:rPr>
              <w:t>z toho</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Pr>
          <w:p w:rsidR="005A63D9" w:rsidRPr="00E27ED8" w:rsidRDefault="005A63D9" w:rsidP="002D69B6">
            <w:pPr>
              <w:autoSpaceDE w:val="0"/>
              <w:spacing w:after="144"/>
              <w:jc w:val="center"/>
              <w:rPr>
                <w:rFonts w:cs="Calibri"/>
                <w:b/>
                <w:bCs/>
                <w:sz w:val="18"/>
                <w:szCs w:val="18"/>
              </w:rPr>
            </w:pPr>
            <w:r w:rsidRPr="00E27ED8">
              <w:rPr>
                <w:rFonts w:cs="Calibri"/>
                <w:b/>
                <w:bCs/>
                <w:sz w:val="18"/>
                <w:szCs w:val="18"/>
              </w:rPr>
              <w:t>29 679</w:t>
            </w:r>
          </w:p>
        </w:tc>
        <w:tc>
          <w:tcPr>
            <w:tcW w:w="717" w:type="pct"/>
            <w:tcBorders>
              <w:top w:val="single" w:sz="12" w:space="0" w:color="000000"/>
              <w:left w:val="single" w:sz="12" w:space="0" w:color="000000"/>
              <w:bottom w:val="single" w:sz="4" w:space="0" w:color="000000"/>
              <w:right w:val="single" w:sz="12" w:space="0" w:color="000000"/>
            </w:tcBorders>
            <w:shd w:val="clear" w:color="auto" w:fill="BFBFBF"/>
            <w:tcMar>
              <w:top w:w="0" w:type="dxa"/>
              <w:left w:w="108" w:type="dxa"/>
              <w:bottom w:w="0" w:type="dxa"/>
              <w:right w:w="108" w:type="dxa"/>
            </w:tcMar>
            <w:vAlign w:val="center"/>
          </w:tcPr>
          <w:p w:rsidR="005A63D9" w:rsidRPr="00E27ED8" w:rsidRDefault="005A63D9" w:rsidP="002D69B6">
            <w:pPr>
              <w:autoSpaceDE w:val="0"/>
              <w:spacing w:after="144"/>
              <w:jc w:val="center"/>
              <w:rPr>
                <w:rFonts w:cs="Calibri"/>
                <w:b/>
                <w:bCs/>
                <w:sz w:val="18"/>
                <w:szCs w:val="18"/>
              </w:rPr>
            </w:pP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rFonts w:cs="Calibri"/>
                <w:bCs/>
                <w:sz w:val="16"/>
                <w:szCs w:val="16"/>
              </w:rPr>
            </w:pPr>
            <w:r w:rsidRPr="00E27ED8">
              <w:rPr>
                <w:rFonts w:cs="Calibri"/>
                <w:bCs/>
                <w:sz w:val="16"/>
                <w:szCs w:val="16"/>
              </w:rPr>
              <w:t>Zdraví, demografické změny, dobré životní podmínky</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7 472</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9,70</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sz w:val="16"/>
                <w:szCs w:val="16"/>
              </w:rPr>
            </w:pPr>
            <w:r w:rsidRPr="00E27ED8">
              <w:rPr>
                <w:rFonts w:cs="Calibri"/>
                <w:bCs/>
                <w:sz w:val="16"/>
                <w:szCs w:val="16"/>
              </w:rPr>
              <w:t>Zajišťování potravin, udržitelné zemědělství, mořský a námořní výzkum a bio-hospodářství</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3 851</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5,00</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rFonts w:cs="Calibri"/>
                <w:bCs/>
                <w:sz w:val="16"/>
                <w:szCs w:val="16"/>
              </w:rPr>
            </w:pPr>
            <w:r w:rsidRPr="00E27ED8">
              <w:rPr>
                <w:rFonts w:cs="Calibri"/>
                <w:bCs/>
                <w:sz w:val="16"/>
                <w:szCs w:val="16"/>
              </w:rPr>
              <w:t>Bezpečná, čistá a účinná energie</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5 931</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7,70</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rFonts w:cs="Calibri"/>
                <w:bCs/>
                <w:sz w:val="16"/>
                <w:szCs w:val="16"/>
              </w:rPr>
            </w:pPr>
            <w:r w:rsidRPr="00E27ED8">
              <w:rPr>
                <w:rFonts w:cs="Calibri"/>
                <w:bCs/>
                <w:sz w:val="16"/>
                <w:szCs w:val="16"/>
              </w:rPr>
              <w:t>Inteligentní, ekologická a integrovaná doprava</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6 339</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8,23</w:t>
            </w:r>
          </w:p>
        </w:tc>
      </w:tr>
      <w:tr w:rsidR="005A63D9" w:rsidRPr="00E27ED8" w:rsidTr="00E621E3">
        <w:trPr>
          <w:trHeight w:val="227"/>
        </w:trPr>
        <w:tc>
          <w:tcPr>
            <w:tcW w:w="3565"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sz w:val="16"/>
                <w:szCs w:val="16"/>
              </w:rPr>
            </w:pPr>
            <w:r w:rsidRPr="00E27ED8">
              <w:rPr>
                <w:rFonts w:cs="Calibri"/>
                <w:bCs/>
                <w:sz w:val="16"/>
                <w:szCs w:val="16"/>
              </w:rPr>
              <w:t>Oblast klimatu, účinné využívání zdrojů a suroviny</w:t>
            </w:r>
          </w:p>
        </w:tc>
        <w:tc>
          <w:tcPr>
            <w:tcW w:w="717" w:type="pct"/>
            <w:tcBorders>
              <w:top w:val="single" w:sz="4"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3 081</w:t>
            </w:r>
          </w:p>
        </w:tc>
        <w:tc>
          <w:tcPr>
            <w:tcW w:w="717" w:type="pct"/>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4,00</w:t>
            </w:r>
          </w:p>
        </w:tc>
      </w:tr>
      <w:tr w:rsidR="005A63D9" w:rsidRPr="00E27ED8" w:rsidTr="00E621E3">
        <w:trPr>
          <w:trHeight w:val="227"/>
        </w:trPr>
        <w:tc>
          <w:tcPr>
            <w:tcW w:w="3565"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3"/>
                <w:numId w:val="66"/>
              </w:numPr>
              <w:autoSpaceDE w:val="0"/>
              <w:autoSpaceDN w:val="0"/>
              <w:spacing w:afterLines="0"/>
              <w:ind w:left="851" w:hanging="425"/>
              <w:contextualSpacing w:val="0"/>
              <w:rPr>
                <w:rFonts w:cs="Calibri"/>
                <w:bCs/>
                <w:sz w:val="16"/>
                <w:szCs w:val="16"/>
              </w:rPr>
            </w:pPr>
            <w:r w:rsidRPr="00E27ED8">
              <w:rPr>
                <w:rFonts w:cs="Calibri"/>
                <w:bCs/>
                <w:sz w:val="16"/>
                <w:szCs w:val="16"/>
              </w:rPr>
              <w:t>Inovativní a bezpečné společnosti podporující začlenění</w:t>
            </w:r>
          </w:p>
        </w:tc>
        <w:tc>
          <w:tcPr>
            <w:tcW w:w="717" w:type="pct"/>
            <w:tcBorders>
              <w:top w:val="single" w:sz="4"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1 695</w:t>
            </w:r>
          </w:p>
        </w:tc>
        <w:tc>
          <w:tcPr>
            <w:tcW w:w="717"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6"/>
                <w:szCs w:val="16"/>
              </w:rPr>
            </w:pPr>
            <w:r w:rsidRPr="00E27ED8">
              <w:rPr>
                <w:rFonts w:cs="Calibri"/>
                <w:bCs/>
                <w:sz w:val="16"/>
                <w:szCs w:val="16"/>
              </w:rPr>
              <w:t>2,20</w:t>
            </w:r>
          </w:p>
        </w:tc>
      </w:tr>
      <w:tr w:rsidR="005A63D9" w:rsidRPr="00E27ED8" w:rsidTr="00E621E3">
        <w:trPr>
          <w:trHeight w:val="227"/>
        </w:trPr>
        <w:tc>
          <w:tcPr>
            <w:tcW w:w="3565"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Cs/>
                <w:sz w:val="18"/>
                <w:szCs w:val="18"/>
              </w:rPr>
            </w:pPr>
            <w:r w:rsidRPr="00E27ED8">
              <w:rPr>
                <w:rFonts w:cs="Calibri"/>
                <w:bCs/>
                <w:sz w:val="18"/>
                <w:szCs w:val="18"/>
              </w:rPr>
              <w:t>Věda a společnost</w:t>
            </w:r>
          </w:p>
        </w:tc>
        <w:tc>
          <w:tcPr>
            <w:tcW w:w="717" w:type="pct"/>
            <w:tcBorders>
              <w:top w:val="single" w:sz="12"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462</w:t>
            </w:r>
          </w:p>
        </w:tc>
        <w:tc>
          <w:tcPr>
            <w:tcW w:w="717"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0,60</w:t>
            </w:r>
          </w:p>
        </w:tc>
      </w:tr>
      <w:tr w:rsidR="005A63D9" w:rsidRPr="00E27ED8" w:rsidTr="00E621E3">
        <w:trPr>
          <w:trHeight w:val="227"/>
        </w:trPr>
        <w:tc>
          <w:tcPr>
            <w:tcW w:w="3565"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Cs/>
                <w:sz w:val="18"/>
                <w:szCs w:val="18"/>
              </w:rPr>
            </w:pPr>
            <w:r w:rsidRPr="00E27ED8">
              <w:rPr>
                <w:rFonts w:cs="Calibri"/>
                <w:bCs/>
                <w:sz w:val="18"/>
                <w:szCs w:val="18"/>
              </w:rPr>
              <w:t>Rozvoj excelence a rozšiřování účasti</w:t>
            </w:r>
          </w:p>
        </w:tc>
        <w:tc>
          <w:tcPr>
            <w:tcW w:w="717" w:type="pct"/>
            <w:tcBorders>
              <w:top w:val="single" w:sz="12" w:space="0" w:color="000000"/>
              <w:left w:val="single" w:sz="12" w:space="0" w:color="000000"/>
              <w:bottom w:val="single" w:sz="4" w:space="0" w:color="000000"/>
              <w:right w:val="single" w:sz="12" w:space="0" w:color="000000"/>
            </w:tcBorders>
            <w:vAlign w:val="center"/>
          </w:tcPr>
          <w:p w:rsidR="005A63D9" w:rsidRPr="00E27ED8" w:rsidRDefault="005A63D9" w:rsidP="002D69B6">
            <w:pPr>
              <w:tabs>
                <w:tab w:val="left" w:pos="500"/>
              </w:tabs>
              <w:autoSpaceDE w:val="0"/>
              <w:spacing w:after="144"/>
              <w:jc w:val="center"/>
              <w:rPr>
                <w:rFonts w:cs="Calibri"/>
                <w:bCs/>
                <w:sz w:val="18"/>
                <w:szCs w:val="18"/>
              </w:rPr>
            </w:pPr>
            <w:r w:rsidRPr="00E27ED8">
              <w:rPr>
                <w:rFonts w:cs="Calibri"/>
                <w:bCs/>
                <w:sz w:val="18"/>
                <w:szCs w:val="18"/>
              </w:rPr>
              <w:t>816</w:t>
            </w:r>
          </w:p>
        </w:tc>
        <w:tc>
          <w:tcPr>
            <w:tcW w:w="717"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1,06</w:t>
            </w:r>
          </w:p>
        </w:tc>
      </w:tr>
      <w:tr w:rsidR="005A63D9" w:rsidRPr="00E27ED8" w:rsidTr="00E621E3">
        <w:trPr>
          <w:trHeight w:val="227"/>
        </w:trPr>
        <w:tc>
          <w:tcPr>
            <w:tcW w:w="3565"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Cs/>
                <w:sz w:val="18"/>
                <w:szCs w:val="18"/>
              </w:rPr>
            </w:pPr>
            <w:r w:rsidRPr="00E27ED8">
              <w:rPr>
                <w:rFonts w:cs="Calibri"/>
                <w:bCs/>
                <w:sz w:val="18"/>
                <w:szCs w:val="18"/>
              </w:rPr>
              <w:t>Evropský inovační a technologický institut (EIT)</w:t>
            </w:r>
          </w:p>
        </w:tc>
        <w:tc>
          <w:tcPr>
            <w:tcW w:w="717" w:type="pct"/>
            <w:tcBorders>
              <w:top w:val="single" w:sz="12" w:space="0" w:color="000000"/>
              <w:left w:val="single" w:sz="12" w:space="0" w:color="000000"/>
              <w:bottom w:val="single" w:sz="4"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2 711</w:t>
            </w:r>
          </w:p>
        </w:tc>
        <w:tc>
          <w:tcPr>
            <w:tcW w:w="717" w:type="pct"/>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3,52</w:t>
            </w:r>
          </w:p>
        </w:tc>
      </w:tr>
      <w:tr w:rsidR="005A63D9" w:rsidRPr="00E27ED8" w:rsidTr="00E621E3">
        <w:trPr>
          <w:trHeight w:val="227"/>
        </w:trPr>
        <w:tc>
          <w:tcPr>
            <w:tcW w:w="3565"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Cs/>
                <w:sz w:val="18"/>
                <w:szCs w:val="18"/>
              </w:rPr>
            </w:pPr>
            <w:r w:rsidRPr="00E27ED8">
              <w:rPr>
                <w:rFonts w:cs="Calibri"/>
                <w:bCs/>
                <w:sz w:val="18"/>
                <w:szCs w:val="18"/>
              </w:rPr>
              <w:t>Nejaderné přímé akce Společného výzkumného střediska (JRC)</w:t>
            </w:r>
          </w:p>
        </w:tc>
        <w:tc>
          <w:tcPr>
            <w:tcW w:w="717" w:type="pct"/>
            <w:tcBorders>
              <w:top w:val="single" w:sz="4" w:space="0" w:color="000000"/>
              <w:left w:val="single" w:sz="12" w:space="0" w:color="000000"/>
              <w:bottom w:val="single" w:sz="12" w:space="0" w:color="000000"/>
              <w:right w:val="single" w:sz="12" w:space="0" w:color="000000"/>
            </w:tcBorders>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1 903</w:t>
            </w:r>
          </w:p>
        </w:tc>
        <w:tc>
          <w:tcPr>
            <w:tcW w:w="717" w:type="pct"/>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2,47</w:t>
            </w:r>
          </w:p>
        </w:tc>
      </w:tr>
      <w:tr w:rsidR="005A63D9" w:rsidRPr="00E27ED8" w:rsidTr="00E621E3">
        <w:trPr>
          <w:trHeight w:val="227"/>
        </w:trPr>
        <w:tc>
          <w:tcPr>
            <w:tcW w:w="3565" w:type="pct"/>
            <w:tcBorders>
              <w:top w:val="single" w:sz="12" w:space="0" w:color="000000"/>
              <w:left w:val="single" w:sz="12" w:space="0" w:color="000000"/>
              <w:bottom w:val="double" w:sz="12"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
                <w:bCs/>
                <w:sz w:val="20"/>
                <w:szCs w:val="20"/>
              </w:rPr>
            </w:pPr>
            <w:r w:rsidRPr="00E27ED8">
              <w:rPr>
                <w:rFonts w:cs="Calibri"/>
                <w:b/>
                <w:bCs/>
                <w:sz w:val="20"/>
                <w:szCs w:val="20"/>
              </w:rPr>
              <w:t>CELKEM dle NAŘÍZENÍ EU</w:t>
            </w:r>
          </w:p>
        </w:tc>
        <w:tc>
          <w:tcPr>
            <w:tcW w:w="717" w:type="pct"/>
            <w:tcBorders>
              <w:top w:val="single" w:sz="12" w:space="0" w:color="000000"/>
              <w:left w:val="single" w:sz="12" w:space="0" w:color="000000"/>
              <w:bottom w:val="double" w:sz="12" w:space="0" w:color="000000"/>
              <w:right w:val="single" w:sz="12" w:space="0" w:color="000000"/>
            </w:tcBorders>
          </w:tcPr>
          <w:p w:rsidR="005A63D9" w:rsidRPr="00E27ED8" w:rsidRDefault="005A63D9" w:rsidP="002D69B6">
            <w:pPr>
              <w:autoSpaceDE w:val="0"/>
              <w:spacing w:after="144"/>
              <w:jc w:val="center"/>
              <w:rPr>
                <w:rFonts w:cs="Calibri"/>
                <w:b/>
                <w:bCs/>
                <w:sz w:val="20"/>
                <w:szCs w:val="20"/>
              </w:rPr>
            </w:pPr>
            <w:r w:rsidRPr="00E27ED8">
              <w:rPr>
                <w:rFonts w:cs="Calibri"/>
                <w:b/>
                <w:bCs/>
                <w:sz w:val="20"/>
                <w:szCs w:val="20"/>
              </w:rPr>
              <w:t>77 028</w:t>
            </w:r>
          </w:p>
        </w:tc>
        <w:tc>
          <w:tcPr>
            <w:tcW w:w="717" w:type="pct"/>
            <w:tcBorders>
              <w:top w:val="single" w:sz="12" w:space="0" w:color="000000"/>
              <w:left w:val="single" w:sz="12" w:space="0" w:color="000000"/>
              <w:bottom w:val="double" w:sz="12" w:space="0" w:color="000000"/>
              <w:right w:val="single" w:sz="12" w:space="0" w:color="000000"/>
            </w:tcBorders>
            <w:tcMar>
              <w:top w:w="0" w:type="dxa"/>
              <w:left w:w="108" w:type="dxa"/>
              <w:bottom w:w="0" w:type="dxa"/>
              <w:right w:w="108" w:type="dxa"/>
            </w:tcMar>
            <w:vAlign w:val="center"/>
          </w:tcPr>
          <w:p w:rsidR="005A63D9" w:rsidRPr="00E27ED8" w:rsidRDefault="005A63D9" w:rsidP="002D69B6">
            <w:pPr>
              <w:autoSpaceDE w:val="0"/>
              <w:spacing w:after="144"/>
              <w:jc w:val="center"/>
              <w:rPr>
                <w:rFonts w:cs="Calibri"/>
                <w:b/>
                <w:bCs/>
                <w:sz w:val="20"/>
                <w:szCs w:val="20"/>
              </w:rPr>
            </w:pPr>
            <w:r w:rsidRPr="00E27ED8">
              <w:rPr>
                <w:rFonts w:cs="Calibri"/>
                <w:b/>
                <w:bCs/>
                <w:sz w:val="20"/>
                <w:szCs w:val="20"/>
              </w:rPr>
              <w:t>100</w:t>
            </w:r>
          </w:p>
        </w:tc>
      </w:tr>
      <w:tr w:rsidR="005A63D9" w:rsidRPr="00E27ED8" w:rsidTr="00E621E3">
        <w:trPr>
          <w:trHeight w:val="227"/>
        </w:trPr>
        <w:tc>
          <w:tcPr>
            <w:tcW w:w="3565" w:type="pc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6"/>
              </w:numPr>
              <w:autoSpaceDE w:val="0"/>
              <w:autoSpaceDN w:val="0"/>
              <w:spacing w:afterLines="0"/>
              <w:ind w:left="851" w:hanging="425"/>
              <w:contextualSpacing w:val="0"/>
              <w:rPr>
                <w:rFonts w:cs="Calibri"/>
                <w:bCs/>
                <w:sz w:val="18"/>
                <w:szCs w:val="18"/>
              </w:rPr>
            </w:pPr>
            <w:r w:rsidRPr="00E27ED8">
              <w:rPr>
                <w:rFonts w:cs="Calibri"/>
                <w:bCs/>
                <w:sz w:val="18"/>
                <w:szCs w:val="18"/>
              </w:rPr>
              <w:t>Nepřímé aktivity v jaderné fúzi</w:t>
            </w:r>
          </w:p>
        </w:tc>
        <w:tc>
          <w:tcPr>
            <w:tcW w:w="717" w:type="pct"/>
            <w:tcBorders>
              <w:top w:val="single" w:sz="12" w:space="0" w:color="000000"/>
              <w:left w:val="single" w:sz="12" w:space="0" w:color="000000"/>
              <w:bottom w:val="single" w:sz="12" w:space="0" w:color="000000"/>
              <w:right w:val="single" w:sz="12" w:space="0" w:color="000000"/>
            </w:tcBorders>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728</w:t>
            </w:r>
          </w:p>
        </w:tc>
        <w:tc>
          <w:tcPr>
            <w:tcW w:w="717" w:type="pct"/>
            <w:tcBorders>
              <w:top w:val="single" w:sz="12"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45,42</w:t>
            </w:r>
          </w:p>
        </w:tc>
      </w:tr>
      <w:tr w:rsidR="005A63D9" w:rsidRPr="00E27ED8" w:rsidTr="00E621E3">
        <w:tc>
          <w:tcPr>
            <w:tcW w:w="3565" w:type="pc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pStyle w:val="ListParagraph"/>
              <w:numPr>
                <w:ilvl w:val="6"/>
                <w:numId w:val="66"/>
              </w:numPr>
              <w:autoSpaceDE w:val="0"/>
              <w:autoSpaceDN w:val="0"/>
              <w:spacing w:afterLines="0"/>
              <w:ind w:left="851" w:hanging="425"/>
              <w:contextualSpacing w:val="0"/>
              <w:rPr>
                <w:rFonts w:cs="Calibri"/>
                <w:bCs/>
                <w:sz w:val="18"/>
                <w:szCs w:val="18"/>
              </w:rPr>
            </w:pPr>
            <w:r w:rsidRPr="00E27ED8">
              <w:rPr>
                <w:rFonts w:cs="Calibri"/>
                <w:bCs/>
                <w:sz w:val="18"/>
                <w:szCs w:val="18"/>
              </w:rPr>
              <w:t>Nepřímé aktivity v jaderném štěpení, bezpečnosti a radiační ochrany</w:t>
            </w:r>
          </w:p>
        </w:tc>
        <w:tc>
          <w:tcPr>
            <w:tcW w:w="717" w:type="pct"/>
            <w:tcBorders>
              <w:top w:val="single" w:sz="12"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316</w:t>
            </w:r>
          </w:p>
        </w:tc>
        <w:tc>
          <w:tcPr>
            <w:tcW w:w="717" w:type="pct"/>
            <w:tcBorders>
              <w:top w:val="single" w:sz="12"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19,68</w:t>
            </w:r>
          </w:p>
        </w:tc>
      </w:tr>
      <w:tr w:rsidR="005A63D9" w:rsidRPr="00E27ED8" w:rsidTr="00E621E3">
        <w:trPr>
          <w:trHeight w:val="227"/>
        </w:trPr>
        <w:tc>
          <w:tcPr>
            <w:tcW w:w="3565" w:type="pc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Cs/>
                <w:sz w:val="18"/>
                <w:szCs w:val="18"/>
              </w:rPr>
            </w:pPr>
            <w:r w:rsidRPr="00E27ED8">
              <w:rPr>
                <w:rFonts w:cs="Calibri"/>
                <w:bCs/>
                <w:sz w:val="18"/>
                <w:szCs w:val="18"/>
              </w:rPr>
              <w:t>Přímé aktivity Společného výzkumného centra (JRC)</w:t>
            </w:r>
          </w:p>
        </w:tc>
        <w:tc>
          <w:tcPr>
            <w:tcW w:w="717" w:type="pct"/>
            <w:tcBorders>
              <w:top w:val="single" w:sz="12" w:space="0" w:color="000000"/>
              <w:left w:val="single" w:sz="12" w:space="0" w:color="000000"/>
              <w:bottom w:val="single" w:sz="12" w:space="0" w:color="000000"/>
              <w:right w:val="single" w:sz="12" w:space="0" w:color="000000"/>
            </w:tcBorders>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560</w:t>
            </w:r>
          </w:p>
        </w:tc>
        <w:tc>
          <w:tcPr>
            <w:tcW w:w="717" w:type="pct"/>
            <w:tcBorders>
              <w:top w:val="single" w:sz="12" w:space="0" w:color="000000"/>
              <w:left w:val="single" w:sz="12" w:space="0" w:color="000000"/>
              <w:bottom w:val="single" w:sz="12" w:space="0" w:color="000000"/>
              <w:right w:val="single" w:sz="12" w:space="0" w:color="000000"/>
            </w:tcBorders>
            <w:vAlign w:val="center"/>
          </w:tcPr>
          <w:p w:rsidR="005A63D9" w:rsidRPr="00E27ED8" w:rsidRDefault="005A63D9" w:rsidP="002D69B6">
            <w:pPr>
              <w:autoSpaceDE w:val="0"/>
              <w:spacing w:after="144"/>
              <w:jc w:val="center"/>
              <w:rPr>
                <w:rFonts w:cs="Calibri"/>
                <w:bCs/>
                <w:sz w:val="18"/>
                <w:szCs w:val="18"/>
              </w:rPr>
            </w:pPr>
            <w:r w:rsidRPr="00E27ED8">
              <w:rPr>
                <w:rFonts w:cs="Calibri"/>
                <w:bCs/>
                <w:sz w:val="18"/>
                <w:szCs w:val="18"/>
              </w:rPr>
              <w:t>34,90</w:t>
            </w:r>
          </w:p>
        </w:tc>
      </w:tr>
      <w:tr w:rsidR="005A63D9" w:rsidRPr="00E27ED8" w:rsidTr="00E621E3">
        <w:trPr>
          <w:trHeight w:val="227"/>
        </w:trPr>
        <w:tc>
          <w:tcPr>
            <w:tcW w:w="3565" w:type="pct"/>
            <w:tcBorders>
              <w:top w:val="single" w:sz="12" w:space="0" w:color="000000"/>
              <w:left w:val="single" w:sz="12" w:space="0" w:color="000000"/>
              <w:bottom w:val="double" w:sz="12" w:space="0" w:color="000000"/>
              <w:right w:val="single" w:sz="12" w:space="0" w:color="000000"/>
            </w:tcBorders>
            <w:tcMar>
              <w:top w:w="0" w:type="dxa"/>
              <w:left w:w="108" w:type="dxa"/>
              <w:bottom w:w="0" w:type="dxa"/>
              <w:right w:w="108" w:type="dxa"/>
            </w:tcMar>
          </w:tcPr>
          <w:p w:rsidR="005A63D9" w:rsidRPr="00E27ED8" w:rsidRDefault="005A63D9">
            <w:pPr>
              <w:autoSpaceDE w:val="0"/>
              <w:spacing w:after="144"/>
              <w:rPr>
                <w:rFonts w:cs="Calibri"/>
                <w:b/>
                <w:bCs/>
                <w:sz w:val="20"/>
                <w:szCs w:val="20"/>
              </w:rPr>
            </w:pPr>
            <w:r w:rsidRPr="00E27ED8">
              <w:rPr>
                <w:rFonts w:cs="Calibri"/>
                <w:b/>
                <w:bCs/>
                <w:sz w:val="20"/>
                <w:szCs w:val="20"/>
              </w:rPr>
              <w:t>CELKEM dle NAŘÍZENÍ EURATOM</w:t>
            </w:r>
          </w:p>
        </w:tc>
        <w:tc>
          <w:tcPr>
            <w:tcW w:w="717" w:type="pct"/>
            <w:tcBorders>
              <w:top w:val="single" w:sz="12" w:space="0" w:color="000000"/>
              <w:left w:val="single" w:sz="12" w:space="0" w:color="000000"/>
              <w:bottom w:val="double" w:sz="12" w:space="0" w:color="000000"/>
              <w:right w:val="single" w:sz="12" w:space="0" w:color="000000"/>
            </w:tcBorders>
          </w:tcPr>
          <w:p w:rsidR="005A63D9" w:rsidRPr="00E27ED8" w:rsidRDefault="005A63D9" w:rsidP="002D69B6">
            <w:pPr>
              <w:autoSpaceDE w:val="0"/>
              <w:spacing w:after="144"/>
              <w:jc w:val="center"/>
              <w:rPr>
                <w:rFonts w:cs="Calibri"/>
                <w:b/>
                <w:bCs/>
                <w:sz w:val="20"/>
                <w:szCs w:val="20"/>
              </w:rPr>
            </w:pPr>
            <w:r w:rsidRPr="00E27ED8">
              <w:rPr>
                <w:rFonts w:cs="Calibri"/>
                <w:b/>
                <w:bCs/>
                <w:sz w:val="20"/>
                <w:szCs w:val="20"/>
              </w:rPr>
              <w:t>1 603</w:t>
            </w:r>
          </w:p>
        </w:tc>
        <w:tc>
          <w:tcPr>
            <w:tcW w:w="717" w:type="pct"/>
            <w:tcBorders>
              <w:top w:val="single" w:sz="12" w:space="0" w:color="000000"/>
              <w:left w:val="single" w:sz="12" w:space="0" w:color="000000"/>
              <w:bottom w:val="double" w:sz="12" w:space="0" w:color="000000"/>
              <w:right w:val="single" w:sz="12" w:space="0" w:color="000000"/>
            </w:tcBorders>
            <w:vAlign w:val="center"/>
          </w:tcPr>
          <w:p w:rsidR="005A63D9" w:rsidRPr="00E27ED8" w:rsidRDefault="005A63D9" w:rsidP="002D69B6">
            <w:pPr>
              <w:autoSpaceDE w:val="0"/>
              <w:spacing w:after="144"/>
              <w:jc w:val="center"/>
              <w:rPr>
                <w:rFonts w:cs="Calibri"/>
                <w:b/>
                <w:bCs/>
                <w:sz w:val="20"/>
                <w:szCs w:val="20"/>
              </w:rPr>
            </w:pPr>
            <w:r w:rsidRPr="00E27ED8">
              <w:rPr>
                <w:rFonts w:cs="Calibri"/>
                <w:b/>
                <w:bCs/>
                <w:sz w:val="20"/>
                <w:szCs w:val="20"/>
              </w:rPr>
              <w:t>100</w:t>
            </w:r>
          </w:p>
        </w:tc>
      </w:tr>
      <w:tr w:rsidR="005A63D9" w:rsidRPr="00E27ED8" w:rsidTr="00E621E3">
        <w:tc>
          <w:tcPr>
            <w:tcW w:w="3565" w:type="pct"/>
            <w:tcBorders>
              <w:top w:val="double" w:sz="12" w:space="0" w:color="000000"/>
              <w:left w:val="single" w:sz="12" w:space="0" w:color="000000"/>
              <w:bottom w:val="single" w:sz="12" w:space="0" w:color="000000"/>
              <w:right w:val="single" w:sz="12" w:space="0" w:color="000000"/>
            </w:tcBorders>
            <w:shd w:val="clear" w:color="auto" w:fill="A6A6A6"/>
            <w:tcMar>
              <w:top w:w="0" w:type="dxa"/>
              <w:left w:w="108" w:type="dxa"/>
              <w:bottom w:w="0" w:type="dxa"/>
              <w:right w:w="108" w:type="dxa"/>
            </w:tcMar>
          </w:tcPr>
          <w:p w:rsidR="005A63D9" w:rsidRPr="00E27ED8" w:rsidRDefault="005A63D9">
            <w:pPr>
              <w:autoSpaceDE w:val="0"/>
              <w:spacing w:after="144"/>
              <w:rPr>
                <w:rFonts w:cs="Calibri"/>
                <w:b/>
                <w:bCs/>
                <w:sz w:val="24"/>
                <w:szCs w:val="24"/>
              </w:rPr>
            </w:pPr>
            <w:r w:rsidRPr="00E27ED8">
              <w:rPr>
                <w:rFonts w:cs="Calibri"/>
                <w:b/>
                <w:bCs/>
                <w:sz w:val="24"/>
                <w:szCs w:val="24"/>
              </w:rPr>
              <w:t>CELKEM HORIZONT 2020</w:t>
            </w:r>
          </w:p>
        </w:tc>
        <w:tc>
          <w:tcPr>
            <w:tcW w:w="717" w:type="pct"/>
            <w:tcBorders>
              <w:top w:val="double" w:sz="12" w:space="0" w:color="000000"/>
              <w:left w:val="single" w:sz="12" w:space="0" w:color="000000"/>
              <w:bottom w:val="single" w:sz="12" w:space="0" w:color="000000"/>
              <w:right w:val="single" w:sz="12" w:space="0" w:color="000000"/>
            </w:tcBorders>
            <w:shd w:val="clear" w:color="auto" w:fill="A6A6A6"/>
          </w:tcPr>
          <w:p w:rsidR="005A63D9" w:rsidRPr="00E27ED8" w:rsidRDefault="005A63D9" w:rsidP="002D69B6">
            <w:pPr>
              <w:autoSpaceDE w:val="0"/>
              <w:spacing w:after="144"/>
              <w:jc w:val="center"/>
              <w:rPr>
                <w:rFonts w:cs="Calibri"/>
                <w:b/>
                <w:bCs/>
              </w:rPr>
            </w:pPr>
            <w:r w:rsidRPr="00E27ED8">
              <w:rPr>
                <w:rFonts w:cs="Calibri"/>
                <w:b/>
                <w:bCs/>
              </w:rPr>
              <w:t>78 631</w:t>
            </w:r>
          </w:p>
        </w:tc>
        <w:tc>
          <w:tcPr>
            <w:tcW w:w="717" w:type="pct"/>
            <w:tcBorders>
              <w:top w:val="double" w:sz="12" w:space="0" w:color="000000"/>
              <w:left w:val="single" w:sz="12" w:space="0" w:color="000000"/>
              <w:bottom w:val="single" w:sz="12" w:space="0" w:color="000000"/>
              <w:right w:val="single" w:sz="12" w:space="0" w:color="000000"/>
            </w:tcBorders>
            <w:shd w:val="clear" w:color="auto" w:fill="A6A6A6"/>
            <w:vAlign w:val="center"/>
          </w:tcPr>
          <w:p w:rsidR="005A63D9" w:rsidRPr="00E27ED8" w:rsidRDefault="005A63D9" w:rsidP="002D69B6">
            <w:pPr>
              <w:autoSpaceDE w:val="0"/>
              <w:spacing w:after="144"/>
              <w:jc w:val="center"/>
              <w:rPr>
                <w:rFonts w:cs="Calibri"/>
                <w:b/>
                <w:bCs/>
              </w:rPr>
            </w:pPr>
          </w:p>
        </w:tc>
      </w:tr>
    </w:tbl>
    <w:p w:rsidR="005A63D9" w:rsidRPr="00946055" w:rsidRDefault="005A63D9" w:rsidP="00946055">
      <w:pPr>
        <w:pStyle w:val="ZDROJovan"/>
        <w:spacing w:after="144"/>
        <w:rPr>
          <w:i w:val="0"/>
        </w:rPr>
      </w:pPr>
      <w:r w:rsidRPr="00946055">
        <w:t>Zdroj</w:t>
      </w:r>
      <w:r w:rsidRPr="002A0959">
        <w:t>: Factsheet: Horizon 2020 budget; 25 November 2014</w:t>
      </w:r>
    </w:p>
    <w:p w:rsidR="005A63D9" w:rsidRPr="00991DD7" w:rsidRDefault="005A63D9" w:rsidP="00991DD7">
      <w:pPr>
        <w:widowControl w:val="0"/>
        <w:adjustRightInd w:val="0"/>
        <w:spacing w:afterLines="0"/>
        <w:ind w:firstLine="539"/>
        <w:contextualSpacing w:val="0"/>
        <w:jc w:val="both"/>
        <w:textAlignment w:val="baseline"/>
        <w:rPr>
          <w:color w:val="000000"/>
          <w:shd w:val="clear" w:color="auto" w:fill="FFFFFF"/>
          <w:lang w:eastAsia="cs-CZ"/>
        </w:rPr>
      </w:pPr>
    </w:p>
    <w:p w:rsidR="005A63D9" w:rsidRPr="00991DD7" w:rsidRDefault="005A63D9" w:rsidP="00991DD7">
      <w:pPr>
        <w:widowControl w:val="0"/>
        <w:adjustRightInd w:val="0"/>
        <w:spacing w:afterLines="0"/>
        <w:ind w:firstLine="539"/>
        <w:contextualSpacing w:val="0"/>
        <w:jc w:val="both"/>
        <w:textAlignment w:val="baseline"/>
        <w:rPr>
          <w:color w:val="000000"/>
          <w:shd w:val="clear" w:color="auto" w:fill="FFFFFF"/>
          <w:lang w:eastAsia="cs-CZ"/>
        </w:rPr>
      </w:pPr>
      <w:r w:rsidRPr="00991DD7">
        <w:rPr>
          <w:color w:val="000000"/>
          <w:shd w:val="clear" w:color="auto" w:fill="FFFFFF"/>
          <w:lang w:eastAsia="cs-CZ"/>
        </w:rPr>
        <w:t xml:space="preserve">Z uvedené struktury nelze odvodit, jaký podíl z celkových finančních prostředků bude vynaložen na VaVaI v oblasti životního prostředí. Nesporně podstatnou část směru 5. Oblast klimatu, účinné využívání zdrojů a suroviny bude činit VaVaI v oblasti životního prostředí. Tento VaVaI však bude i významnou částí směrů 2 a 3 (Zajišťování potravin; Bezpečná, čistá a účinná energie) a zřejmě i směrů dalších. Podle hrubého odhadu bude na VaVaI v oblasti životního prostředí vynaloženo 5–8 % celkových výdajů na program Horizont 2020. VaVaI v oblasti životního prostředí se však zabývají i některé ústavy či uskupení Společného výzkumného centra (JRC) a Evropského technologického institutu (EIT). Viz následující část </w:t>
      </w:r>
      <w:r>
        <w:rPr>
          <w:color w:val="000000"/>
          <w:shd w:val="clear" w:color="auto" w:fill="FFFFFF"/>
          <w:lang w:eastAsia="cs-CZ"/>
        </w:rPr>
        <w:t>analýzy</w:t>
      </w:r>
      <w:r w:rsidRPr="00991DD7">
        <w:rPr>
          <w:color w:val="000000"/>
          <w:shd w:val="clear" w:color="auto" w:fill="FFFFFF"/>
          <w:lang w:eastAsia="cs-CZ"/>
        </w:rPr>
        <w:t>.</w:t>
      </w:r>
    </w:p>
    <w:p w:rsidR="005A63D9" w:rsidRPr="00991DD7" w:rsidRDefault="005A63D9" w:rsidP="00991DD7">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86" w:name="_Toc440897449"/>
      <w:bookmarkStart w:id="187" w:name="_Toc441760851"/>
      <w:bookmarkStart w:id="188" w:name="_Toc441849514"/>
      <w:r>
        <w:rPr>
          <w:rFonts w:cs="Arial"/>
          <w:bCs/>
          <w:iCs/>
          <w:color w:val="000000"/>
          <w:shd w:val="clear" w:color="auto" w:fill="FFFFFF"/>
          <w:lang/>
        </w:rPr>
        <w:t xml:space="preserve">6.3. </w:t>
      </w:r>
      <w:r w:rsidRPr="00991DD7">
        <w:rPr>
          <w:rFonts w:cs="Arial"/>
          <w:bCs/>
          <w:iCs/>
          <w:color w:val="000000"/>
          <w:shd w:val="clear" w:color="auto" w:fill="FFFFFF"/>
          <w:lang/>
        </w:rPr>
        <w:t>Instituce zabezpečující podporu VaV</w:t>
      </w:r>
      <w:bookmarkEnd w:id="186"/>
      <w:bookmarkEnd w:id="187"/>
      <w:bookmarkEnd w:id="188"/>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V EU stejně jako ve většině rozvinutých zemí se prosadil princip, že stát, respektive jeho orgány převádějí podporu VaVaI na výkonné (exekutivní) instituce. EU pro implementaci programu Horizont 2020 využívá čtyři následující agentury:</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Executive Agency Evropské agentury pro výzkum (ERC);</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Research Executive Agency (REA);</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Executive Agency for Small &amp; Medium-size Enterprises (</w:t>
      </w:r>
      <w:hyperlink r:id="rId11" w:tgtFrame="_blank" w:history="1">
        <w:r w:rsidRPr="005C7CCC">
          <w:rPr>
            <w:color w:val="000000"/>
            <w:shd w:val="clear" w:color="auto" w:fill="FFFFFF"/>
            <w:lang w:eastAsia="cs-CZ"/>
          </w:rPr>
          <w:t>EASME</w:t>
        </w:r>
      </w:hyperlink>
      <w:r w:rsidRPr="005C7CCC">
        <w:rPr>
          <w:color w:val="000000"/>
          <w:shd w:val="clear" w:color="auto" w:fill="FFFFFF"/>
          <w:lang w:eastAsia="cs-CZ"/>
        </w:rPr>
        <w:t>);</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Innovation and Networks Executive Agency (</w:t>
      </w:r>
      <w:hyperlink r:id="rId12" w:tgtFrame="_blank" w:history="1">
        <w:r w:rsidRPr="005C7CCC">
          <w:rPr>
            <w:color w:val="000000"/>
            <w:shd w:val="clear" w:color="auto" w:fill="FFFFFF"/>
            <w:lang w:eastAsia="cs-CZ"/>
          </w:rPr>
          <w:t>INEA</w:t>
        </w:r>
      </w:hyperlink>
      <w:r w:rsidRPr="005C7CCC">
        <w:rPr>
          <w:color w:val="000000"/>
          <w:shd w:val="clear" w:color="auto" w:fill="FFFFFF"/>
          <w:lang w:eastAsia="cs-CZ"/>
        </w:rPr>
        <w:t>).</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 xml:space="preserve">Exekutivní agentura Evropské rady pro výzkum byla podrobně charakterizována v předcházející části </w:t>
      </w:r>
      <w:r>
        <w:rPr>
          <w:color w:val="000000"/>
          <w:shd w:val="clear" w:color="auto" w:fill="FFFFFF"/>
          <w:lang w:eastAsia="cs-CZ"/>
        </w:rPr>
        <w:t>této analýzy</w:t>
      </w:r>
      <w:r w:rsidRPr="005C7CCC">
        <w:rPr>
          <w:color w:val="000000"/>
          <w:shd w:val="clear" w:color="auto" w:fill="FFFFFF"/>
          <w:lang w:eastAsia="cs-CZ"/>
        </w:rPr>
        <w:t>.</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p>
    <w:p w:rsidR="005A63D9" w:rsidRPr="005C7CCC" w:rsidRDefault="005A63D9" w:rsidP="005C7CCC">
      <w:pPr>
        <w:pStyle w:val="Heading3"/>
        <w:keepNext/>
        <w:spacing w:before="240" w:afterLines="0" w:line="240" w:lineRule="auto"/>
        <w:contextualSpacing w:val="0"/>
        <w:rPr>
          <w:bCs/>
          <w:shd w:val="clear" w:color="auto" w:fill="FFFFFF"/>
          <w:lang/>
        </w:rPr>
      </w:pPr>
      <w:bookmarkStart w:id="189" w:name="_Toc440897450"/>
      <w:bookmarkStart w:id="190" w:name="_Toc441760852"/>
      <w:bookmarkStart w:id="191" w:name="_Toc441849515"/>
      <w:r w:rsidRPr="005C7CCC">
        <w:rPr>
          <w:bCs/>
          <w:shd w:val="clear" w:color="auto" w:fill="FFFFFF"/>
          <w:lang/>
        </w:rPr>
        <w:t>Exekutivní agentura pro výzkum</w:t>
      </w:r>
      <w:bookmarkEnd w:id="189"/>
      <w:bookmarkEnd w:id="190"/>
      <w:bookmarkEnd w:id="191"/>
      <w:r w:rsidRPr="005C7CCC">
        <w:rPr>
          <w:bCs/>
          <w:shd w:val="clear" w:color="auto" w:fill="FFFFFF"/>
          <w:lang/>
        </w:rPr>
        <w:t xml:space="preserve"> </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 xml:space="preserve">Exekutivní agentura pro výzkum - REA (Research Executive Agency – http://ec.europa.eu/rea) byla zřízena, respektive nově </w:t>
      </w:r>
      <w:r>
        <w:rPr>
          <w:color w:val="000000"/>
          <w:shd w:val="clear" w:color="auto" w:fill="FFFFFF"/>
          <w:lang w:eastAsia="cs-CZ"/>
        </w:rPr>
        <w:t>definována rozhodnutím EK z 13. </w:t>
      </w:r>
      <w:r w:rsidRPr="005C7CCC">
        <w:rPr>
          <w:color w:val="000000"/>
          <w:shd w:val="clear" w:color="auto" w:fill="FFFFFF"/>
          <w:lang w:eastAsia="cs-CZ"/>
        </w:rPr>
        <w:t>prosince 2013, které upřesnilo rozhodnutí EK 20</w:t>
      </w:r>
      <w:r>
        <w:rPr>
          <w:color w:val="000000"/>
          <w:shd w:val="clear" w:color="auto" w:fill="FFFFFF"/>
          <w:lang w:eastAsia="cs-CZ"/>
        </w:rPr>
        <w:t>08/46 EC. Agentura spravuje cca </w:t>
      </w:r>
      <w:r w:rsidRPr="005C7CCC">
        <w:rPr>
          <w:color w:val="000000"/>
          <w:shd w:val="clear" w:color="auto" w:fill="FFFFFF"/>
          <w:lang w:eastAsia="cs-CZ"/>
        </w:rPr>
        <w:t>polovinu všech finančních prostředků EU na po</w:t>
      </w:r>
      <w:r>
        <w:rPr>
          <w:color w:val="000000"/>
          <w:shd w:val="clear" w:color="auto" w:fill="FFFFFF"/>
          <w:lang w:eastAsia="cs-CZ"/>
        </w:rPr>
        <w:t>dporu VaVaI. Agentura usiluje o </w:t>
      </w:r>
      <w:r w:rsidRPr="005C7CCC">
        <w:rPr>
          <w:color w:val="000000"/>
          <w:shd w:val="clear" w:color="auto" w:fill="FFFFFF"/>
          <w:lang w:eastAsia="cs-CZ"/>
        </w:rPr>
        <w:t>maximalizaci efektivnosti a dopadů programů VaVaI. na ekonomiku a společnost. Agenturu řídí generální ředitel. Agentura má tři sekce:</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(A) Excelentní věda (5 oddělení, která jsou zaměřena většinou na realizaci aktivit Marie Sklodowske-Curie);</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(B) Špičkový průmysl a společenské výzvy (5 oddělení, z toho B2 Udržitelné zdroje pro bezpečnost potravin a růst;</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(C) Administrace, finance a výkon podpory.</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p>
    <w:p w:rsidR="005A63D9" w:rsidRPr="005C7CCC" w:rsidRDefault="005A63D9" w:rsidP="005C7CCC">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192" w:name="_Toc440897451"/>
      <w:bookmarkStart w:id="193" w:name="_Toc441760853"/>
      <w:bookmarkStart w:id="194" w:name="_Toc441849516"/>
      <w:r w:rsidRPr="005C7CCC">
        <w:rPr>
          <w:rFonts w:cs="Arial"/>
          <w:bCs/>
          <w:iCs/>
          <w:color w:val="000000"/>
          <w:shd w:val="clear" w:color="auto" w:fill="FFFFFF"/>
          <w:lang/>
        </w:rPr>
        <w:t>6.4. Instituce a organizace zabývající se VaVaI v oblasti životního prostředí</w:t>
      </w:r>
      <w:bookmarkEnd w:id="192"/>
      <w:bookmarkEnd w:id="193"/>
      <w:bookmarkEnd w:id="194"/>
    </w:p>
    <w:p w:rsidR="005A63D9" w:rsidRPr="005C7CCC" w:rsidRDefault="005A63D9" w:rsidP="005C7CCC">
      <w:pPr>
        <w:pStyle w:val="Heading3"/>
        <w:keepNext/>
        <w:spacing w:before="240" w:afterLines="0" w:line="240" w:lineRule="auto"/>
        <w:contextualSpacing w:val="0"/>
        <w:rPr>
          <w:bCs/>
          <w:shd w:val="clear" w:color="auto" w:fill="FFFFFF"/>
          <w:lang/>
        </w:rPr>
      </w:pPr>
      <w:bookmarkStart w:id="195" w:name="_Toc440897452"/>
      <w:bookmarkStart w:id="196" w:name="_Toc441760854"/>
      <w:bookmarkStart w:id="197" w:name="_Toc441849517"/>
      <w:r w:rsidRPr="005C7CCC">
        <w:rPr>
          <w:bCs/>
          <w:shd w:val="clear" w:color="auto" w:fill="FFFFFF"/>
          <w:lang/>
        </w:rPr>
        <w:t>Evropský technologický institut</w:t>
      </w:r>
      <w:bookmarkEnd w:id="195"/>
      <w:bookmarkEnd w:id="196"/>
      <w:bookmarkEnd w:id="197"/>
    </w:p>
    <w:p w:rsidR="005A63D9" w:rsidRPr="005C7CCC" w:rsidRDefault="005A63D9" w:rsidP="005C7CCC">
      <w:pPr>
        <w:widowControl w:val="0"/>
        <w:adjustRightInd w:val="0"/>
        <w:spacing w:afterLines="0"/>
        <w:contextualSpacing w:val="0"/>
        <w:jc w:val="both"/>
        <w:textAlignment w:val="baseline"/>
        <w:rPr>
          <w:color w:val="000000"/>
          <w:shd w:val="clear" w:color="auto" w:fill="FFFFFF"/>
          <w:lang w:eastAsia="cs-CZ"/>
        </w:rPr>
      </w:pPr>
      <w:r w:rsidRPr="005C7CCC">
        <w:rPr>
          <w:color w:val="000000"/>
          <w:shd w:val="clear" w:color="auto" w:fill="FFFFFF"/>
          <w:lang w:eastAsia="cs-CZ"/>
        </w:rPr>
        <w:t>(European Institute of Innovation &amp; Technology, EIT, http://eit.europa.eu)</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EIT je jedním z výsledků snah EU o posílení</w:t>
      </w:r>
      <w:r>
        <w:rPr>
          <w:color w:val="000000"/>
          <w:shd w:val="clear" w:color="auto" w:fill="FFFFFF"/>
          <w:lang w:eastAsia="cs-CZ"/>
        </w:rPr>
        <w:t xml:space="preserve"> excelence evropského výzkumu a </w:t>
      </w:r>
      <w:r w:rsidRPr="005C7CCC">
        <w:rPr>
          <w:color w:val="000000"/>
          <w:shd w:val="clear" w:color="auto" w:fill="FFFFFF"/>
          <w:lang w:eastAsia="cs-CZ"/>
        </w:rPr>
        <w:t>o urychlení převodu výsledků excelentního VaV do praxe. EIT vzniknul na základě rozhodnutí Evropského parlamentu a Rady č. 294/2008. Institut zahájil činnost v roce 2010. Jeho sídlem je Budapešť. Institut vede ředitel. Ředitelství v Budapešti má tři menší útvary v přímé působnosti ředitele a dále tři sekce: Služby a finance (3 oddělení); Management partnerství (4 oddělení); Politika a komunikace (3 oddělení). ETI má Správní radu (Governing Board), která má 12 členů a jednoho pozorovatele z Evropské komise. Česko nemá v těchto orgánech žádného zástupce.</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V současné době (2015) je do EIT zapojeno 273 podniků, 105 ús</w:t>
      </w:r>
      <w:r>
        <w:rPr>
          <w:color w:val="000000"/>
          <w:shd w:val="clear" w:color="auto" w:fill="FFFFFF"/>
          <w:lang w:eastAsia="cs-CZ"/>
        </w:rPr>
        <w:t>tavů vysokých škol a </w:t>
      </w:r>
      <w:r w:rsidRPr="005C7CCC">
        <w:rPr>
          <w:color w:val="000000"/>
          <w:shd w:val="clear" w:color="auto" w:fill="FFFFFF"/>
          <w:lang w:eastAsia="cs-CZ"/>
        </w:rPr>
        <w:t>ústavů veřejných a 56 měst, regionů a neziskových organizací.</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V období 2007–2014 bylo financování institutu z</w:t>
      </w:r>
      <w:r>
        <w:rPr>
          <w:color w:val="000000"/>
          <w:shd w:val="clear" w:color="auto" w:fill="FFFFFF"/>
          <w:lang w:eastAsia="cs-CZ"/>
        </w:rPr>
        <w:t>vláštní položkou rozpočtu EU na </w:t>
      </w:r>
      <w:r w:rsidRPr="005C7CCC">
        <w:rPr>
          <w:color w:val="000000"/>
          <w:shd w:val="clear" w:color="auto" w:fill="FFFFFF"/>
          <w:lang w:eastAsia="cs-CZ"/>
        </w:rPr>
        <w:t>VaVaI. V rozpočtovém období 2014–2020 je finan</w:t>
      </w:r>
      <w:r>
        <w:rPr>
          <w:color w:val="000000"/>
          <w:shd w:val="clear" w:color="auto" w:fill="FFFFFF"/>
          <w:lang w:eastAsia="cs-CZ"/>
        </w:rPr>
        <w:t>cování EIT součástí rozpočtu na </w:t>
      </w:r>
      <w:r w:rsidRPr="005C7CCC">
        <w:rPr>
          <w:color w:val="000000"/>
          <w:shd w:val="clear" w:color="auto" w:fill="FFFFFF"/>
          <w:lang w:eastAsia="cs-CZ"/>
        </w:rPr>
        <w:t>program Horizont 2020.</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p>
    <w:p w:rsidR="005A63D9" w:rsidRPr="005C7CCC" w:rsidRDefault="005A63D9" w:rsidP="005C7CCC">
      <w:pPr>
        <w:widowControl w:val="0"/>
        <w:adjustRightInd w:val="0"/>
        <w:spacing w:afterLines="0"/>
        <w:contextualSpacing w:val="0"/>
        <w:jc w:val="both"/>
        <w:textAlignment w:val="baseline"/>
        <w:rPr>
          <w:color w:val="000000"/>
          <w:shd w:val="clear" w:color="auto" w:fill="FFFFFF"/>
          <w:lang w:eastAsia="cs-CZ"/>
        </w:rPr>
      </w:pPr>
      <w:r w:rsidRPr="005C7CCC">
        <w:rPr>
          <w:b/>
          <w:color w:val="000000"/>
          <w:shd w:val="clear" w:color="auto" w:fill="FFFFFF"/>
          <w:lang w:eastAsia="cs-CZ"/>
        </w:rPr>
        <w:t xml:space="preserve">Tab. č. 37. </w:t>
      </w:r>
      <w:r w:rsidRPr="005C7CCC">
        <w:rPr>
          <w:color w:val="000000"/>
          <w:shd w:val="clear" w:color="auto" w:fill="FFFFFF"/>
          <w:lang w:eastAsia="cs-CZ"/>
        </w:rPr>
        <w:t>Vývoj financování Evropského technologického institutu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021"/>
        <w:gridCol w:w="1211"/>
        <w:gridCol w:w="1211"/>
        <w:gridCol w:w="1211"/>
        <w:gridCol w:w="1211"/>
        <w:gridCol w:w="1211"/>
        <w:gridCol w:w="1211"/>
      </w:tblGrid>
      <w:tr w:rsidR="005A63D9" w:rsidRPr="00E27ED8" w:rsidTr="00E27ED8">
        <w:trPr>
          <w:trHeight w:val="227"/>
        </w:trPr>
        <w:tc>
          <w:tcPr>
            <w:tcW w:w="1088" w:type="pct"/>
            <w:tcBorders>
              <w:top w:val="single" w:sz="12" w:space="0" w:color="auto"/>
              <w:bottom w:val="double" w:sz="4" w:space="0" w:color="auto"/>
              <w:right w:val="single" w:sz="12" w:space="0" w:color="auto"/>
            </w:tcBorders>
            <w:shd w:val="clear" w:color="auto" w:fill="D9D9D9"/>
          </w:tcPr>
          <w:p w:rsidR="005A63D9" w:rsidRPr="00E27ED8" w:rsidRDefault="005A63D9" w:rsidP="00E27ED8">
            <w:pPr>
              <w:spacing w:after="144"/>
              <w:jc w:val="both"/>
              <w:rPr>
                <w:sz w:val="18"/>
                <w:szCs w:val="18"/>
              </w:rPr>
            </w:pPr>
          </w:p>
        </w:tc>
        <w:tc>
          <w:tcPr>
            <w:tcW w:w="652" w:type="pct"/>
            <w:tcBorders>
              <w:top w:val="single" w:sz="12" w:space="0" w:color="auto"/>
              <w:left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2010</w:t>
            </w:r>
          </w:p>
        </w:tc>
        <w:tc>
          <w:tcPr>
            <w:tcW w:w="652"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2011</w:t>
            </w:r>
          </w:p>
        </w:tc>
        <w:tc>
          <w:tcPr>
            <w:tcW w:w="652"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2012</w:t>
            </w:r>
          </w:p>
        </w:tc>
        <w:tc>
          <w:tcPr>
            <w:tcW w:w="652"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2013</w:t>
            </w:r>
          </w:p>
        </w:tc>
        <w:tc>
          <w:tcPr>
            <w:tcW w:w="652"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2014</w:t>
            </w:r>
          </w:p>
        </w:tc>
        <w:tc>
          <w:tcPr>
            <w:tcW w:w="652"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2015</w:t>
            </w:r>
          </w:p>
        </w:tc>
      </w:tr>
      <w:tr w:rsidR="005A63D9" w:rsidRPr="00E27ED8" w:rsidTr="00E27ED8">
        <w:trPr>
          <w:trHeight w:val="227"/>
        </w:trPr>
        <w:tc>
          <w:tcPr>
            <w:tcW w:w="1088" w:type="pct"/>
            <w:tcBorders>
              <w:top w:val="double" w:sz="4" w:space="0" w:color="auto"/>
              <w:right w:val="single" w:sz="12" w:space="0" w:color="auto"/>
            </w:tcBorders>
          </w:tcPr>
          <w:p w:rsidR="005A63D9" w:rsidRPr="00E27ED8" w:rsidRDefault="005A63D9" w:rsidP="00E27ED8">
            <w:pPr>
              <w:spacing w:after="144"/>
              <w:jc w:val="both"/>
              <w:rPr>
                <w:b/>
                <w:sz w:val="18"/>
                <w:szCs w:val="18"/>
              </w:rPr>
            </w:pPr>
            <w:r w:rsidRPr="00E27ED8">
              <w:rPr>
                <w:b/>
                <w:sz w:val="18"/>
                <w:szCs w:val="18"/>
              </w:rPr>
              <w:t>EIT (mil. €)</w:t>
            </w:r>
          </w:p>
        </w:tc>
        <w:tc>
          <w:tcPr>
            <w:tcW w:w="652" w:type="pct"/>
            <w:tcBorders>
              <w:top w:val="double" w:sz="4" w:space="0" w:color="auto"/>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26,4</w:t>
            </w:r>
          </w:p>
        </w:tc>
        <w:tc>
          <w:tcPr>
            <w:tcW w:w="652"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59,2</w:t>
            </w:r>
          </w:p>
        </w:tc>
        <w:tc>
          <w:tcPr>
            <w:tcW w:w="652"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89,8</w:t>
            </w:r>
          </w:p>
        </w:tc>
        <w:tc>
          <w:tcPr>
            <w:tcW w:w="652"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130,5</w:t>
            </w:r>
          </w:p>
        </w:tc>
        <w:tc>
          <w:tcPr>
            <w:tcW w:w="652"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215,3</w:t>
            </w:r>
          </w:p>
        </w:tc>
        <w:tc>
          <w:tcPr>
            <w:tcW w:w="652"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251,9</w:t>
            </w:r>
          </w:p>
        </w:tc>
      </w:tr>
      <w:tr w:rsidR="005A63D9" w:rsidRPr="00E27ED8" w:rsidTr="00E27ED8">
        <w:trPr>
          <w:trHeight w:val="227"/>
        </w:trPr>
        <w:tc>
          <w:tcPr>
            <w:tcW w:w="1088" w:type="pct"/>
            <w:tcBorders>
              <w:right w:val="single" w:sz="12" w:space="0" w:color="auto"/>
            </w:tcBorders>
          </w:tcPr>
          <w:p w:rsidR="005A63D9" w:rsidRPr="00E27ED8" w:rsidRDefault="005A63D9" w:rsidP="00E27ED8">
            <w:pPr>
              <w:spacing w:after="144"/>
              <w:jc w:val="both"/>
              <w:rPr>
                <w:b/>
                <w:sz w:val="18"/>
                <w:szCs w:val="18"/>
              </w:rPr>
            </w:pPr>
            <w:r w:rsidRPr="00E27ED8">
              <w:rPr>
                <w:b/>
                <w:sz w:val="18"/>
                <w:szCs w:val="18"/>
              </w:rPr>
              <w:t>Partneři (mil. €)</w:t>
            </w:r>
          </w:p>
        </w:tc>
        <w:tc>
          <w:tcPr>
            <w:tcW w:w="652"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86,1</w:t>
            </w:r>
          </w:p>
        </w:tc>
        <w:tc>
          <w:tcPr>
            <w:tcW w:w="652" w:type="pct"/>
            <w:vAlign w:val="center"/>
          </w:tcPr>
          <w:p w:rsidR="005A63D9" w:rsidRPr="00E27ED8" w:rsidRDefault="005A63D9" w:rsidP="00E27ED8">
            <w:pPr>
              <w:spacing w:after="144"/>
              <w:jc w:val="center"/>
              <w:rPr>
                <w:sz w:val="16"/>
                <w:szCs w:val="16"/>
              </w:rPr>
            </w:pPr>
            <w:r w:rsidRPr="00E27ED8">
              <w:rPr>
                <w:sz w:val="16"/>
                <w:szCs w:val="16"/>
              </w:rPr>
              <w:t>240,9</w:t>
            </w:r>
          </w:p>
        </w:tc>
        <w:tc>
          <w:tcPr>
            <w:tcW w:w="652" w:type="pct"/>
            <w:vAlign w:val="center"/>
          </w:tcPr>
          <w:p w:rsidR="005A63D9" w:rsidRPr="00E27ED8" w:rsidRDefault="005A63D9" w:rsidP="00E27ED8">
            <w:pPr>
              <w:spacing w:after="144"/>
              <w:jc w:val="center"/>
              <w:rPr>
                <w:sz w:val="16"/>
                <w:szCs w:val="16"/>
              </w:rPr>
            </w:pPr>
            <w:r w:rsidRPr="00E27ED8">
              <w:rPr>
                <w:sz w:val="16"/>
                <w:szCs w:val="16"/>
              </w:rPr>
              <w:t>301,3</w:t>
            </w:r>
          </w:p>
        </w:tc>
        <w:tc>
          <w:tcPr>
            <w:tcW w:w="652" w:type="pct"/>
            <w:vAlign w:val="center"/>
          </w:tcPr>
          <w:p w:rsidR="005A63D9" w:rsidRPr="00E27ED8" w:rsidRDefault="005A63D9" w:rsidP="00E27ED8">
            <w:pPr>
              <w:spacing w:after="144"/>
              <w:jc w:val="center"/>
              <w:rPr>
                <w:sz w:val="16"/>
                <w:szCs w:val="16"/>
              </w:rPr>
            </w:pPr>
            <w:r w:rsidRPr="00E27ED8">
              <w:rPr>
                <w:sz w:val="16"/>
                <w:szCs w:val="16"/>
              </w:rPr>
              <w:t>658,2</w:t>
            </w:r>
          </w:p>
        </w:tc>
        <w:tc>
          <w:tcPr>
            <w:tcW w:w="652" w:type="pct"/>
            <w:vAlign w:val="center"/>
          </w:tcPr>
          <w:p w:rsidR="005A63D9" w:rsidRPr="00E27ED8" w:rsidRDefault="005A63D9" w:rsidP="00E27ED8">
            <w:pPr>
              <w:spacing w:after="144"/>
              <w:jc w:val="center"/>
              <w:rPr>
                <w:sz w:val="16"/>
                <w:szCs w:val="16"/>
              </w:rPr>
            </w:pPr>
            <w:r w:rsidRPr="00E27ED8">
              <w:rPr>
                <w:sz w:val="16"/>
                <w:szCs w:val="16"/>
              </w:rPr>
              <w:t>1 087,4</w:t>
            </w:r>
          </w:p>
        </w:tc>
        <w:tc>
          <w:tcPr>
            <w:tcW w:w="652" w:type="pct"/>
            <w:vAlign w:val="center"/>
          </w:tcPr>
          <w:p w:rsidR="005A63D9" w:rsidRPr="00E27ED8" w:rsidRDefault="005A63D9" w:rsidP="00E27ED8">
            <w:pPr>
              <w:spacing w:after="144"/>
              <w:jc w:val="center"/>
              <w:rPr>
                <w:sz w:val="16"/>
                <w:szCs w:val="16"/>
              </w:rPr>
            </w:pPr>
            <w:r w:rsidRPr="00E27ED8">
              <w:rPr>
                <w:sz w:val="16"/>
                <w:szCs w:val="16"/>
              </w:rPr>
              <w:t>1 014,7</w:t>
            </w:r>
          </w:p>
        </w:tc>
      </w:tr>
      <w:tr w:rsidR="005A63D9" w:rsidRPr="00E27ED8" w:rsidTr="00E27ED8">
        <w:trPr>
          <w:trHeight w:val="227"/>
        </w:trPr>
        <w:tc>
          <w:tcPr>
            <w:tcW w:w="1088" w:type="pct"/>
            <w:tcBorders>
              <w:right w:val="single" w:sz="12" w:space="0" w:color="auto"/>
            </w:tcBorders>
          </w:tcPr>
          <w:p w:rsidR="005A63D9" w:rsidRPr="00E27ED8" w:rsidRDefault="005A63D9" w:rsidP="00E27ED8">
            <w:pPr>
              <w:spacing w:after="144"/>
              <w:jc w:val="both"/>
              <w:rPr>
                <w:b/>
                <w:sz w:val="18"/>
                <w:szCs w:val="18"/>
              </w:rPr>
            </w:pPr>
            <w:r w:rsidRPr="00E27ED8">
              <w:rPr>
                <w:b/>
                <w:sz w:val="18"/>
                <w:szCs w:val="18"/>
              </w:rPr>
              <w:t>CELKEM (mil. €)</w:t>
            </w:r>
          </w:p>
        </w:tc>
        <w:tc>
          <w:tcPr>
            <w:tcW w:w="652"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112,5</w:t>
            </w:r>
          </w:p>
        </w:tc>
        <w:tc>
          <w:tcPr>
            <w:tcW w:w="652" w:type="pct"/>
            <w:vAlign w:val="center"/>
          </w:tcPr>
          <w:p w:rsidR="005A63D9" w:rsidRPr="00E27ED8" w:rsidRDefault="005A63D9" w:rsidP="00E27ED8">
            <w:pPr>
              <w:spacing w:after="144"/>
              <w:jc w:val="center"/>
              <w:rPr>
                <w:sz w:val="16"/>
                <w:szCs w:val="16"/>
              </w:rPr>
            </w:pPr>
            <w:r w:rsidRPr="00E27ED8">
              <w:rPr>
                <w:sz w:val="16"/>
                <w:szCs w:val="16"/>
              </w:rPr>
              <w:t>300,1</w:t>
            </w:r>
          </w:p>
        </w:tc>
        <w:tc>
          <w:tcPr>
            <w:tcW w:w="652" w:type="pct"/>
            <w:vAlign w:val="center"/>
          </w:tcPr>
          <w:p w:rsidR="005A63D9" w:rsidRPr="00E27ED8" w:rsidRDefault="005A63D9" w:rsidP="00E27ED8">
            <w:pPr>
              <w:spacing w:after="144"/>
              <w:jc w:val="center"/>
              <w:rPr>
                <w:sz w:val="16"/>
                <w:szCs w:val="16"/>
              </w:rPr>
            </w:pPr>
            <w:r w:rsidRPr="00E27ED8">
              <w:rPr>
                <w:sz w:val="16"/>
                <w:szCs w:val="16"/>
              </w:rPr>
              <w:t>413,8</w:t>
            </w:r>
          </w:p>
        </w:tc>
        <w:tc>
          <w:tcPr>
            <w:tcW w:w="652" w:type="pct"/>
            <w:vAlign w:val="center"/>
          </w:tcPr>
          <w:p w:rsidR="005A63D9" w:rsidRPr="00E27ED8" w:rsidRDefault="005A63D9" w:rsidP="00E27ED8">
            <w:pPr>
              <w:spacing w:after="144"/>
              <w:jc w:val="center"/>
              <w:rPr>
                <w:sz w:val="16"/>
                <w:szCs w:val="16"/>
              </w:rPr>
            </w:pPr>
            <w:r w:rsidRPr="00E27ED8">
              <w:rPr>
                <w:sz w:val="16"/>
                <w:szCs w:val="16"/>
              </w:rPr>
              <w:t>778,5</w:t>
            </w:r>
          </w:p>
        </w:tc>
        <w:tc>
          <w:tcPr>
            <w:tcW w:w="652" w:type="pct"/>
            <w:vAlign w:val="center"/>
          </w:tcPr>
          <w:p w:rsidR="005A63D9" w:rsidRPr="00E27ED8" w:rsidRDefault="005A63D9" w:rsidP="00E27ED8">
            <w:pPr>
              <w:spacing w:after="144"/>
              <w:jc w:val="center"/>
              <w:rPr>
                <w:sz w:val="16"/>
                <w:szCs w:val="16"/>
              </w:rPr>
            </w:pPr>
            <w:r w:rsidRPr="00E27ED8">
              <w:rPr>
                <w:sz w:val="16"/>
                <w:szCs w:val="16"/>
              </w:rPr>
              <w:t>1 302,3</w:t>
            </w:r>
          </w:p>
        </w:tc>
        <w:tc>
          <w:tcPr>
            <w:tcW w:w="652" w:type="pct"/>
            <w:vAlign w:val="center"/>
          </w:tcPr>
          <w:p w:rsidR="005A63D9" w:rsidRPr="00E27ED8" w:rsidRDefault="005A63D9" w:rsidP="00E27ED8">
            <w:pPr>
              <w:spacing w:after="144"/>
              <w:jc w:val="center"/>
              <w:rPr>
                <w:sz w:val="16"/>
                <w:szCs w:val="16"/>
              </w:rPr>
            </w:pPr>
            <w:r w:rsidRPr="00E27ED8">
              <w:rPr>
                <w:sz w:val="16"/>
                <w:szCs w:val="16"/>
              </w:rPr>
              <w:t>1 266,6</w:t>
            </w:r>
          </w:p>
        </w:tc>
      </w:tr>
      <w:tr w:rsidR="005A63D9" w:rsidRPr="00E27ED8" w:rsidTr="00E27ED8">
        <w:trPr>
          <w:trHeight w:val="227"/>
        </w:trPr>
        <w:tc>
          <w:tcPr>
            <w:tcW w:w="1088" w:type="pct"/>
            <w:tcBorders>
              <w:bottom w:val="single" w:sz="12" w:space="0" w:color="auto"/>
              <w:right w:val="single" w:sz="12" w:space="0" w:color="auto"/>
            </w:tcBorders>
          </w:tcPr>
          <w:p w:rsidR="005A63D9" w:rsidRPr="00E27ED8" w:rsidRDefault="005A63D9" w:rsidP="00E27ED8">
            <w:pPr>
              <w:spacing w:after="144"/>
              <w:jc w:val="both"/>
              <w:rPr>
                <w:b/>
                <w:sz w:val="18"/>
                <w:szCs w:val="18"/>
              </w:rPr>
            </w:pPr>
            <w:r w:rsidRPr="00E27ED8">
              <w:rPr>
                <w:b/>
                <w:sz w:val="18"/>
                <w:szCs w:val="18"/>
              </w:rPr>
              <w:t>Podíl partnerů (%)</w:t>
            </w:r>
          </w:p>
        </w:tc>
        <w:tc>
          <w:tcPr>
            <w:tcW w:w="652" w:type="pct"/>
            <w:tcBorders>
              <w:left w:val="single" w:sz="12" w:space="0" w:color="auto"/>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76,4</w:t>
            </w:r>
          </w:p>
        </w:tc>
        <w:tc>
          <w:tcPr>
            <w:tcW w:w="652"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80,3</w:t>
            </w:r>
          </w:p>
        </w:tc>
        <w:tc>
          <w:tcPr>
            <w:tcW w:w="652"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72,3</w:t>
            </w:r>
          </w:p>
        </w:tc>
        <w:tc>
          <w:tcPr>
            <w:tcW w:w="652"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84,5</w:t>
            </w:r>
          </w:p>
        </w:tc>
        <w:tc>
          <w:tcPr>
            <w:tcW w:w="652"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83,5</w:t>
            </w:r>
          </w:p>
        </w:tc>
        <w:tc>
          <w:tcPr>
            <w:tcW w:w="652"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80,0</w:t>
            </w:r>
          </w:p>
        </w:tc>
      </w:tr>
    </w:tbl>
    <w:p w:rsidR="005A63D9" w:rsidRPr="00946055" w:rsidRDefault="005A63D9" w:rsidP="0008405A">
      <w:pPr>
        <w:spacing w:after="144"/>
        <w:jc w:val="both"/>
        <w:rPr>
          <w:rStyle w:val="ZDROJovanChar"/>
          <w:iCs/>
          <w:sz w:val="18"/>
          <w:szCs w:val="20"/>
          <w:lang w:val="cs-CZ"/>
        </w:rPr>
      </w:pPr>
      <w:r>
        <w:rPr>
          <w:i/>
          <w:sz w:val="20"/>
          <w:szCs w:val="20"/>
        </w:rPr>
        <w:t>Z</w:t>
      </w:r>
      <w:r w:rsidRPr="00946055">
        <w:rPr>
          <w:rStyle w:val="ZDROJovanChar"/>
          <w:iCs/>
          <w:sz w:val="18"/>
          <w:szCs w:val="20"/>
          <w:lang w:val="cs-CZ"/>
        </w:rPr>
        <w:t>droje: EIT, Principles for financing, monitoring and evaluating KIC activities.</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Celkové finanční zdroje, podpora EIT a podíly partner</w:t>
      </w:r>
      <w:r>
        <w:rPr>
          <w:color w:val="000000"/>
          <w:shd w:val="clear" w:color="auto" w:fill="FFFFFF"/>
          <w:lang w:eastAsia="cs-CZ"/>
        </w:rPr>
        <w:t>ů společenství v období 2010 až </w:t>
      </w:r>
      <w:r w:rsidRPr="005C7CCC">
        <w:rPr>
          <w:color w:val="000000"/>
          <w:shd w:val="clear" w:color="auto" w:fill="FFFFFF"/>
          <w:lang w:eastAsia="cs-CZ"/>
        </w:rPr>
        <w:t>2015 dynamicky rostly. Podíl vkladů partnerů společenst</w:t>
      </w:r>
      <w:r>
        <w:rPr>
          <w:color w:val="000000"/>
          <w:shd w:val="clear" w:color="auto" w:fill="FFFFFF"/>
          <w:lang w:eastAsia="cs-CZ"/>
        </w:rPr>
        <w:t>ví byl v celém období vyšší než </w:t>
      </w:r>
      <w:r w:rsidRPr="005C7CCC">
        <w:rPr>
          <w:color w:val="000000"/>
          <w:shd w:val="clear" w:color="auto" w:fill="FFFFFF"/>
          <w:lang w:eastAsia="cs-CZ"/>
        </w:rPr>
        <w:t>70 %.</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Výkonnými jednotkami EIT jsou „Znalostní a inova</w:t>
      </w:r>
      <w:r>
        <w:rPr>
          <w:color w:val="000000"/>
          <w:shd w:val="clear" w:color="auto" w:fill="FFFFFF"/>
          <w:lang w:eastAsia="cs-CZ"/>
        </w:rPr>
        <w:t>ční společenství (Knowledge and </w:t>
      </w:r>
      <w:r w:rsidRPr="005C7CCC">
        <w:rPr>
          <w:color w:val="000000"/>
          <w:shd w:val="clear" w:color="auto" w:fill="FFFFFF"/>
          <w:lang w:eastAsia="cs-CZ"/>
        </w:rPr>
        <w:t>Innovation Communities – KICs)“. V současné době má EIT 6 těchto společenství:</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Climate–KIC</w:t>
      </w:r>
      <w:r w:rsidRPr="005C7CCC">
        <w:rPr>
          <w:color w:val="000000"/>
          <w:shd w:val="clear" w:color="auto" w:fill="FFFFFF"/>
          <w:lang w:eastAsia="cs-CZ"/>
        </w:rPr>
        <w:tab/>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KIC InoEnergo</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EIT Materials</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Pr>
          <w:color w:val="000000"/>
          <w:shd w:val="clear" w:color="auto" w:fill="FFFFFF"/>
          <w:lang w:eastAsia="cs-CZ"/>
        </w:rPr>
        <w:t>EIT Health</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Pr>
          <w:color w:val="000000"/>
          <w:shd w:val="clear" w:color="auto" w:fill="FFFFFF"/>
          <w:lang w:eastAsia="cs-CZ"/>
        </w:rPr>
        <w:t>EIT Digital</w:t>
      </w:r>
    </w:p>
    <w:p w:rsidR="005A63D9" w:rsidRPr="005C7CCC" w:rsidRDefault="005A63D9" w:rsidP="005C7CCC">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5C7CCC">
        <w:rPr>
          <w:color w:val="000000"/>
          <w:shd w:val="clear" w:color="auto" w:fill="FFFFFF"/>
          <w:lang w:eastAsia="cs-CZ"/>
        </w:rPr>
        <w:t>EIT Alumni</w:t>
      </w:r>
    </w:p>
    <w:p w:rsidR="005A63D9" w:rsidRPr="005C7CCC" w:rsidRDefault="005A63D9" w:rsidP="005C7CCC">
      <w:pPr>
        <w:widowControl w:val="0"/>
        <w:adjustRightInd w:val="0"/>
        <w:spacing w:afterLines="0"/>
        <w:ind w:firstLine="539"/>
        <w:contextualSpacing w:val="0"/>
        <w:jc w:val="both"/>
        <w:textAlignment w:val="baseline"/>
        <w:rPr>
          <w:color w:val="000000"/>
          <w:shd w:val="clear" w:color="auto" w:fill="FFFFFF"/>
          <w:lang w:eastAsia="cs-CZ"/>
        </w:rPr>
      </w:pPr>
      <w:r w:rsidRPr="005C7CCC">
        <w:rPr>
          <w:color w:val="000000"/>
          <w:shd w:val="clear" w:color="auto" w:fill="FFFFFF"/>
          <w:lang w:eastAsia="cs-CZ"/>
        </w:rPr>
        <w:t>Předpokládá se, že v rámci programu Horizont vzniknou dvě až tři společenství další. VaVaI v oblasti životního prostředí se zabývá společenství</w:t>
      </w:r>
      <w:r>
        <w:rPr>
          <w:color w:val="000000"/>
          <w:shd w:val="clear" w:color="auto" w:fill="FFFFFF"/>
          <w:lang w:eastAsia="cs-CZ"/>
        </w:rPr>
        <w:t xml:space="preserve"> Climate – KIC a částečně i KIC </w:t>
      </w:r>
      <w:r w:rsidRPr="005C7CCC">
        <w:rPr>
          <w:color w:val="000000"/>
          <w:shd w:val="clear" w:color="auto" w:fill="FFFFFF"/>
          <w:lang w:eastAsia="cs-CZ"/>
        </w:rPr>
        <w:t>InnoEnergy.</w:t>
      </w:r>
    </w:p>
    <w:p w:rsidR="005A63D9" w:rsidRPr="00AA539A" w:rsidRDefault="005A63D9" w:rsidP="00AA539A">
      <w:pPr>
        <w:pStyle w:val="Heading3"/>
        <w:keepNext/>
        <w:spacing w:before="240" w:afterLines="0" w:line="240" w:lineRule="auto"/>
        <w:contextualSpacing w:val="0"/>
        <w:rPr>
          <w:bCs/>
          <w:shd w:val="clear" w:color="auto" w:fill="FFFFFF"/>
          <w:lang/>
        </w:rPr>
      </w:pPr>
      <w:bookmarkStart w:id="198" w:name="_Toc440897453"/>
      <w:bookmarkStart w:id="199" w:name="_Toc441760855"/>
      <w:bookmarkStart w:id="200" w:name="_Toc441849518"/>
      <w:r w:rsidRPr="00AA539A">
        <w:rPr>
          <w:bCs/>
          <w:shd w:val="clear" w:color="auto" w:fill="FFFFFF"/>
          <w:lang/>
        </w:rPr>
        <w:t>Společenství Climate</w:t>
      </w:r>
      <w:bookmarkEnd w:id="198"/>
      <w:bookmarkEnd w:id="199"/>
      <w:bookmarkEnd w:id="200"/>
    </w:p>
    <w:p w:rsidR="005A63D9" w:rsidRPr="00AA539A" w:rsidRDefault="005A63D9" w:rsidP="00AA539A">
      <w:pPr>
        <w:widowControl w:val="0"/>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(Společenství Climate – KIC – http://climate-kic.org).</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Členy společenství jsou subjekty z 9 zemí (FR, DE, NL, CH, UK, DK, ES, IT, ES). Nejvyšším orgánem sdružení je shromáždění zástupců</w:t>
      </w:r>
      <w:r>
        <w:rPr>
          <w:color w:val="000000"/>
          <w:shd w:val="clear" w:color="auto" w:fill="FFFFFF"/>
          <w:lang w:eastAsia="cs-CZ"/>
        </w:rPr>
        <w:t xml:space="preserve"> řádných členů společenství (34 </w:t>
      </w:r>
      <w:r w:rsidRPr="00AA539A">
        <w:rPr>
          <w:color w:val="000000"/>
          <w:shd w:val="clear" w:color="auto" w:fill="FFFFFF"/>
          <w:lang w:eastAsia="cs-CZ"/>
        </w:rPr>
        <w:t>členů) a dvou volených přidružených zástupců. Strategické otázky sdružení řeší správní rada (14 členů, zástupců lokálních poboček – center sdružení). Operativní řízení zabezpečuje 14členný exekutivní tým. Sdružení se zabývá především problematikou: Proměn (Transitions) měst; Udržitelnými výrobními s</w:t>
      </w:r>
      <w:r>
        <w:rPr>
          <w:color w:val="000000"/>
          <w:shd w:val="clear" w:color="auto" w:fill="FFFFFF"/>
          <w:lang w:eastAsia="cs-CZ"/>
        </w:rPr>
        <w:t>ystémy; Metrikami rozhodování a </w:t>
      </w:r>
      <w:r w:rsidRPr="00AA539A">
        <w:rPr>
          <w:color w:val="000000"/>
          <w:shd w:val="clear" w:color="auto" w:fill="FFFFFF"/>
          <w:lang w:eastAsia="cs-CZ"/>
        </w:rPr>
        <w:t>financování; Udržitelným využíváním půdy.</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Za dobu existence sdružení vzniklo v jeho rámci několik desítek Start-ups. V současné době řeší sdružení 28 projektů VaV. Jejich seznam s přístupy k projektům je uveden v dodatku č. 5 této přílohy. Evropská komise má I svou orga</w:t>
      </w:r>
      <w:r>
        <w:rPr>
          <w:color w:val="000000"/>
          <w:shd w:val="clear" w:color="auto" w:fill="FFFFFF"/>
          <w:lang w:eastAsia="cs-CZ"/>
        </w:rPr>
        <w:t>nizaci “resortního” výzkumu. Je </w:t>
      </w:r>
      <w:r w:rsidRPr="00AA539A">
        <w:rPr>
          <w:color w:val="000000"/>
          <w:shd w:val="clear" w:color="auto" w:fill="FFFFFF"/>
          <w:lang w:eastAsia="cs-CZ"/>
        </w:rPr>
        <w:t>jim Společné výzkumné centrum.</w:t>
      </w:r>
    </w:p>
    <w:p w:rsidR="005A63D9" w:rsidRPr="00AA539A" w:rsidRDefault="005A63D9" w:rsidP="00AA539A">
      <w:pPr>
        <w:pStyle w:val="Heading3"/>
        <w:keepNext/>
        <w:keepLines/>
        <w:spacing w:before="240" w:afterLines="0" w:line="240" w:lineRule="auto"/>
        <w:contextualSpacing w:val="0"/>
        <w:rPr>
          <w:bCs/>
          <w:shd w:val="clear" w:color="auto" w:fill="FFFFFF"/>
          <w:lang/>
        </w:rPr>
      </w:pPr>
      <w:bookmarkStart w:id="201" w:name="_Toc440897454"/>
      <w:bookmarkStart w:id="202" w:name="_Toc441760856"/>
      <w:bookmarkStart w:id="203" w:name="_Toc441849519"/>
      <w:r w:rsidRPr="00AA539A">
        <w:rPr>
          <w:bCs/>
          <w:shd w:val="clear" w:color="auto" w:fill="FFFFFF"/>
          <w:lang/>
        </w:rPr>
        <w:t>Společné výzkumné centrum</w:t>
      </w:r>
      <w:bookmarkEnd w:id="201"/>
      <w:bookmarkEnd w:id="202"/>
      <w:bookmarkEnd w:id="203"/>
    </w:p>
    <w:p w:rsidR="005A63D9" w:rsidRPr="00AA539A" w:rsidRDefault="005A63D9" w:rsidP="00AA539A">
      <w:pPr>
        <w:keepNext/>
        <w:widowControl w:val="0"/>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(Joint Research Centre, JRC – http://ec.europa.eu/jrc)</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JRC má 7 výzkumných ústavů, které sídlí v pěti lokalitách:</w:t>
      </w:r>
    </w:p>
    <w:p w:rsidR="005A63D9" w:rsidRPr="00AA539A" w:rsidRDefault="005A63D9" w:rsidP="00AA539A">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A539A">
        <w:rPr>
          <w:color w:val="000000"/>
          <w:shd w:val="clear" w:color="auto" w:fill="FFFFFF"/>
          <w:lang w:eastAsia="cs-CZ"/>
        </w:rPr>
        <w:t>Ispra (Itálie):</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Ústav pro ochranu a bezpečnost občanů (IPSC)</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Ústav pro životní prostředí a udržitelnost (IES)</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Ústav pro zdraví a ochranu spotřebitelů (IHCP)</w:t>
      </w:r>
    </w:p>
    <w:p w:rsidR="005A63D9" w:rsidRPr="00AA539A" w:rsidRDefault="005A63D9" w:rsidP="00AA539A">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A539A">
        <w:rPr>
          <w:color w:val="000000"/>
          <w:shd w:val="clear" w:color="auto" w:fill="FFFFFF"/>
          <w:lang w:eastAsia="cs-CZ"/>
        </w:rPr>
        <w:t>Geel (Belgie)</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Ustav pro referenční materiály a měření</w:t>
      </w:r>
    </w:p>
    <w:p w:rsidR="005A63D9" w:rsidRPr="00AA539A" w:rsidRDefault="005A63D9" w:rsidP="00AA539A">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A539A">
        <w:rPr>
          <w:color w:val="000000"/>
          <w:shd w:val="clear" w:color="auto" w:fill="FFFFFF"/>
          <w:lang w:eastAsia="cs-CZ"/>
        </w:rPr>
        <w:t>Petten (Nizozemsko)</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Institut pro energetiku a transport</w:t>
      </w:r>
    </w:p>
    <w:p w:rsidR="005A63D9" w:rsidRPr="00AA539A" w:rsidRDefault="005A63D9" w:rsidP="00AA539A">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A539A">
        <w:rPr>
          <w:color w:val="000000"/>
          <w:shd w:val="clear" w:color="auto" w:fill="FFFFFF"/>
          <w:lang w:eastAsia="cs-CZ"/>
        </w:rPr>
        <w:t>Karlsruhe (Německo)</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Ústav pro transuranové prvky</w:t>
      </w:r>
    </w:p>
    <w:p w:rsidR="005A63D9" w:rsidRPr="00AA539A" w:rsidRDefault="005A63D9" w:rsidP="00AA539A">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AA539A">
        <w:rPr>
          <w:color w:val="000000"/>
          <w:shd w:val="clear" w:color="auto" w:fill="FFFFFF"/>
          <w:lang w:eastAsia="cs-CZ"/>
        </w:rPr>
        <w:t>Sevilla (Španělsko)</w:t>
      </w:r>
    </w:p>
    <w:p w:rsidR="005A63D9" w:rsidRPr="00AA539A" w:rsidRDefault="005A63D9" w:rsidP="00AA539A">
      <w:pPr>
        <w:pStyle w:val="ListParagraph"/>
        <w:widowControl w:val="0"/>
        <w:numPr>
          <w:ilvl w:val="0"/>
          <w:numId w:val="92"/>
        </w:numPr>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Ústav pro perspektivní technologické studie</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JRC připravuje podklady pro vybrané politiky EU, sleduje a hodnotí realizaci těchto politik. Kromě toho řeší výzkumné projekty společného zájmu EU. V Bruselu sídlí Generální ředitelství JRC. Generální ředitel V. Šucha (Slovensko) má v působnosti několik interních útvarů a dvě ředitelství: Ředitelství pro politiku výzkumu a vztahy se stakeholders; Ředitelství pro zdroje. S funkcí správní rady působí Rada guvernérů (</w:t>
      </w:r>
      <w:r>
        <w:rPr>
          <w:color w:val="000000"/>
          <w:shd w:val="clear" w:color="auto" w:fill="FFFFFF"/>
          <w:lang w:eastAsia="cs-CZ"/>
        </w:rPr>
        <w:t>Board of Governors). Rada má 24 </w:t>
      </w:r>
      <w:r w:rsidRPr="00AA539A">
        <w:rPr>
          <w:color w:val="000000"/>
          <w:shd w:val="clear" w:color="auto" w:fill="FFFFFF"/>
          <w:lang w:eastAsia="cs-CZ"/>
        </w:rPr>
        <w:t>členů. Za Česko je členem rady K. Aim z Ústavu chemických procesů AV ČR.</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 xml:space="preserve">JRC má cca 3 000 zaměstnanců, z toho je cca 77 </w:t>
      </w:r>
      <w:r>
        <w:rPr>
          <w:color w:val="000000"/>
          <w:shd w:val="clear" w:color="auto" w:fill="FFFFFF"/>
          <w:lang w:eastAsia="cs-CZ"/>
        </w:rPr>
        <w:t>% výzkumných pracovníků. Hlavní </w:t>
      </w:r>
      <w:r w:rsidRPr="00AA539A">
        <w:rPr>
          <w:color w:val="000000"/>
          <w:shd w:val="clear" w:color="auto" w:fill="FFFFFF"/>
          <w:lang w:eastAsia="cs-CZ"/>
        </w:rPr>
        <w:t>charakteristiky JRC jsou uvedeny v Tab. č. 38.</w:t>
      </w:r>
    </w:p>
    <w:p w:rsidR="005A63D9" w:rsidRDefault="005A63D9">
      <w:pPr>
        <w:spacing w:afterLines="0" w:line="259" w:lineRule="auto"/>
        <w:contextualSpacing w:val="0"/>
        <w:rPr>
          <w:color w:val="000000"/>
          <w:shd w:val="clear" w:color="auto" w:fill="FFFFFF"/>
          <w:lang w:eastAsia="cs-CZ"/>
        </w:rPr>
      </w:pPr>
      <w:r>
        <w:rPr>
          <w:color w:val="000000"/>
          <w:shd w:val="clear" w:color="auto" w:fill="FFFFFF"/>
          <w:lang w:eastAsia="cs-CZ"/>
        </w:rPr>
        <w:br w:type="page"/>
      </w:r>
    </w:p>
    <w:p w:rsidR="005A63D9" w:rsidRPr="00AA539A" w:rsidRDefault="005A63D9" w:rsidP="00AA539A">
      <w:pPr>
        <w:widowControl w:val="0"/>
        <w:adjustRightInd w:val="0"/>
        <w:spacing w:afterLines="0"/>
        <w:contextualSpacing w:val="0"/>
        <w:jc w:val="both"/>
        <w:textAlignment w:val="baseline"/>
        <w:rPr>
          <w:b/>
          <w:color w:val="000000"/>
          <w:shd w:val="clear" w:color="auto" w:fill="FFFFFF"/>
          <w:lang w:eastAsia="cs-CZ"/>
        </w:rPr>
      </w:pPr>
      <w:r>
        <w:rPr>
          <w:b/>
          <w:color w:val="000000"/>
          <w:shd w:val="clear" w:color="auto" w:fill="FFFFFF"/>
          <w:lang w:eastAsia="cs-CZ"/>
        </w:rPr>
        <w:t>Tab. č. 38</w:t>
      </w:r>
      <w:r w:rsidRPr="00AA539A">
        <w:rPr>
          <w:b/>
          <w:color w:val="000000"/>
          <w:shd w:val="clear" w:color="auto" w:fill="FFFFFF"/>
          <w:lang w:eastAsia="cs-CZ"/>
        </w:rPr>
        <w:t xml:space="preserve"> </w:t>
      </w:r>
      <w:r w:rsidRPr="00AA539A">
        <w:rPr>
          <w:color w:val="000000"/>
          <w:shd w:val="clear" w:color="auto" w:fill="FFFFFF"/>
          <w:lang w:eastAsia="cs-CZ"/>
        </w:rPr>
        <w:t>Hlavní charakteristiky JRC</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934"/>
        <w:gridCol w:w="1451"/>
        <w:gridCol w:w="1451"/>
        <w:gridCol w:w="1451"/>
      </w:tblGrid>
      <w:tr w:rsidR="005A63D9" w:rsidRPr="00E27ED8" w:rsidTr="00E27ED8">
        <w:tc>
          <w:tcPr>
            <w:tcW w:w="2656" w:type="pct"/>
            <w:tcBorders>
              <w:top w:val="single" w:sz="12" w:space="0" w:color="auto"/>
              <w:bottom w:val="double" w:sz="4" w:space="0" w:color="auto"/>
              <w:right w:val="single" w:sz="12" w:space="0" w:color="auto"/>
            </w:tcBorders>
            <w:shd w:val="clear" w:color="auto" w:fill="D9D9D9"/>
          </w:tcPr>
          <w:p w:rsidR="005A63D9" w:rsidRPr="00E27ED8" w:rsidRDefault="005A63D9" w:rsidP="00E27ED8">
            <w:pPr>
              <w:spacing w:after="144"/>
              <w:jc w:val="both"/>
              <w:rPr>
                <w:sz w:val="20"/>
                <w:szCs w:val="20"/>
              </w:rPr>
            </w:pPr>
          </w:p>
        </w:tc>
        <w:tc>
          <w:tcPr>
            <w:tcW w:w="781" w:type="pct"/>
            <w:tcBorders>
              <w:top w:val="single" w:sz="12" w:space="0" w:color="auto"/>
              <w:left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2012</w:t>
            </w:r>
          </w:p>
        </w:tc>
        <w:tc>
          <w:tcPr>
            <w:tcW w:w="781"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2013</w:t>
            </w:r>
          </w:p>
        </w:tc>
        <w:tc>
          <w:tcPr>
            <w:tcW w:w="781" w:type="pct"/>
            <w:tcBorders>
              <w:top w:val="single" w:sz="12" w:space="0" w:color="auto"/>
              <w:bottom w:val="double" w:sz="4" w:space="0" w:color="auto"/>
            </w:tcBorders>
            <w:shd w:val="clear" w:color="auto" w:fill="D9D9D9"/>
            <w:vAlign w:val="center"/>
          </w:tcPr>
          <w:p w:rsidR="005A63D9" w:rsidRPr="00E27ED8" w:rsidRDefault="005A63D9" w:rsidP="00E27ED8">
            <w:pPr>
              <w:spacing w:after="144"/>
              <w:jc w:val="center"/>
              <w:rPr>
                <w:b/>
                <w:sz w:val="18"/>
                <w:szCs w:val="18"/>
              </w:rPr>
            </w:pPr>
            <w:r w:rsidRPr="00E27ED8">
              <w:rPr>
                <w:b/>
                <w:sz w:val="18"/>
                <w:szCs w:val="18"/>
              </w:rPr>
              <w:t>2014</w:t>
            </w:r>
          </w:p>
        </w:tc>
      </w:tr>
      <w:tr w:rsidR="005A63D9" w:rsidRPr="00E27ED8" w:rsidTr="00E27ED8">
        <w:trPr>
          <w:trHeight w:val="170"/>
        </w:trPr>
        <w:tc>
          <w:tcPr>
            <w:tcW w:w="2656" w:type="pct"/>
            <w:tcBorders>
              <w:top w:val="double" w:sz="4" w:space="0" w:color="auto"/>
              <w:right w:val="single" w:sz="12" w:space="0" w:color="auto"/>
            </w:tcBorders>
          </w:tcPr>
          <w:p w:rsidR="005A63D9" w:rsidRPr="00E27ED8" w:rsidRDefault="005A63D9" w:rsidP="00E27ED8">
            <w:pPr>
              <w:spacing w:after="144"/>
              <w:jc w:val="both"/>
              <w:rPr>
                <w:sz w:val="18"/>
                <w:szCs w:val="18"/>
              </w:rPr>
            </w:pPr>
            <w:r w:rsidRPr="00E27ED8">
              <w:rPr>
                <w:sz w:val="18"/>
                <w:szCs w:val="18"/>
              </w:rPr>
              <w:t>Počet pracovníků celkem (osob)</w:t>
            </w:r>
          </w:p>
        </w:tc>
        <w:tc>
          <w:tcPr>
            <w:tcW w:w="781" w:type="pct"/>
            <w:tcBorders>
              <w:top w:val="double" w:sz="4" w:space="0" w:color="auto"/>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2 882</w:t>
            </w:r>
          </w:p>
        </w:tc>
        <w:tc>
          <w:tcPr>
            <w:tcW w:w="781"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3 023</w:t>
            </w:r>
          </w:p>
        </w:tc>
        <w:tc>
          <w:tcPr>
            <w:tcW w:w="781" w:type="pct"/>
            <w:tcBorders>
              <w:top w:val="double" w:sz="4" w:space="0" w:color="auto"/>
            </w:tcBorders>
            <w:vAlign w:val="center"/>
          </w:tcPr>
          <w:p w:rsidR="005A63D9" w:rsidRPr="00E27ED8" w:rsidRDefault="005A63D9" w:rsidP="00E27ED8">
            <w:pPr>
              <w:spacing w:after="144"/>
              <w:jc w:val="center"/>
              <w:rPr>
                <w:sz w:val="16"/>
                <w:szCs w:val="16"/>
              </w:rPr>
            </w:pPr>
            <w:r w:rsidRPr="00E27ED8">
              <w:rPr>
                <w:sz w:val="16"/>
                <w:szCs w:val="16"/>
              </w:rPr>
              <w:t>3 055</w:t>
            </w:r>
          </w:p>
        </w:tc>
      </w:tr>
      <w:tr w:rsidR="005A63D9" w:rsidRPr="00E27ED8" w:rsidTr="00E27ED8">
        <w:trPr>
          <w:trHeight w:val="170"/>
        </w:trPr>
        <w:tc>
          <w:tcPr>
            <w:tcW w:w="2656" w:type="pct"/>
            <w:tcBorders>
              <w:right w:val="single" w:sz="12" w:space="0" w:color="auto"/>
            </w:tcBorders>
          </w:tcPr>
          <w:p w:rsidR="005A63D9" w:rsidRPr="00E27ED8" w:rsidRDefault="005A63D9" w:rsidP="00E27ED8">
            <w:pPr>
              <w:pStyle w:val="ListParagraph"/>
              <w:numPr>
                <w:ilvl w:val="0"/>
                <w:numId w:val="73"/>
              </w:numPr>
              <w:spacing w:afterLines="0"/>
              <w:ind w:left="284" w:hanging="284"/>
              <w:jc w:val="both"/>
              <w:rPr>
                <w:sz w:val="18"/>
                <w:szCs w:val="18"/>
              </w:rPr>
            </w:pPr>
            <w:r w:rsidRPr="00E27ED8">
              <w:rPr>
                <w:sz w:val="18"/>
                <w:szCs w:val="18"/>
              </w:rPr>
              <w:t>kmenoví pracovníci</w:t>
            </w:r>
          </w:p>
        </w:tc>
        <w:tc>
          <w:tcPr>
            <w:tcW w:w="781"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1 759</w:t>
            </w:r>
          </w:p>
        </w:tc>
        <w:tc>
          <w:tcPr>
            <w:tcW w:w="781" w:type="pct"/>
            <w:vAlign w:val="center"/>
          </w:tcPr>
          <w:p w:rsidR="005A63D9" w:rsidRPr="00E27ED8" w:rsidRDefault="005A63D9" w:rsidP="00E27ED8">
            <w:pPr>
              <w:spacing w:after="144"/>
              <w:jc w:val="center"/>
              <w:rPr>
                <w:sz w:val="16"/>
                <w:szCs w:val="16"/>
              </w:rPr>
            </w:pPr>
            <w:r w:rsidRPr="00E27ED8">
              <w:rPr>
                <w:sz w:val="16"/>
                <w:szCs w:val="16"/>
              </w:rPr>
              <w:t>1 812</w:t>
            </w:r>
          </w:p>
        </w:tc>
        <w:tc>
          <w:tcPr>
            <w:tcW w:w="781" w:type="pct"/>
            <w:vAlign w:val="center"/>
          </w:tcPr>
          <w:p w:rsidR="005A63D9" w:rsidRPr="00E27ED8" w:rsidRDefault="005A63D9" w:rsidP="00E27ED8">
            <w:pPr>
              <w:spacing w:after="144"/>
              <w:jc w:val="center"/>
              <w:rPr>
                <w:sz w:val="16"/>
                <w:szCs w:val="16"/>
              </w:rPr>
            </w:pPr>
            <w:r w:rsidRPr="00E27ED8">
              <w:rPr>
                <w:sz w:val="16"/>
                <w:szCs w:val="16"/>
              </w:rPr>
              <w:t>1 780</w:t>
            </w:r>
          </w:p>
        </w:tc>
      </w:tr>
      <w:tr w:rsidR="005A63D9" w:rsidRPr="00E27ED8" w:rsidTr="00E27ED8">
        <w:trPr>
          <w:trHeight w:val="170"/>
        </w:trPr>
        <w:tc>
          <w:tcPr>
            <w:tcW w:w="2656" w:type="pct"/>
            <w:tcBorders>
              <w:right w:val="single" w:sz="12" w:space="0" w:color="auto"/>
            </w:tcBorders>
          </w:tcPr>
          <w:p w:rsidR="005A63D9" w:rsidRPr="00E27ED8" w:rsidRDefault="005A63D9" w:rsidP="00E27ED8">
            <w:pPr>
              <w:spacing w:after="144"/>
              <w:jc w:val="both"/>
              <w:rPr>
                <w:sz w:val="18"/>
                <w:szCs w:val="18"/>
              </w:rPr>
            </w:pPr>
            <w:r w:rsidRPr="00E27ED8">
              <w:rPr>
                <w:sz w:val="18"/>
                <w:szCs w:val="18"/>
              </w:rPr>
              <w:t>Roční výdaje (mil. €)</w:t>
            </w:r>
          </w:p>
        </w:tc>
        <w:tc>
          <w:tcPr>
            <w:tcW w:w="781"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381,4</w:t>
            </w:r>
          </w:p>
        </w:tc>
        <w:tc>
          <w:tcPr>
            <w:tcW w:w="781" w:type="pct"/>
            <w:vAlign w:val="center"/>
          </w:tcPr>
          <w:p w:rsidR="005A63D9" w:rsidRPr="00E27ED8" w:rsidRDefault="005A63D9" w:rsidP="00E27ED8">
            <w:pPr>
              <w:spacing w:after="144"/>
              <w:jc w:val="center"/>
              <w:rPr>
                <w:sz w:val="16"/>
                <w:szCs w:val="16"/>
              </w:rPr>
            </w:pPr>
            <w:r w:rsidRPr="00E27ED8">
              <w:rPr>
                <w:sz w:val="16"/>
                <w:szCs w:val="16"/>
              </w:rPr>
              <w:t>393,3</w:t>
            </w:r>
          </w:p>
        </w:tc>
        <w:tc>
          <w:tcPr>
            <w:tcW w:w="781" w:type="pct"/>
            <w:vAlign w:val="center"/>
          </w:tcPr>
          <w:p w:rsidR="005A63D9" w:rsidRPr="00E27ED8" w:rsidRDefault="005A63D9" w:rsidP="00E27ED8">
            <w:pPr>
              <w:spacing w:after="144"/>
              <w:jc w:val="center"/>
              <w:rPr>
                <w:sz w:val="16"/>
                <w:szCs w:val="16"/>
              </w:rPr>
            </w:pPr>
            <w:r w:rsidRPr="00E27ED8">
              <w:rPr>
                <w:sz w:val="16"/>
                <w:szCs w:val="16"/>
              </w:rPr>
              <w:t>374,3</w:t>
            </w:r>
          </w:p>
        </w:tc>
      </w:tr>
      <w:tr w:rsidR="005A63D9" w:rsidRPr="00E27ED8" w:rsidTr="00E27ED8">
        <w:trPr>
          <w:trHeight w:val="170"/>
        </w:trPr>
        <w:tc>
          <w:tcPr>
            <w:tcW w:w="2656" w:type="pct"/>
            <w:tcBorders>
              <w:right w:val="single" w:sz="12" w:space="0" w:color="auto"/>
            </w:tcBorders>
          </w:tcPr>
          <w:p w:rsidR="005A63D9" w:rsidRPr="00E27ED8" w:rsidRDefault="005A63D9" w:rsidP="00E27ED8">
            <w:pPr>
              <w:spacing w:after="144"/>
              <w:jc w:val="both"/>
              <w:rPr>
                <w:sz w:val="18"/>
                <w:szCs w:val="18"/>
              </w:rPr>
            </w:pPr>
            <w:r w:rsidRPr="00E27ED8">
              <w:rPr>
                <w:sz w:val="18"/>
                <w:szCs w:val="18"/>
              </w:rPr>
              <w:t>Publikace celkem (ks)</w:t>
            </w:r>
          </w:p>
        </w:tc>
        <w:tc>
          <w:tcPr>
            <w:tcW w:w="781"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1 443</w:t>
            </w:r>
          </w:p>
        </w:tc>
        <w:tc>
          <w:tcPr>
            <w:tcW w:w="781" w:type="pct"/>
            <w:vAlign w:val="center"/>
          </w:tcPr>
          <w:p w:rsidR="005A63D9" w:rsidRPr="00E27ED8" w:rsidRDefault="005A63D9" w:rsidP="00E27ED8">
            <w:pPr>
              <w:spacing w:after="144"/>
              <w:jc w:val="center"/>
              <w:rPr>
                <w:sz w:val="16"/>
                <w:szCs w:val="16"/>
              </w:rPr>
            </w:pPr>
            <w:r w:rsidRPr="00E27ED8">
              <w:rPr>
                <w:sz w:val="16"/>
                <w:szCs w:val="16"/>
              </w:rPr>
              <w:t>1 433</w:t>
            </w:r>
          </w:p>
        </w:tc>
        <w:tc>
          <w:tcPr>
            <w:tcW w:w="781" w:type="pct"/>
            <w:vAlign w:val="center"/>
          </w:tcPr>
          <w:p w:rsidR="005A63D9" w:rsidRPr="00E27ED8" w:rsidRDefault="005A63D9" w:rsidP="00E27ED8">
            <w:pPr>
              <w:spacing w:after="144"/>
              <w:jc w:val="center"/>
              <w:rPr>
                <w:sz w:val="16"/>
                <w:szCs w:val="16"/>
              </w:rPr>
            </w:pPr>
            <w:r w:rsidRPr="00E27ED8">
              <w:rPr>
                <w:sz w:val="16"/>
                <w:szCs w:val="16"/>
              </w:rPr>
              <w:t>1 370</w:t>
            </w:r>
          </w:p>
        </w:tc>
      </w:tr>
      <w:tr w:rsidR="005A63D9" w:rsidRPr="00E27ED8" w:rsidTr="00E27ED8">
        <w:tc>
          <w:tcPr>
            <w:tcW w:w="2656" w:type="pct"/>
            <w:tcBorders>
              <w:right w:val="single" w:sz="12" w:space="0" w:color="auto"/>
            </w:tcBorders>
          </w:tcPr>
          <w:p w:rsidR="005A63D9" w:rsidRPr="00E27ED8" w:rsidRDefault="005A63D9" w:rsidP="00E27ED8">
            <w:pPr>
              <w:pStyle w:val="ListParagraph"/>
              <w:numPr>
                <w:ilvl w:val="0"/>
                <w:numId w:val="73"/>
              </w:numPr>
              <w:spacing w:afterLines="0"/>
              <w:ind w:left="284" w:hanging="284"/>
              <w:jc w:val="both"/>
              <w:rPr>
                <w:sz w:val="18"/>
                <w:szCs w:val="18"/>
              </w:rPr>
            </w:pPr>
            <w:r w:rsidRPr="00E27ED8">
              <w:rPr>
                <w:sz w:val="18"/>
                <w:szCs w:val="18"/>
              </w:rPr>
              <w:t>knihy a články zaznamenávané v ISI Science Citation</w:t>
            </w:r>
          </w:p>
        </w:tc>
        <w:tc>
          <w:tcPr>
            <w:tcW w:w="781" w:type="pct"/>
            <w:tcBorders>
              <w:left w:val="single" w:sz="12" w:space="0" w:color="auto"/>
            </w:tcBorders>
            <w:vAlign w:val="center"/>
          </w:tcPr>
          <w:p w:rsidR="005A63D9" w:rsidRPr="00E27ED8" w:rsidRDefault="005A63D9" w:rsidP="00E27ED8">
            <w:pPr>
              <w:spacing w:after="144"/>
              <w:jc w:val="center"/>
              <w:rPr>
                <w:sz w:val="16"/>
                <w:szCs w:val="16"/>
              </w:rPr>
            </w:pPr>
            <w:r w:rsidRPr="00E27ED8">
              <w:rPr>
                <w:sz w:val="16"/>
                <w:szCs w:val="16"/>
              </w:rPr>
              <w:t>684</w:t>
            </w:r>
          </w:p>
        </w:tc>
        <w:tc>
          <w:tcPr>
            <w:tcW w:w="781" w:type="pct"/>
            <w:vAlign w:val="center"/>
          </w:tcPr>
          <w:p w:rsidR="005A63D9" w:rsidRPr="00E27ED8" w:rsidRDefault="005A63D9" w:rsidP="00E27ED8">
            <w:pPr>
              <w:spacing w:after="144"/>
              <w:jc w:val="center"/>
              <w:rPr>
                <w:sz w:val="16"/>
                <w:szCs w:val="16"/>
              </w:rPr>
            </w:pPr>
            <w:r w:rsidRPr="00E27ED8">
              <w:rPr>
                <w:sz w:val="16"/>
                <w:szCs w:val="16"/>
              </w:rPr>
              <w:t>744</w:t>
            </w:r>
          </w:p>
        </w:tc>
        <w:tc>
          <w:tcPr>
            <w:tcW w:w="781" w:type="pct"/>
            <w:vAlign w:val="center"/>
          </w:tcPr>
          <w:p w:rsidR="005A63D9" w:rsidRPr="00E27ED8" w:rsidRDefault="005A63D9" w:rsidP="00E27ED8">
            <w:pPr>
              <w:spacing w:after="144"/>
              <w:jc w:val="center"/>
              <w:rPr>
                <w:sz w:val="16"/>
                <w:szCs w:val="16"/>
              </w:rPr>
            </w:pPr>
            <w:r w:rsidRPr="00E27ED8">
              <w:rPr>
                <w:sz w:val="16"/>
                <w:szCs w:val="16"/>
              </w:rPr>
              <w:t>689</w:t>
            </w:r>
          </w:p>
        </w:tc>
      </w:tr>
      <w:tr w:rsidR="005A63D9" w:rsidRPr="00E27ED8" w:rsidTr="00E27ED8">
        <w:trPr>
          <w:trHeight w:val="170"/>
        </w:trPr>
        <w:tc>
          <w:tcPr>
            <w:tcW w:w="2656" w:type="pct"/>
            <w:tcBorders>
              <w:bottom w:val="single" w:sz="12" w:space="0" w:color="auto"/>
              <w:right w:val="single" w:sz="12" w:space="0" w:color="auto"/>
            </w:tcBorders>
          </w:tcPr>
          <w:p w:rsidR="005A63D9" w:rsidRPr="00E27ED8" w:rsidRDefault="005A63D9" w:rsidP="00E27ED8">
            <w:pPr>
              <w:pStyle w:val="ListParagraph"/>
              <w:numPr>
                <w:ilvl w:val="0"/>
                <w:numId w:val="73"/>
              </w:numPr>
              <w:spacing w:afterLines="0"/>
              <w:ind w:left="284" w:hanging="284"/>
              <w:jc w:val="both"/>
              <w:rPr>
                <w:sz w:val="18"/>
                <w:szCs w:val="18"/>
              </w:rPr>
            </w:pPr>
            <w:r w:rsidRPr="00E27ED8">
              <w:rPr>
                <w:sz w:val="18"/>
                <w:szCs w:val="18"/>
              </w:rPr>
              <w:t>Výzkumné a technické zprávy</w:t>
            </w:r>
          </w:p>
        </w:tc>
        <w:tc>
          <w:tcPr>
            <w:tcW w:w="781" w:type="pct"/>
            <w:tcBorders>
              <w:left w:val="single" w:sz="12" w:space="0" w:color="auto"/>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327</w:t>
            </w:r>
          </w:p>
        </w:tc>
        <w:tc>
          <w:tcPr>
            <w:tcW w:w="781"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677</w:t>
            </w:r>
          </w:p>
        </w:tc>
        <w:tc>
          <w:tcPr>
            <w:tcW w:w="781" w:type="pct"/>
            <w:tcBorders>
              <w:bottom w:val="single" w:sz="12" w:space="0" w:color="auto"/>
            </w:tcBorders>
            <w:vAlign w:val="center"/>
          </w:tcPr>
          <w:p w:rsidR="005A63D9" w:rsidRPr="00E27ED8" w:rsidRDefault="005A63D9" w:rsidP="00E27ED8">
            <w:pPr>
              <w:spacing w:after="144"/>
              <w:jc w:val="center"/>
              <w:rPr>
                <w:sz w:val="16"/>
                <w:szCs w:val="16"/>
              </w:rPr>
            </w:pPr>
            <w:r w:rsidRPr="00E27ED8">
              <w:rPr>
                <w:sz w:val="16"/>
                <w:szCs w:val="16"/>
              </w:rPr>
              <w:t>615</w:t>
            </w:r>
          </w:p>
        </w:tc>
      </w:tr>
    </w:tbl>
    <w:p w:rsidR="005A63D9" w:rsidRPr="00723E52" w:rsidRDefault="005A63D9" w:rsidP="00946055">
      <w:pPr>
        <w:pStyle w:val="ZDROJovan"/>
        <w:spacing w:after="144"/>
      </w:pPr>
      <w:r>
        <w:t>Zdroj:</w:t>
      </w:r>
      <w:r w:rsidRPr="002D69B6">
        <w:t xml:space="preserve"> JRC Annual reports 2012, 2013, 2014.</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Výzkumem, vývojem a inovacemi v oblasti životníh</w:t>
      </w:r>
      <w:r>
        <w:rPr>
          <w:color w:val="000000"/>
          <w:shd w:val="clear" w:color="auto" w:fill="FFFFFF"/>
          <w:lang w:eastAsia="cs-CZ"/>
        </w:rPr>
        <w:t>o prostředí se zabývá Ústav pro </w:t>
      </w:r>
      <w:r w:rsidRPr="00AA539A">
        <w:rPr>
          <w:color w:val="000000"/>
          <w:shd w:val="clear" w:color="auto" w:fill="FFFFFF"/>
          <w:lang w:eastAsia="cs-CZ"/>
        </w:rPr>
        <w:t>životní prostředí a udržitelnost, který sídlí v Ispra (Itálie) na břehu jezera Maggiore.</w:t>
      </w:r>
    </w:p>
    <w:p w:rsidR="005A63D9" w:rsidRPr="00AA539A" w:rsidRDefault="005A63D9" w:rsidP="00AA539A">
      <w:pPr>
        <w:pStyle w:val="Heading3"/>
        <w:keepNext/>
        <w:keepLines/>
        <w:spacing w:before="240" w:afterLines="0" w:line="240" w:lineRule="auto"/>
        <w:contextualSpacing w:val="0"/>
        <w:rPr>
          <w:bCs/>
          <w:shd w:val="clear" w:color="auto" w:fill="FFFFFF"/>
          <w:lang/>
        </w:rPr>
      </w:pPr>
      <w:bookmarkStart w:id="204" w:name="_Toc440897455"/>
      <w:bookmarkStart w:id="205" w:name="_Toc441760857"/>
      <w:bookmarkStart w:id="206" w:name="_Toc441849520"/>
      <w:r w:rsidRPr="00AA539A">
        <w:rPr>
          <w:bCs/>
          <w:shd w:val="clear" w:color="auto" w:fill="FFFFFF"/>
          <w:lang/>
        </w:rPr>
        <w:t>Ústav pro životní prostředí a udržitelnost</w:t>
      </w:r>
      <w:bookmarkEnd w:id="204"/>
      <w:bookmarkEnd w:id="205"/>
      <w:bookmarkEnd w:id="206"/>
    </w:p>
    <w:p w:rsidR="005A63D9" w:rsidRPr="00AA539A" w:rsidRDefault="005A63D9" w:rsidP="00AA539A">
      <w:pPr>
        <w:keepNext/>
        <w:widowControl w:val="0"/>
        <w:adjustRightInd w:val="0"/>
        <w:spacing w:afterLines="0"/>
        <w:contextualSpacing w:val="0"/>
        <w:jc w:val="both"/>
        <w:textAlignment w:val="baseline"/>
        <w:rPr>
          <w:color w:val="000000"/>
          <w:shd w:val="clear" w:color="auto" w:fill="FFFFFF"/>
          <w:lang w:eastAsia="cs-CZ"/>
        </w:rPr>
      </w:pPr>
      <w:r w:rsidRPr="00AA539A">
        <w:rPr>
          <w:color w:val="000000"/>
          <w:shd w:val="clear" w:color="auto" w:fill="FFFFFF"/>
          <w:lang w:eastAsia="cs-CZ"/>
        </w:rPr>
        <w:t>(Institute for Environment and Sustainbility, IES)</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Ústav vede ředitel se dvěma menšími správními útvary. Ústav má 7 oddělení: Vodní zdroje; Vzduch a klima; Lesní zdroje a klima; Monitoring zemědělských zdrojů; Digitalizace dat a odkazů (referencí) o Zemi; Management rizik klimatu; Hodnocení (assessment) udržitelnosti.</w:t>
      </w:r>
    </w:p>
    <w:p w:rsidR="005A63D9" w:rsidRPr="00AA539A" w:rsidRDefault="005A63D9" w:rsidP="00AA539A">
      <w:pPr>
        <w:widowControl w:val="0"/>
        <w:adjustRightInd w:val="0"/>
        <w:spacing w:afterLines="0"/>
        <w:ind w:firstLine="539"/>
        <w:contextualSpacing w:val="0"/>
        <w:jc w:val="both"/>
        <w:textAlignment w:val="baseline"/>
        <w:rPr>
          <w:color w:val="000000"/>
          <w:shd w:val="clear" w:color="auto" w:fill="FFFFFF"/>
          <w:lang w:eastAsia="cs-CZ"/>
        </w:rPr>
      </w:pPr>
      <w:r w:rsidRPr="00AA539A">
        <w:rPr>
          <w:color w:val="000000"/>
          <w:shd w:val="clear" w:color="auto" w:fill="FFFFFF"/>
          <w:lang w:eastAsia="cs-CZ"/>
        </w:rPr>
        <w:t>Publikace i články JRC mají vysokou odbornou úroveň. Zajímavá hodnotící tabulku je uvedena ve Výroční zprávě JRC 2014. V tabulce je porovnávána úroveň 17 výzkumných oborů s průměrem oborů JRC jako celku. Nejvyšší úro</w:t>
      </w:r>
      <w:r>
        <w:rPr>
          <w:color w:val="000000"/>
          <w:shd w:val="clear" w:color="auto" w:fill="FFFFFF"/>
          <w:lang w:eastAsia="cs-CZ"/>
        </w:rPr>
        <w:t>veň mají obory Technické vědy a </w:t>
      </w:r>
      <w:r w:rsidRPr="00AA539A">
        <w:rPr>
          <w:color w:val="000000"/>
          <w:shd w:val="clear" w:color="auto" w:fill="FFFFFF"/>
          <w:lang w:eastAsia="cs-CZ"/>
        </w:rPr>
        <w:t>Farmakologie, toxikologie.</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p>
    <w:p w:rsidR="005A63D9" w:rsidRPr="000B4EE0" w:rsidRDefault="005A63D9" w:rsidP="000B4EE0">
      <w:pPr>
        <w:widowControl w:val="0"/>
        <w:adjustRightInd w:val="0"/>
        <w:spacing w:afterLines="0"/>
        <w:contextualSpacing w:val="0"/>
        <w:jc w:val="both"/>
        <w:textAlignment w:val="baseline"/>
        <w:rPr>
          <w:b/>
          <w:color w:val="000000"/>
          <w:shd w:val="clear" w:color="auto" w:fill="FFFFFF"/>
          <w:lang w:eastAsia="cs-CZ"/>
        </w:rPr>
      </w:pPr>
      <w:r w:rsidRPr="000B4EE0">
        <w:rPr>
          <w:b/>
          <w:color w:val="000000"/>
          <w:shd w:val="clear" w:color="auto" w:fill="FFFFFF"/>
          <w:lang w:eastAsia="cs-CZ"/>
        </w:rPr>
        <w:t xml:space="preserve">Tab. č. 39 </w:t>
      </w:r>
      <w:r w:rsidRPr="000B4EE0">
        <w:rPr>
          <w:color w:val="000000"/>
          <w:shd w:val="clear" w:color="auto" w:fill="FFFFFF"/>
          <w:lang w:eastAsia="cs-CZ"/>
        </w:rPr>
        <w:t>Úroveň publikací a článku z oblasti výzkum životního prostředí za období 2000–2013</w:t>
      </w:r>
    </w:p>
    <w:tbl>
      <w:tblPr>
        <w:tblW w:w="5000" w:type="pct"/>
        <w:tblBorders>
          <w:top w:val="single" w:sz="12" w:space="0" w:color="auto"/>
          <w:left w:val="single" w:sz="12" w:space="0" w:color="auto"/>
          <w:bottom w:val="single" w:sz="12" w:space="0" w:color="auto"/>
          <w:right w:val="single" w:sz="12" w:space="0" w:color="auto"/>
          <w:insideH w:val="double" w:sz="4" w:space="0" w:color="auto"/>
          <w:insideV w:val="single" w:sz="4" w:space="0" w:color="auto"/>
        </w:tblBorders>
        <w:tblLook w:val="00A0"/>
      </w:tblPr>
      <w:tblGrid>
        <w:gridCol w:w="1874"/>
        <w:gridCol w:w="1844"/>
        <w:gridCol w:w="1856"/>
        <w:gridCol w:w="1857"/>
        <w:gridCol w:w="1856"/>
      </w:tblGrid>
      <w:tr w:rsidR="005A63D9" w:rsidRPr="00E27ED8" w:rsidTr="00E27ED8">
        <w:tc>
          <w:tcPr>
            <w:tcW w:w="1009" w:type="pct"/>
            <w:tcBorders>
              <w:top w:val="single" w:sz="12" w:space="0" w:color="auto"/>
              <w:right w:val="single" w:sz="12" w:space="0" w:color="auto"/>
            </w:tcBorders>
            <w:shd w:val="clear" w:color="auto" w:fill="BFBFBF"/>
          </w:tcPr>
          <w:p w:rsidR="005A63D9" w:rsidRPr="00E27ED8" w:rsidRDefault="005A63D9" w:rsidP="00E27ED8">
            <w:pPr>
              <w:spacing w:after="144"/>
              <w:jc w:val="both"/>
              <w:rPr>
                <w:b/>
                <w:sz w:val="18"/>
                <w:szCs w:val="18"/>
              </w:rPr>
            </w:pPr>
          </w:p>
        </w:tc>
        <w:tc>
          <w:tcPr>
            <w:tcW w:w="993" w:type="pct"/>
            <w:tcBorders>
              <w:top w:val="single" w:sz="12" w:space="0" w:color="auto"/>
              <w:left w:val="single" w:sz="12" w:space="0" w:color="auto"/>
              <w:right w:val="single" w:sz="12" w:space="0" w:color="auto"/>
            </w:tcBorders>
            <w:shd w:val="clear" w:color="auto" w:fill="BFBFBF"/>
            <w:vAlign w:val="center"/>
          </w:tcPr>
          <w:p w:rsidR="005A63D9" w:rsidRPr="00E27ED8" w:rsidRDefault="005A63D9" w:rsidP="00E27ED8">
            <w:pPr>
              <w:spacing w:after="144"/>
              <w:rPr>
                <w:b/>
                <w:sz w:val="18"/>
                <w:szCs w:val="18"/>
              </w:rPr>
            </w:pPr>
            <w:r w:rsidRPr="00E27ED8">
              <w:rPr>
                <w:b/>
                <w:sz w:val="18"/>
                <w:szCs w:val="18"/>
              </w:rPr>
              <w:t>Citace na jednu publikaci</w:t>
            </w:r>
          </w:p>
        </w:tc>
        <w:tc>
          <w:tcPr>
            <w:tcW w:w="999" w:type="pct"/>
            <w:tcBorders>
              <w:top w:val="single" w:sz="12" w:space="0" w:color="auto"/>
              <w:left w:val="single" w:sz="12" w:space="0" w:color="auto"/>
              <w:right w:val="single" w:sz="12" w:space="0" w:color="auto"/>
            </w:tcBorders>
            <w:shd w:val="clear" w:color="auto" w:fill="BFBFBF"/>
            <w:vAlign w:val="center"/>
          </w:tcPr>
          <w:p w:rsidR="005A63D9" w:rsidRPr="00E27ED8" w:rsidRDefault="005A63D9" w:rsidP="00E27ED8">
            <w:pPr>
              <w:spacing w:after="144"/>
              <w:rPr>
                <w:b/>
                <w:sz w:val="18"/>
                <w:szCs w:val="18"/>
              </w:rPr>
            </w:pPr>
            <w:r w:rsidRPr="00E27ED8">
              <w:rPr>
                <w:b/>
                <w:sz w:val="18"/>
                <w:szCs w:val="18"/>
              </w:rPr>
              <w:t>Podíl na citovaných publikacích</w:t>
            </w:r>
          </w:p>
        </w:tc>
        <w:tc>
          <w:tcPr>
            <w:tcW w:w="1000" w:type="pct"/>
            <w:tcBorders>
              <w:top w:val="single" w:sz="12" w:space="0" w:color="auto"/>
              <w:left w:val="single" w:sz="12" w:space="0" w:color="auto"/>
              <w:right w:val="single" w:sz="12" w:space="0" w:color="auto"/>
            </w:tcBorders>
            <w:shd w:val="clear" w:color="auto" w:fill="BFBFBF"/>
            <w:vAlign w:val="center"/>
          </w:tcPr>
          <w:p w:rsidR="005A63D9" w:rsidRPr="00E27ED8" w:rsidRDefault="005A63D9" w:rsidP="00E27ED8">
            <w:pPr>
              <w:spacing w:after="144"/>
              <w:rPr>
                <w:b/>
                <w:sz w:val="18"/>
                <w:szCs w:val="18"/>
              </w:rPr>
            </w:pPr>
            <w:r w:rsidRPr="00E27ED8">
              <w:rPr>
                <w:b/>
                <w:sz w:val="18"/>
                <w:szCs w:val="18"/>
              </w:rPr>
              <w:t>Publikace v 10 % nejvíce citovaných publikacích</w:t>
            </w:r>
          </w:p>
        </w:tc>
        <w:tc>
          <w:tcPr>
            <w:tcW w:w="999" w:type="pct"/>
            <w:tcBorders>
              <w:top w:val="single" w:sz="12" w:space="0" w:color="auto"/>
              <w:left w:val="single" w:sz="12" w:space="0" w:color="auto"/>
            </w:tcBorders>
            <w:shd w:val="clear" w:color="auto" w:fill="BFBFBF"/>
            <w:vAlign w:val="center"/>
          </w:tcPr>
          <w:p w:rsidR="005A63D9" w:rsidRPr="00E27ED8" w:rsidRDefault="005A63D9" w:rsidP="00E27ED8">
            <w:pPr>
              <w:spacing w:after="144"/>
              <w:rPr>
                <w:b/>
                <w:sz w:val="18"/>
                <w:szCs w:val="18"/>
              </w:rPr>
            </w:pPr>
            <w:r w:rsidRPr="00E27ED8">
              <w:rPr>
                <w:b/>
                <w:sz w:val="18"/>
                <w:szCs w:val="18"/>
              </w:rPr>
              <w:t>Publikace v 10 % nejvíce citovaných časopisech</w:t>
            </w:r>
          </w:p>
        </w:tc>
      </w:tr>
      <w:tr w:rsidR="005A63D9" w:rsidRPr="00E27ED8" w:rsidTr="00E27ED8">
        <w:tc>
          <w:tcPr>
            <w:tcW w:w="1009" w:type="pct"/>
            <w:tcBorders>
              <w:bottom w:val="single" w:sz="12" w:space="0" w:color="auto"/>
              <w:right w:val="single" w:sz="12" w:space="0" w:color="auto"/>
            </w:tcBorders>
          </w:tcPr>
          <w:p w:rsidR="005A63D9" w:rsidRPr="00E27ED8" w:rsidRDefault="005A63D9" w:rsidP="00E27ED8">
            <w:pPr>
              <w:spacing w:after="144"/>
              <w:jc w:val="both"/>
              <w:rPr>
                <w:b/>
                <w:sz w:val="18"/>
                <w:szCs w:val="18"/>
              </w:rPr>
            </w:pPr>
            <w:r w:rsidRPr="00E27ED8">
              <w:rPr>
                <w:b/>
                <w:sz w:val="18"/>
                <w:szCs w:val="18"/>
              </w:rPr>
              <w:t>Výzkum životního prostředí (Environmental Science)</w:t>
            </w:r>
          </w:p>
        </w:tc>
        <w:tc>
          <w:tcPr>
            <w:tcW w:w="993" w:type="pct"/>
            <w:tcBorders>
              <w:left w:val="single" w:sz="12" w:space="0" w:color="auto"/>
              <w:bottom w:val="single" w:sz="12" w:space="0" w:color="auto"/>
              <w:right w:val="single" w:sz="12" w:space="0" w:color="auto"/>
            </w:tcBorders>
            <w:vAlign w:val="center"/>
          </w:tcPr>
          <w:p w:rsidR="005A63D9" w:rsidRPr="00E27ED8" w:rsidRDefault="005A63D9" w:rsidP="00E27ED8">
            <w:pPr>
              <w:spacing w:after="144"/>
              <w:rPr>
                <w:b/>
                <w:sz w:val="20"/>
                <w:szCs w:val="28"/>
              </w:rPr>
            </w:pPr>
            <w:r w:rsidRPr="00E27ED8">
              <w:rPr>
                <w:sz w:val="20"/>
              </w:rPr>
              <w:t>Úroveň obou ŽP se pohybuje v rozmezí 70–100 % průměru 17 oborů JRC</w:t>
            </w:r>
          </w:p>
        </w:tc>
        <w:tc>
          <w:tcPr>
            <w:tcW w:w="999" w:type="pct"/>
            <w:tcBorders>
              <w:left w:val="single" w:sz="12" w:space="0" w:color="auto"/>
              <w:bottom w:val="single" w:sz="12" w:space="0" w:color="auto"/>
              <w:right w:val="single" w:sz="12" w:space="0" w:color="auto"/>
            </w:tcBorders>
            <w:vAlign w:val="center"/>
          </w:tcPr>
          <w:p w:rsidR="005A63D9" w:rsidRPr="00E27ED8" w:rsidRDefault="005A63D9" w:rsidP="00E27ED8">
            <w:pPr>
              <w:spacing w:after="144"/>
              <w:rPr>
                <w:b/>
                <w:sz w:val="20"/>
                <w:szCs w:val="28"/>
              </w:rPr>
            </w:pPr>
            <w:r w:rsidRPr="00E27ED8">
              <w:rPr>
                <w:sz w:val="20"/>
              </w:rPr>
              <w:t>Úroveň oboru ŽP se pohybuje v rozmezí 10–30 %; průměru 17 oborů JRC</w:t>
            </w:r>
          </w:p>
        </w:tc>
        <w:tc>
          <w:tcPr>
            <w:tcW w:w="1000" w:type="pct"/>
            <w:tcBorders>
              <w:left w:val="single" w:sz="12" w:space="0" w:color="auto"/>
              <w:bottom w:val="single" w:sz="12" w:space="0" w:color="auto"/>
              <w:right w:val="single" w:sz="12" w:space="0" w:color="auto"/>
            </w:tcBorders>
            <w:vAlign w:val="center"/>
          </w:tcPr>
          <w:p w:rsidR="005A63D9" w:rsidRPr="00E27ED8" w:rsidRDefault="005A63D9" w:rsidP="00E27ED8">
            <w:pPr>
              <w:spacing w:after="144"/>
              <w:rPr>
                <w:b/>
                <w:sz w:val="20"/>
                <w:szCs w:val="28"/>
              </w:rPr>
            </w:pPr>
            <w:r w:rsidRPr="00E27ED8">
              <w:rPr>
                <w:sz w:val="20"/>
              </w:rPr>
              <w:t>Úroveň obou ŽP se pohybuje v rozmezí 100–150 % průměru 17 oborů JRC</w:t>
            </w:r>
          </w:p>
        </w:tc>
        <w:tc>
          <w:tcPr>
            <w:tcW w:w="999" w:type="pct"/>
            <w:tcBorders>
              <w:left w:val="single" w:sz="12" w:space="0" w:color="auto"/>
              <w:bottom w:val="single" w:sz="12" w:space="0" w:color="auto"/>
            </w:tcBorders>
            <w:vAlign w:val="center"/>
          </w:tcPr>
          <w:p w:rsidR="005A63D9" w:rsidRPr="00E27ED8" w:rsidRDefault="005A63D9" w:rsidP="00E27ED8">
            <w:pPr>
              <w:spacing w:after="144"/>
              <w:rPr>
                <w:b/>
                <w:sz w:val="20"/>
                <w:szCs w:val="28"/>
              </w:rPr>
            </w:pPr>
            <w:r w:rsidRPr="00E27ED8">
              <w:rPr>
                <w:sz w:val="20"/>
              </w:rPr>
              <w:t>Úroveň obou ŽP se pohybuje v rozmezí 30–70 % průměru 17 oborů JRC</w:t>
            </w:r>
          </w:p>
        </w:tc>
      </w:tr>
    </w:tbl>
    <w:p w:rsidR="005A63D9" w:rsidRPr="002A0959" w:rsidRDefault="005A63D9" w:rsidP="00946055">
      <w:pPr>
        <w:pStyle w:val="ZDROJovan"/>
        <w:spacing w:after="144"/>
      </w:pPr>
      <w:r w:rsidRPr="00946055">
        <w:t xml:space="preserve">Zdroj: </w:t>
      </w:r>
      <w:r w:rsidRPr="002A0959">
        <w:t>JRC Annual Report 2014.</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p>
    <w:p w:rsidR="005A63D9" w:rsidRPr="000B4EE0" w:rsidRDefault="005A63D9" w:rsidP="000B4EE0">
      <w:pPr>
        <w:pStyle w:val="Heading3"/>
        <w:keepNext/>
        <w:keepLines/>
        <w:spacing w:before="240" w:afterLines="0" w:line="240" w:lineRule="auto"/>
        <w:contextualSpacing w:val="0"/>
        <w:rPr>
          <w:bCs/>
          <w:shd w:val="clear" w:color="auto" w:fill="FFFFFF"/>
          <w:lang/>
        </w:rPr>
      </w:pPr>
      <w:bookmarkStart w:id="207" w:name="_Toc440897456"/>
      <w:bookmarkStart w:id="208" w:name="_Toc441760858"/>
      <w:bookmarkStart w:id="209" w:name="_Toc441849521"/>
      <w:r w:rsidRPr="000B4EE0">
        <w:rPr>
          <w:bCs/>
          <w:shd w:val="clear" w:color="auto" w:fill="FFFFFF"/>
          <w:lang/>
        </w:rPr>
        <w:t>Společné technologické iniciativy</w:t>
      </w:r>
      <w:bookmarkEnd w:id="207"/>
      <w:bookmarkEnd w:id="208"/>
      <w:bookmarkEnd w:id="209"/>
    </w:p>
    <w:p w:rsidR="005A63D9" w:rsidRPr="000B4EE0" w:rsidRDefault="005A63D9" w:rsidP="000B4EE0">
      <w:pPr>
        <w:widowControl w:val="0"/>
        <w:adjustRightInd w:val="0"/>
        <w:spacing w:afterLines="0"/>
        <w:contextualSpacing w:val="0"/>
        <w:jc w:val="both"/>
        <w:textAlignment w:val="baseline"/>
        <w:rPr>
          <w:color w:val="000000"/>
          <w:shd w:val="clear" w:color="auto" w:fill="FFFFFF"/>
          <w:lang w:eastAsia="cs-CZ"/>
        </w:rPr>
      </w:pPr>
      <w:r w:rsidRPr="000B4EE0">
        <w:rPr>
          <w:color w:val="000000"/>
          <w:shd w:val="clear" w:color="auto" w:fill="FFFFFF"/>
          <w:lang w:eastAsia="cs-CZ"/>
        </w:rPr>
        <w:t>(Joint Technology Initiatives, JTI)</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color w:val="000000"/>
          <w:shd w:val="clear" w:color="auto" w:fill="FFFFFF"/>
          <w:lang w:eastAsia="cs-CZ"/>
        </w:rPr>
        <w:t xml:space="preserve">V iniciativách spolupracují subjekty veřejného a soukromého sektoru na rychlejším výzkumném řešení vybraných problémů a rovněž urychleném převodu výsledků do </w:t>
      </w:r>
      <w:r>
        <w:rPr>
          <w:color w:val="000000"/>
          <w:shd w:val="clear" w:color="auto" w:fill="FFFFFF"/>
          <w:lang w:eastAsia="cs-CZ"/>
        </w:rPr>
        <w:t>praxe</w:t>
      </w:r>
      <w:r w:rsidRPr="000B4EE0">
        <w:rPr>
          <w:color w:val="000000"/>
          <w:shd w:val="clear" w:color="auto" w:fill="FFFFFF"/>
          <w:lang w:eastAsia="cs-CZ"/>
        </w:rPr>
        <w:t>. Iniciativy jsou financovány ze zdrojů účastníků (50 %) a z pr</w:t>
      </w:r>
      <w:r>
        <w:rPr>
          <w:color w:val="000000"/>
          <w:shd w:val="clear" w:color="auto" w:fill="FFFFFF"/>
          <w:lang w:eastAsia="cs-CZ"/>
        </w:rPr>
        <w:t>ostředků EU (rovněž 50 %). V 7. </w:t>
      </w:r>
      <w:r w:rsidRPr="000B4EE0">
        <w:rPr>
          <w:color w:val="000000"/>
          <w:shd w:val="clear" w:color="auto" w:fill="FFFFFF"/>
          <w:lang w:eastAsia="cs-CZ"/>
        </w:rPr>
        <w:t>RP bylo ustaveno 6 šest iniciativ. Určitou souvislost s problematikou životního prostředí má iniciativa Letectví a letecká doprava (Aeronautics and Air Transport, Clean Sky – www.cleansky.eu). Iniciativa, která má radikálně snížit d</w:t>
      </w:r>
      <w:r>
        <w:rPr>
          <w:color w:val="000000"/>
          <w:shd w:val="clear" w:color="auto" w:fill="FFFFFF"/>
          <w:lang w:eastAsia="cs-CZ"/>
        </w:rPr>
        <w:t>opad příští generace letadel na </w:t>
      </w:r>
      <w:r w:rsidRPr="000B4EE0">
        <w:rPr>
          <w:color w:val="000000"/>
          <w:shd w:val="clear" w:color="auto" w:fill="FFFFFF"/>
          <w:lang w:eastAsia="cs-CZ"/>
        </w:rPr>
        <w:t>životní prostředí, má 12 hlavních partnerů a několik desítek partnerů přidružených. Česko není ani přidruženým účastníkem. Iniciativa pokračuje i v rámci programu Horizont 2020.</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color w:val="000000"/>
          <w:shd w:val="clear" w:color="auto" w:fill="FFFFFF"/>
          <w:lang w:eastAsia="cs-CZ"/>
        </w:rPr>
        <w:t>EK věnuje partnerstvím veřejného a soukromého sektoru (Public–private partnerships – PPPs) značnou pozornost.</w:t>
      </w:r>
      <w:r w:rsidRPr="000B4EE0">
        <w:rPr>
          <w:color w:val="000000"/>
          <w:shd w:val="clear" w:color="auto" w:fill="FFFFFF"/>
          <w:vertAlign w:val="superscript"/>
          <w:lang w:eastAsia="cs-CZ"/>
        </w:rPr>
        <w:footnoteReference w:id="36"/>
      </w:r>
      <w:r w:rsidRPr="000B4EE0">
        <w:rPr>
          <w:color w:val="000000"/>
          <w:shd w:val="clear" w:color="auto" w:fill="FFFFFF"/>
          <w:lang w:eastAsia="cs-CZ"/>
        </w:rPr>
        <w:t xml:space="preserve"> V programu Horizont 2020 již bylo ustaveno 8 PPPs. S oblastí životního prostředí souvisí partnerství:</w:t>
      </w:r>
    </w:p>
    <w:p w:rsidR="005A63D9" w:rsidRPr="000B4EE0" w:rsidRDefault="005A63D9" w:rsidP="000B4EE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B4EE0">
        <w:rPr>
          <w:color w:val="000000"/>
          <w:shd w:val="clear" w:color="auto" w:fill="FFFFFF"/>
          <w:lang w:eastAsia="cs-CZ"/>
        </w:rPr>
        <w:t>Biobased Industry (http://biconsortium.eu) má několik desítek partnerů, Česko se nezúčastní. V rámci partnerství mají být vyvinuty nové a konkurenceschopné biotechnologické hodnotové řetězce, které nahradí potřebu používat fosilní paliva a výrazně ovlivní rozvoj venkova;</w:t>
      </w:r>
    </w:p>
    <w:p w:rsidR="005A63D9" w:rsidRPr="000B4EE0" w:rsidRDefault="005A63D9" w:rsidP="000B4EE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B4EE0">
        <w:rPr>
          <w:color w:val="000000"/>
          <w:shd w:val="clear" w:color="auto" w:fill="FFFFFF"/>
          <w:lang w:eastAsia="cs-CZ"/>
        </w:rPr>
        <w:t>Energy Eficient Bulding (www.e2b-ei.eu) má několik desítek partnerů, z Česka je členem Stavební fakulta ČVUT a Technický a zkušební ústav Praha (TZUS);</w:t>
      </w:r>
    </w:p>
    <w:p w:rsidR="005A63D9" w:rsidRPr="000B4EE0" w:rsidRDefault="005A63D9" w:rsidP="000B4EE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B4EE0">
        <w:rPr>
          <w:color w:val="000000"/>
          <w:shd w:val="clear" w:color="auto" w:fill="FFFFFF"/>
          <w:lang w:eastAsia="cs-CZ"/>
        </w:rPr>
        <w:t>European Green Car Initiatives (www.egvi.eu) má několik desítek partnerů, z Česka je členem Strojní Fakulta ČVUT;</w:t>
      </w:r>
    </w:p>
    <w:p w:rsidR="005A63D9" w:rsidRPr="000B4EE0" w:rsidRDefault="005A63D9" w:rsidP="000B4EE0">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B4EE0">
        <w:rPr>
          <w:color w:val="000000"/>
          <w:shd w:val="clear" w:color="auto" w:fill="FFFFFF"/>
          <w:lang w:eastAsia="cs-CZ"/>
        </w:rPr>
        <w:t>Sustainble Process Industry – SPIRE (www.spire2030.eu) má několik desítek partnerů, Česko se nezúčastní.</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color w:val="000000"/>
          <w:shd w:val="clear" w:color="auto" w:fill="FFFFFF"/>
          <w:lang w:eastAsia="cs-CZ"/>
        </w:rPr>
        <w:t>Oba nástroje (iniciativy a PPPs) vycházejí a přímo navazují na činnosti evropských technologických platforem (European Technology Platforms, ETP) a průmyslových asociací, přičemž se zaměřují na technologicky vysoce náročné oblasti strategického významu.</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color w:val="000000"/>
          <w:shd w:val="clear" w:color="auto" w:fill="FFFFFF"/>
          <w:lang w:eastAsia="cs-CZ"/>
        </w:rPr>
        <w:t>Existuje šest skupin platforem. Bio-based econo</w:t>
      </w:r>
      <w:r>
        <w:rPr>
          <w:color w:val="000000"/>
          <w:shd w:val="clear" w:color="auto" w:fill="FFFFFF"/>
          <w:lang w:eastAsia="cs-CZ"/>
        </w:rPr>
        <w:t>my (7 platforem), Energetika (8 </w:t>
      </w:r>
      <w:r w:rsidRPr="000B4EE0">
        <w:rPr>
          <w:color w:val="000000"/>
          <w:shd w:val="clear" w:color="auto" w:fill="FFFFFF"/>
          <w:lang w:eastAsia="cs-CZ"/>
        </w:rPr>
        <w:t>platforem), Životní prostředí (1 platforma), Informač</w:t>
      </w:r>
      <w:r>
        <w:rPr>
          <w:color w:val="000000"/>
          <w:shd w:val="clear" w:color="auto" w:fill="FFFFFF"/>
          <w:lang w:eastAsia="cs-CZ"/>
        </w:rPr>
        <w:t>ní a komunikační technologie (8 </w:t>
      </w:r>
      <w:r w:rsidRPr="000B4EE0">
        <w:rPr>
          <w:color w:val="000000"/>
          <w:shd w:val="clear" w:color="auto" w:fill="FFFFFF"/>
          <w:lang w:eastAsia="cs-CZ"/>
        </w:rPr>
        <w:t>platforem), Produkce a technologie (8 platforem), Doprava (5 platforem). Přehled všech platforem je uveden v dodatku č. 5 této přílohy. V oblasti životního prostředí je to platforma WssTP.</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b/>
          <w:color w:val="000000"/>
          <w:shd w:val="clear" w:color="auto" w:fill="FFFFFF"/>
          <w:lang w:eastAsia="cs-CZ"/>
        </w:rPr>
        <w:t>Platforma WssTP</w:t>
      </w:r>
      <w:r w:rsidRPr="000B4EE0">
        <w:rPr>
          <w:color w:val="000000"/>
          <w:shd w:val="clear" w:color="auto" w:fill="FFFFFF"/>
          <w:lang w:eastAsia="cs-CZ"/>
        </w:rPr>
        <w:t xml:space="preserve"> (Water Supply and Sanitation Technology Platform – http://wstt.eu) má 153 členů, z toho</w:t>
      </w:r>
      <w:r>
        <w:rPr>
          <w:color w:val="000000"/>
          <w:shd w:val="clear" w:color="auto" w:fill="FFFFFF"/>
          <w:lang w:eastAsia="cs-CZ"/>
        </w:rPr>
        <w:t xml:space="preserve"> </w:t>
      </w:r>
      <w:r w:rsidRPr="000B4EE0">
        <w:rPr>
          <w:color w:val="000000"/>
          <w:shd w:val="clear" w:color="auto" w:fill="FFFFFF"/>
          <w:lang w:eastAsia="cs-CZ"/>
        </w:rPr>
        <w:t>24 strategických partnerů. Česko nemá žádného člena, členem je skupina Veolia Water, která v Česku působí.</w:t>
      </w:r>
    </w:p>
    <w:p w:rsidR="005A63D9" w:rsidRPr="000B4EE0" w:rsidRDefault="005A63D9" w:rsidP="000B4EE0">
      <w:pPr>
        <w:widowControl w:val="0"/>
        <w:adjustRightInd w:val="0"/>
        <w:spacing w:afterLines="0"/>
        <w:ind w:firstLine="539"/>
        <w:contextualSpacing w:val="0"/>
        <w:jc w:val="both"/>
        <w:textAlignment w:val="baseline"/>
        <w:rPr>
          <w:color w:val="000000"/>
          <w:shd w:val="clear" w:color="auto" w:fill="FFFFFF"/>
          <w:lang w:eastAsia="cs-CZ"/>
        </w:rPr>
      </w:pPr>
      <w:r w:rsidRPr="000B4EE0">
        <w:rPr>
          <w:color w:val="000000"/>
          <w:shd w:val="clear" w:color="auto" w:fill="FFFFFF"/>
          <w:lang w:eastAsia="cs-CZ"/>
        </w:rPr>
        <w:t>Platforma má 18 pracovních skupin. Členové jsou dle svých zájmů zapojeni do dvou velkých projektů výzkumu: Water PiPP (Public Innovation Procurement Policy 2014–2016); ZELDA (2013–2017). Oba projekty mají výraznou podporu z prostředků EU.</w:t>
      </w:r>
    </w:p>
    <w:p w:rsidR="005A63D9" w:rsidRDefault="005A63D9">
      <w:pPr>
        <w:spacing w:afterLines="0" w:line="259" w:lineRule="auto"/>
        <w:contextualSpacing w:val="0"/>
        <w:rPr>
          <w:lang w:eastAsia="cs-CZ"/>
        </w:rPr>
      </w:pPr>
      <w:r>
        <w:br w:type="page"/>
      </w:r>
    </w:p>
    <w:p w:rsidR="005A63D9" w:rsidRPr="004B4699" w:rsidRDefault="005A63D9" w:rsidP="004B4699">
      <w:pPr>
        <w:pStyle w:val="Heading1"/>
        <w:keepLines w:val="0"/>
        <w:widowControl w:val="0"/>
        <w:tabs>
          <w:tab w:val="left" w:pos="540"/>
        </w:tabs>
        <w:adjustRightInd w:val="0"/>
        <w:spacing w:afterLines="0"/>
        <w:ind w:left="540" w:hanging="540"/>
        <w:contextualSpacing w:val="0"/>
        <w:jc w:val="both"/>
        <w:textAlignment w:val="baseline"/>
        <w:rPr>
          <w:rFonts w:cs="Arial"/>
          <w:bCs/>
          <w:color w:val="000000"/>
          <w:kern w:val="32"/>
          <w:szCs w:val="32"/>
          <w:shd w:val="clear" w:color="auto" w:fill="FFFFFF"/>
          <w:lang/>
        </w:rPr>
      </w:pPr>
      <w:bookmarkStart w:id="210" w:name="_Toc440897457"/>
      <w:bookmarkStart w:id="211" w:name="_Toc441760859"/>
      <w:bookmarkStart w:id="212" w:name="_Toc441849522"/>
      <w:r>
        <w:rPr>
          <w:rFonts w:cs="Arial"/>
          <w:bCs/>
          <w:color w:val="000000"/>
          <w:kern w:val="32"/>
          <w:szCs w:val="32"/>
          <w:shd w:val="clear" w:color="auto" w:fill="FFFFFF"/>
          <w:lang/>
        </w:rPr>
        <w:t xml:space="preserve">7. </w:t>
      </w:r>
      <w:r w:rsidRPr="004B4699">
        <w:rPr>
          <w:rFonts w:cs="Arial"/>
          <w:bCs/>
          <w:color w:val="000000"/>
          <w:kern w:val="32"/>
          <w:szCs w:val="32"/>
          <w:shd w:val="clear" w:color="auto" w:fill="FFFFFF"/>
          <w:lang/>
        </w:rPr>
        <w:t>Dodatky</w:t>
      </w:r>
      <w:bookmarkEnd w:id="210"/>
      <w:bookmarkEnd w:id="211"/>
      <w:bookmarkEnd w:id="212"/>
    </w:p>
    <w:p w:rsidR="005A63D9" w:rsidRPr="004B4699" w:rsidRDefault="005A63D9" w:rsidP="004B4699">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13" w:name="_Toc440897458"/>
      <w:bookmarkStart w:id="214" w:name="_Toc441760860"/>
      <w:bookmarkStart w:id="215" w:name="_Toc441849523"/>
      <w:r>
        <w:rPr>
          <w:rFonts w:cs="Arial"/>
          <w:bCs/>
          <w:iCs/>
          <w:color w:val="000000"/>
          <w:shd w:val="clear" w:color="auto" w:fill="FFFFFF"/>
          <w:lang/>
        </w:rPr>
        <w:t xml:space="preserve">7.1. </w:t>
      </w:r>
      <w:r w:rsidRPr="004B4699">
        <w:rPr>
          <w:rFonts w:cs="Arial"/>
          <w:bCs/>
          <w:iCs/>
          <w:color w:val="000000"/>
          <w:shd w:val="clear" w:color="auto" w:fill="FFFFFF"/>
          <w:lang/>
        </w:rPr>
        <w:t>Dodatek 1 (Dánsko)</w:t>
      </w:r>
      <w:bookmarkEnd w:id="213"/>
      <w:bookmarkEnd w:id="214"/>
      <w:bookmarkEnd w:id="215"/>
    </w:p>
    <w:p w:rsidR="005A63D9" w:rsidRPr="004B4699" w:rsidRDefault="005A63D9" w:rsidP="004B4699">
      <w:pPr>
        <w:pStyle w:val="Heading3"/>
        <w:keepNext/>
        <w:keepLines/>
        <w:spacing w:before="240" w:afterLines="0" w:line="240" w:lineRule="auto"/>
        <w:contextualSpacing w:val="0"/>
        <w:rPr>
          <w:bCs/>
          <w:shd w:val="clear" w:color="auto" w:fill="FFFFFF"/>
          <w:lang/>
        </w:rPr>
      </w:pPr>
      <w:bookmarkStart w:id="216" w:name="_Toc440897459"/>
      <w:bookmarkStart w:id="217" w:name="_Toc441760861"/>
      <w:bookmarkStart w:id="218" w:name="_Toc441849524"/>
      <w:r w:rsidRPr="004B4699">
        <w:rPr>
          <w:bCs/>
          <w:shd w:val="clear" w:color="auto" w:fill="FFFFFF"/>
          <w:lang/>
        </w:rPr>
        <w:t>Organigram Ministerstva pro vysokoškolské vzdělávání a vědu</w:t>
      </w:r>
      <w:bookmarkEnd w:id="216"/>
      <w:bookmarkEnd w:id="217"/>
      <w:bookmarkEnd w:id="218"/>
    </w:p>
    <w:p w:rsidR="005A63D9" w:rsidRPr="003E3A14" w:rsidRDefault="005A63D9" w:rsidP="003E3A14">
      <w:pPr>
        <w:spacing w:afterLines="0" w:line="276" w:lineRule="auto"/>
        <w:contextualSpacing w:val="0"/>
        <w:rPr>
          <w:rFonts w:ascii="Calibri" w:hAnsi="Calibri" w:cs="Times New Roman"/>
          <w:b/>
          <w:sz w:val="20"/>
          <w:szCs w:val="20"/>
        </w:rPr>
      </w:pPr>
    </w:p>
    <w:p w:rsidR="005A63D9" w:rsidRPr="003E3A14" w:rsidRDefault="005A63D9" w:rsidP="003E3A14">
      <w:pPr>
        <w:spacing w:afterLines="0" w:line="276" w:lineRule="auto"/>
        <w:contextualSpacing w:val="0"/>
        <w:rPr>
          <w:rFonts w:ascii="Calibri" w:hAnsi="Calibri" w:cs="Times New Roman"/>
          <w:b/>
          <w:sz w:val="20"/>
          <w:szCs w:val="20"/>
        </w:rPr>
      </w:pPr>
      <w:r>
        <w:rPr>
          <w:noProof/>
          <w:lang w:eastAsia="cs-CZ"/>
        </w:rPr>
        <w:pict>
          <v:shapetype id="_x0000_t32" coordsize="21600,21600" o:spt="32" o:oned="t" path="m,l21600,21600e" filled="f">
            <v:path arrowok="t" fillok="f" o:connecttype="none"/>
            <o:lock v:ext="edit" shapetype="t"/>
          </v:shapetype>
          <v:shape id="Přímá spojnice se šipkou 211" o:spid="_x0000_s1026" type="#_x0000_t32" style="position:absolute;margin-left:351.25pt;margin-top:12.75pt;width:0;height:14.85pt;z-index:2516520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QU9RgIAAGkEAAAOAAAAZHJzL2Uyb0RvYy54bWysVEFu2zAQvBfoHwjeHVmundpC5KCQ7F7S&#10;1kDSB9AkZbGRuARJWzaKPqTHPCCvCPKvLinbbdpLUdQHeknuzs7uDnV1vW8bspPWKdA5TS+GlEjN&#10;QSi9yennu+VgSonzTAvWgJY5PUhHr+evX111JpMjqKER0hIE0S7rTE5r702WJI7XsmXuAozUeFmB&#10;bZnHrd0kwrIO0dsmGQ2Hl0kHVhgLXDqHp2V/SecRv6ok95+qyklPmpwiNx9XG9d1WJP5Fcs2lpla&#10;8SMN9g8sWqY0Jj1DlcwzsrXqD6hWcQsOKn/BoU2gqhSXsQasJh3+Vs1tzYyMtWBznDm3yf0/WP5x&#10;t7JEiZyO0pQSzVoc0ur5+9Nj+/RAnIEvGhkSJ8nzgzL3sCXBD7vWGZdhcKFXNtTN9/rW3AC/d0RD&#10;UTO9kZH93cEgYIxIXoSEjTOYe919AIE+bOshtnBf2TZAYnPIPk7qcJ6U3HvC+0OOp+l0OplNAp2E&#10;Zac4Y51/L6Elwcip85apTe0L0BrlADaNWdjuxvk+8BQQkmpYqqaJqmg06XI6m4wmMcBBo0S4DG7O&#10;btZFY8mOBV3F35HFC7eAXDJX934CrV5wFrZaxCS1ZGJxtD1TTW9jNY0OebBepHm0ekF9nQ1ni+li&#10;Oh6MR5eLwXhYloN3y2I8uFymbyflm7IoyvRboJyOs1oJIXVgfRJ3Ov478RyfWS/Ls7zP7UleoscB&#10;INnTfyQdBx5m3KtlDeKwsqHlYfao5+h8fHvhwfy6j14/vxDzHwAAAP//AwBQSwMEFAAGAAgAAAAh&#10;AEVuf7reAAAACQEAAA8AAABkcnMvZG93bnJldi54bWxMj01PwzAMhu9I/IfISNxYSkU3VOpOCIQQ&#10;HwfoJnbNGq+paJwqybby7wniACfL9qPXj6vlZAdxIB96xwiXswwEcet0zx3CevVwcQ0iRMVaDY4J&#10;4YsCLOvTk0qV2h35nQ5N7EQK4VAqBBPjWEoZWkNWhZkbidNu57xVMbW+k9qrYwq3g8yzbC6t6jld&#10;MGqkO0PtZ7O3CFdvu8Zvnl7ly/38OfeP5mNjFhbx/Gy6vQERaYp/MPzoJ3Wok9PW7VkHMSAssrxI&#10;KEJepJqA38EWoShykHUl/39QfwMAAP//AwBQSwECLQAUAAYACAAAACEAtoM4kv4AAADhAQAAEwAA&#10;AAAAAAAAAAAAAAAAAAAAW0NvbnRlbnRfVHlwZXNdLnhtbFBLAQItABQABgAIAAAAIQA4/SH/1gAA&#10;AJQBAAALAAAAAAAAAAAAAAAAAC8BAABfcmVscy8ucmVsc1BLAQItABQABgAIAAAAIQD9IQU9RgIA&#10;AGkEAAAOAAAAAAAAAAAAAAAAAC4CAABkcnMvZTJvRG9jLnhtbFBLAQItABQABgAIAAAAIQBFbn+6&#10;3gAAAAkBAAAPAAAAAAAAAAAAAAAAAKAEAABkcnMvZG93bnJldi54bWxQSwUGAAAAAAQABADzAAAA&#10;qwUAAAAA&#10;">
            <v:stroke dashstyle="dash"/>
          </v:shape>
        </w:pict>
      </w:r>
      <w:r>
        <w:rPr>
          <w:noProof/>
          <w:lang w:eastAsia="cs-CZ"/>
        </w:rPr>
        <w:pict>
          <v:shape id="Přímá spojnice se šipkou 210" o:spid="_x0000_s1027" type="#_x0000_t32" style="position:absolute;margin-left:268.3pt;margin-top:12.75pt;width:82.95pt;height:0;z-index:2516510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OrERwIAAGoEAAAOAAAAZHJzL2Uyb0RvYy54bWysVEFu2zAQvBfoHwjeHUmO7DpC5KCQ7F7S&#10;1kDSB9AiZbGRuARJWzaKPqTHPKCvCPKvLinbSNpLUVQHainuzs7uDnV9s+9ashPGSlA5TS5iSoSq&#10;gEu1yemX++VoRol1THHWghI5PQhLb+Zv31z3OhNjaKDlwhAEUTbrdU4b53QWRbZqRMfsBWih8LAG&#10;0zGHW7OJuGE9ondtNI7jadSD4dpAJazFr+VwSOcBv65F5T7XtRWOtDlFbi6sJqxrv0bza5ZtDNON&#10;rI402D+w6JhUmPQMVTLHyNbIP6A6WRmwULuLCroI6lpWItSA1STxb9XcNUyLUAs2x+pzm+z/g60+&#10;7VaGSJ7TcYL9UazDIa2efzz97J4eidXwVSFDYgV5fpT6AbbE+2HXem0zDC7Uyvi6q72607dQPVii&#10;oGiY2ojA/v6gETDxEdGrEL+xGnOv+4/A0YdtHYQW7mvTeUhsDtmHSR3OkxJ7Ryr8mMSTy3Q6oaQ6&#10;nUUsOwVqY90HAR3xRk6tM0xuGleAUqgHMElIw3a31nlaLDsF+KwKlrJtgyxaRfqcXk3GkxBgoZXc&#10;H3o3azbrojVkx7ywwhNqxJOXbh65ZLYZ/Dhag+IMbBUPSRrB+OJoOybbwUZSrfJ5sGCkebQGRX27&#10;iq8Ws8UsHaXj6WKUxmU5er8s0tF0mbyblJdlUZTJd085SbNGci6UZ31Sd5L+nXqO92zQ5Vnf5/ZE&#10;r9FDH5Hs6R1Ih4n7IQ9yWQM/rMxJCSjo4Hy8fP7GvNyj/fIXMf8FAAD//wMAUEsDBBQABgAIAAAA&#10;IQB8Or1W3gAAAAkBAAAPAAAAZHJzL2Rvd25yZXYueG1sTI9NT8MwDIbvSPyHyEjcWEqhHSpNJwRC&#10;CMaBdYhds9ZrKhqnSrKt/HuMOMDNH49ePy4Xkx3EAX3oHSm4nCUgkBrX9tQpeF8/XtyACFFTqwdH&#10;qOALAyyq05NSF6070goPdewEh1AotAIT41hIGRqDVoeZG5F4t3Pe6sit72Tr9ZHD7SDTJMml1T3x&#10;BaNHvDfYfNZ7q+D6bVf7zfOrXD7kL6l/Mh8bM7dKnZ9Nd7cgIk7xD4YffVaHip22bk9tEIOC7CrP&#10;GVWQZhkIBuZJysX2dyCrUv7/oPoGAAD//wMAUEsBAi0AFAAGAAgAAAAhALaDOJL+AAAA4QEAABMA&#10;AAAAAAAAAAAAAAAAAAAAAFtDb250ZW50X1R5cGVzXS54bWxQSwECLQAUAAYACAAAACEAOP0h/9YA&#10;AACUAQAACwAAAAAAAAAAAAAAAAAvAQAAX3JlbHMvLnJlbHNQSwECLQAUAAYACAAAACEAexjqxEcC&#10;AABqBAAADgAAAAAAAAAAAAAAAAAuAgAAZHJzL2Uyb0RvYy54bWxQSwECLQAUAAYACAAAACEAfDq9&#10;Vt4AAAAJAQAADwAAAAAAAAAAAAAAAAChBAAAZHJzL2Rvd25yZXYueG1sUEsFBgAAAAAEAAQA8wAA&#10;AKwFAAAAAA==&#10;">
            <v:stroke dashstyle="dash"/>
          </v:shape>
        </w:pict>
      </w:r>
      <w:r>
        <w:rPr>
          <w:noProof/>
          <w:lang w:eastAsia="cs-CZ"/>
        </w:rPr>
        <w:pict>
          <v:shapetype id="_x0000_t202" coordsize="21600,21600" o:spt="202" path="m,l,21600r21600,l21600,xe">
            <v:stroke joinstyle="miter"/>
            <v:path gradientshapeok="t" o:connecttype="rect"/>
          </v:shapetype>
          <v:shape id="Textové pole 209" o:spid="_x0000_s1028" type="#_x0000_t202" style="position:absolute;margin-left:198.1pt;margin-top:-1.95pt;width:70.2pt;height:32.8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5S+MwIAAFkEAAAOAAAAZHJzL2Uyb0RvYy54bWysVNuO0zAQfUfiHyy/0yRVS7dR09XSpQhp&#10;uUi7fIDjOImF4zG226T8Ed+xP8bYyZZye0HkwfJ4xmfOnBlncz10ihyFdRJ0QbNZSonQHCqpm4J+&#10;eti/uKLEeaYrpkCLgp6Eo9fb5882vcnFHFpQlbAEQbTLe1PQ1nuTJ4njreiYm4ERGp012I55NG2T&#10;VJb1iN6pZJ6mL5MebGUscOEcnt6OTrqN+HUtuP9Q1054ogqK3HxcbVzLsCbbDcsby0wr+USD/QOL&#10;jkmNSc9Qt8wzcrDyN6hOcgsOaj/j0CVQ15KLWANWk6W/VHPfMiNiLSiOM2eZ3P+D5e+PHy2RVUHn&#10;6ZoSzTps0oMYPBwfvxEDSpDgQJl643KMvjcY74dXMGC7Y8nO3AH/7IiGXct0I26shb4VrEKaWbiZ&#10;XFwdcVwAKft3UGE2dvAQgYbadkFDVIUgOrbrdG4RMiIcD6/W2XKBHo6uRbbK1suYgeVPl411/o2A&#10;joRNQS1OQARnxzvnAxmWP4WEXA6UrPZSqWjYptwpS44Mp2Ufvwn9pzClSY+lzVdpOgrwV4w0fn/C&#10;6KTHuVeyw5LOQSwPsr3WVZxKz6Qa98hZ6UnHIN0ooh/KYepLCdUJFbUwzje+R9y0YL9S0uNsF9R9&#10;OTArKFFvNXZlnS2Chj4ai+Vqjoa99JSXHqY5QhXUUzJud358QAdjZdNipnEONNxgJ2sZVQ4tH1lN&#10;vHF+o/jTWwsP5NKOUT/+CNvvAAAA//8DAFBLAwQUAAYACAAAACEAYIadoOMAAAAJAQAADwAAAGRy&#10;cy9kb3ducmV2LnhtbEyPQWvCQBCF74X+h2UKvRTdaOgSYzZSWqX0ItQKxduaHZNgdjbNbmL8911P&#10;7XF4H+99k61G07ABO1dbkjCbRsCQCqtrKiXsvzaTBJjzirRqLKGEKzpY5fd3mUq1vdAnDjtfslBC&#10;LlUSKu/blHNXVGiUm9oWKWQn2xnlw9mVXHfqEspNw+dRJLhRNYWFSrX4WmFx3vVGwvb6TT/vfXQa&#10;PtrksD9v12+bp7WUjw/jyxKYx9H/wXDTD+qQB6ej7Uk71kiIF2IeUAmTeAEsAM+xEMCOEsQsAZ5n&#10;/P8H+S8AAAD//wMAUEsBAi0AFAAGAAgAAAAhALaDOJL+AAAA4QEAABMAAAAAAAAAAAAAAAAAAAAA&#10;AFtDb250ZW50X1R5cGVzXS54bWxQSwECLQAUAAYACAAAACEAOP0h/9YAAACUAQAACwAAAAAAAAAA&#10;AAAAAAAvAQAAX3JlbHMvLnJlbHNQSwECLQAUAAYACAAAACEAS8eUvjMCAABZBAAADgAAAAAAAAAA&#10;AAAAAAAuAgAAZHJzL2Uyb0RvYy54bWxQSwECLQAUAAYACAAAACEAYIadoOMAAAAJAQAADwAAAAAA&#10;AAAAAAAAAACNBAAAZHJzL2Rvd25yZXYueG1sUEsFBgAAAAAEAAQA8wAAAJ0FAAAAAA==&#10;" strokeweight="1pt">
            <v:textbox>
              <w:txbxContent>
                <w:p w:rsidR="005A63D9" w:rsidRPr="00130F30" w:rsidRDefault="005A63D9" w:rsidP="003E3A14">
                  <w:pPr>
                    <w:spacing w:after="144"/>
                    <w:jc w:val="center"/>
                    <w:rPr>
                      <w:sz w:val="18"/>
                      <w:szCs w:val="18"/>
                    </w:rPr>
                  </w:pPr>
                  <w:bookmarkStart w:id="219" w:name="_GoBack"/>
                  <w:bookmarkEnd w:id="219"/>
                  <w:r>
                    <w:rPr>
                      <w:sz w:val="18"/>
                      <w:szCs w:val="18"/>
                    </w:rPr>
                    <w:t>Ministr</w:t>
                  </w:r>
                </w:p>
              </w:txbxContent>
            </v:textbox>
          </v:shape>
        </w:pict>
      </w:r>
    </w:p>
    <w:p w:rsidR="005A63D9" w:rsidRPr="003E3A14" w:rsidRDefault="005A63D9" w:rsidP="003E3A14">
      <w:pPr>
        <w:spacing w:afterLines="0" w:line="276" w:lineRule="auto"/>
        <w:contextualSpacing w:val="0"/>
        <w:rPr>
          <w:rFonts w:ascii="Calibri" w:hAnsi="Calibri" w:cs="Times New Roman"/>
          <w:b/>
          <w:sz w:val="20"/>
          <w:szCs w:val="20"/>
        </w:rPr>
      </w:pPr>
      <w:r>
        <w:rPr>
          <w:noProof/>
          <w:lang w:eastAsia="cs-CZ"/>
        </w:rPr>
        <w:pict>
          <v:shape id="Textové pole 207" o:spid="_x0000_s1029" type="#_x0000_t202" style="position:absolute;margin-left:316.95pt;margin-top:7.55pt;width:70.2pt;height:31.8pt;z-index:25162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0PNgIAAF8EAAAOAAAAZHJzL2Uyb0RvYy54bWysVF1u2zAMfh+wOwh6X+xkSZsYcYouXYYB&#10;3Q/Q7gCyLNvCJFGTlNjdjXaOXWyUnKZBt70M84MgitSnjx9Jr68GrchBOC/BlHQ6ySkRhkMtTVvS&#10;L/e7V0tKfGCmZgqMKOmD8PRq8/LFureFmEEHqhaOIIjxRW9L2oVgiyzzvBOa+QlYYdDZgNMsoOna&#10;rHasR3StslmeX2Q9uNo64MJ7PL0ZnXST8JtG8PCpabwIRJUUuYW0urRWcc02a1a0jtlO8iMN9g8s&#10;NJMGHz1B3bDAyN7J36C05A48NGHCQWfQNJKLlANmM82fZXPXMStSLiiOtyeZ/P+D5R8Pnx2RdUln&#10;+SUlhmks0r0YAhx+/iAWlCDRgTL11hcYfWcxPgxvYMByp5S9vQX+1RMD246ZVlw7B30nWI00p/Fm&#10;dnZ1xPERpOo/QI2vsX2ABDQ0TkcNURWC6Fiuh1OJkBHheLhcTRdz9HB0zfPXy4tUwowVj5et8+Gd&#10;AE3ipqQOOyCBs8OtD5EMKx5D4lselKx3UqlkuLbaKkcODLtll77E/1mYMqQv6WoxW4z5/xUiT9+f&#10;ILQM2PZKaszoFMSKqNpbU6emDEyqcY+UlTnKGJUbNQxDNaTCJY2jxBXUD6irg7HLcSpx04H7TkmP&#10;HV5S/23PnKBEvTdYm9V0HpUMyZgvLmdouHNPde5hhiNUSQMl43YbxjHaWyfbDl8au8HANdazkUnr&#10;J1ZH+tjFqQTHiYtjcm6nqKf/wuYXAAAA//8DAFBLAwQUAAYACAAAACEAxY01S98AAAAJAQAADwAA&#10;AGRycy9kb3ducmV2LnhtbEyPwU7DMAyG70i8Q2QkLoilo6PtStMJIYHgBgPBNWu8tqJxSpJ15e0x&#10;J7jZ+j/9/lxtZjuICX3oHSlYLhIQSI0zPbUK3l7vLwsQIWoyenCECr4xwKY+Pal0adyRXnDaxlZw&#10;CYVSK+hiHEspQ9Oh1WHhRiTO9s5bHXn1rTReH7ncDvIqSTJpdU98odMj3nXYfG4PVkGxepw+wlP6&#10;/N5k+2EdL/Lp4csrdX42396AiDjHPxh+9VkdanbauQOZIAYFWZquGeXgegmCgTxfpSB2PBQ5yLqS&#10;/z+ofwAAAP//AwBQSwECLQAUAAYACAAAACEAtoM4kv4AAADhAQAAEwAAAAAAAAAAAAAAAAAAAAAA&#10;W0NvbnRlbnRfVHlwZXNdLnhtbFBLAQItABQABgAIAAAAIQA4/SH/1gAAAJQBAAALAAAAAAAAAAAA&#10;AAAAAC8BAABfcmVscy8ucmVsc1BLAQItABQABgAIAAAAIQBeeD0PNgIAAF8EAAAOAAAAAAAAAAAA&#10;AAAAAC4CAABkcnMvZTJvRG9jLnhtbFBLAQItABQABgAIAAAAIQDFjTVL3wAAAAkBAAAPAAAAAAAA&#10;AAAAAAAAAJAEAABkcnMvZG93bnJldi54bWxQSwUGAAAAAAQABADzAAAAnAUAAAAA&#10;">
            <v:textbox>
              <w:txbxContent>
                <w:p w:rsidR="005A63D9" w:rsidRPr="00130F30" w:rsidRDefault="005A63D9" w:rsidP="003E3A14">
                  <w:pPr>
                    <w:spacing w:after="144"/>
                    <w:jc w:val="center"/>
                    <w:rPr>
                      <w:sz w:val="18"/>
                      <w:szCs w:val="18"/>
                    </w:rPr>
                  </w:pPr>
                  <w:r w:rsidRPr="008F59D0">
                    <w:rPr>
                      <w:sz w:val="16"/>
                      <w:szCs w:val="16"/>
                    </w:rPr>
                    <w:t>Zvláštní</w:t>
                  </w:r>
                  <w:r>
                    <w:rPr>
                      <w:sz w:val="18"/>
                      <w:szCs w:val="18"/>
                    </w:rPr>
                    <w:t xml:space="preserve"> </w:t>
                  </w:r>
                  <w:r w:rsidRPr="008F59D0">
                    <w:rPr>
                      <w:sz w:val="16"/>
                      <w:szCs w:val="16"/>
                    </w:rPr>
                    <w:t>poradce</w:t>
                  </w:r>
                </w:p>
              </w:txbxContent>
            </v:textbox>
          </v:shape>
        </w:pict>
      </w:r>
      <w:r>
        <w:rPr>
          <w:noProof/>
          <w:lang w:eastAsia="cs-CZ"/>
        </w:rPr>
        <w:pict>
          <v:shape id="Přímá spojnice se šipkou 208" o:spid="_x0000_s1030" type="#_x0000_t32" style="position:absolute;margin-left:233.35pt;margin-top:10.85pt;width:0;height:20.1pt;z-index:2516336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NqHPAIAAFEEAAAOAAAAZHJzL2Uyb0RvYy54bWysVEtu2zAQ3RfoHQjtbUmO7TiC5aCQ7G7S&#10;1kDSA9AkZbGROARJWzaKHqTLHCCnCHKvDukPnHZTFPWCHpIzb97MPGp6u2sbshXGSlB5lPaTiAjF&#10;gEu1zqOvD4veJCLWUcVpA0rk0V7Y6Hb2/t2005kYQA0NF4YgiLJZp/Oodk5ncWxZLVpq+6CFwssK&#10;TEsdbs065oZ2iN428SBJxnEHhmsDTFiLp+XhMpoF/KoSzH2pKiscafIIubmwmrCu/BrPpjRbG6pr&#10;yY406D+waKlUmPQMVVJHycbIP6BayQxYqFyfQRtDVUkmQg1YTZr8Vs19TbUItWBzrD63yf4/WPZ5&#10;uzRE8jwaJDgqRVsc0vL158tz+/JErIZvChkSK8jrk9SPsCHeD7vWaZthcKGWxtfNdupe3wF7tERB&#10;UVO1FoH9w14jYOoj4jchfmM15l51n4CjD904CC3cVab1kNgcsguT2p8nJXaOsMMhw9PBaDS4DkOM&#10;aXaK08a6jwJa4o08ss5Qua5dAUqhHMCkIQvd3lnnWdHsFOCTKljIpgmqaBTp8mh8NUpCgIVGcn/p&#10;3axZr4rGkC31ugq/UCLeXLoZ2CgewGpB+fxoOyqbg43JG+XxsC6kc7QOwvl+k9zMJ/PJsDccjOe9&#10;YVKWvQ+LYtgbL9LrUXlVFkWZ/vDU0mFWS86F8uxOIk6HfyeS43M6yO8s43Mb4rfooV9I9vQfSIfB&#10;+lkeVLECvl+a08BRt8H5+Mb8w7jco335JZj9AgAA//8DAFBLAwQUAAYACAAAACEAwmL1et0AAAAJ&#10;AQAADwAAAGRycy9kb3ducmV2LnhtbEyPTUvEMBCG74L/IYzgzU1bpGrtdJFVwdOiq+ziLdvEpthM&#10;SpN++O8d8aCnYWYe3nmmXC+uE5MZQusJIV0lIAzVXrfUILy9Pl5cgwhRkVadJ4PwZQKsq9OTUhXa&#10;z/Ripl1sBIdQKBSCjbEvpAy1NU6Fle8N8e7DD05FbodG6kHNHO46mSVJLp1qiS9Y1ZuNNfXnbnQI&#10;Tj35MbObabtf7p/1/E719uGAeH623N2CiGaJfzD86LM6VOx09CPpIDqEyzy/YhQhS7ky8Ds4IuTp&#10;DciqlP8/qL4BAAD//wMAUEsBAi0AFAAGAAgAAAAhALaDOJL+AAAA4QEAABMAAAAAAAAAAAAAAAAA&#10;AAAAAFtDb250ZW50X1R5cGVzXS54bWxQSwECLQAUAAYACAAAACEAOP0h/9YAAACUAQAACwAAAAAA&#10;AAAAAAAAAAAvAQAAX3JlbHMvLnJlbHNQSwECLQAUAAYACAAAACEAj+jahzwCAABRBAAADgAAAAAA&#10;AAAAAAAAAAAuAgAAZHJzL2Uyb0RvYy54bWxQSwECLQAUAAYACAAAACEAwmL1et0AAAAJAQAADwAA&#10;AAAAAAAAAAAAAACWBAAAZHJzL2Rvd25yZXYueG1sUEsFBgAAAAAEAAQA8wAAAKAFAAAAAA==&#10;" strokeweight=".5pt"/>
        </w:pict>
      </w:r>
    </w:p>
    <w:p w:rsidR="005A63D9" w:rsidRPr="003E3A14" w:rsidRDefault="005A63D9" w:rsidP="003E3A14">
      <w:pPr>
        <w:spacing w:afterLines="0" w:line="276" w:lineRule="auto"/>
        <w:contextualSpacing w:val="0"/>
        <w:rPr>
          <w:rFonts w:ascii="Calibri" w:hAnsi="Calibri" w:cs="Times New Roman"/>
          <w:b/>
          <w:sz w:val="20"/>
          <w:szCs w:val="20"/>
        </w:rPr>
      </w:pPr>
      <w:r>
        <w:rPr>
          <w:noProof/>
          <w:lang w:eastAsia="cs-CZ"/>
        </w:rPr>
        <w:pict>
          <v:shape id="Přímá spojnice se šipkou 206" o:spid="_x0000_s1031" type="#_x0000_t32" style="position:absolute;margin-left:348.8pt;margin-top:19.75pt;width:4.85pt;height:0;rotation:-90;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zwHTwIAAHUEAAAOAAAAZHJzL2Uyb0RvYy54bWysVMGO2jAQvVfqP1i+QxIKFKINqyqBXrYt&#10;0m4/wMQOcTfxWLYhoKof0uN+QL9itf/VscOypb1UVTmYsT3z5s3Mc66uD21D9sJYCSqjyTCmRKgS&#10;uFTbjH6+Ww1mlFjHFGcNKJHRo7D0evH61VWnUzGCGhouDEEQZdNOZ7R2TqdRZMtatMwOQQuFlxWY&#10;ljncmm3EDesQvW2iURxPow4M1wZKYS2eFv0lXQT8qhKl+1RVVjjSZBS5ubCasG78Gi2uWLo1TNey&#10;PNFg/8CiZVJh0jNUwRwjOyP/gGplacBC5YYltBFUlSxFqAGrSeLfqrmtmRahFmyO1ec22f8HW37c&#10;rw2RPKMjShRrcUTrp++PP9rHB2I1fFHIj1hBnh6kvocdGcVT37NO2xRDc7U2vuryoG71DZT3lijI&#10;a6a2InC/O2oETHxEdBHiN1Zj5k33ATj6sJ2D0MBDZVpiAAeVTHHA+AvH2ClyCGM7nscmDo6UeDhN&#10;JvMJJeXzTcRSj+KJaWPdewEt8UZGrTNMbmuXg1IoDTBJAGf7G+s8x5cAH6xgJZsmKKRRpMvofDKa&#10;hAALjeT+0rtZs93kjSF75jXWU+7BLtw8g4LZuvfjaPXiM7BTPCSpBePLk+2YbHobSTXK58FykebJ&#10;6sX1dR7Pl7PlbDwYj6bLwTguisG7VT4eTFfJ20nxpsjzIvnmKSfjtJacC+VZPws9Gf+dkE5Prpfo&#10;Wern9kSX6KGPSPb5P5AO4/cT77WzAX5cG98lrwTUdnA+vUP/eH7dB6+Xr8XiJwAAAP//AwBQSwME&#10;FAAGAAgAAAAhADmvLn3dAAAACQEAAA8AAABkcnMvZG93bnJldi54bWxMj8FOwzAMhu9IvENkJC6I&#10;pcvKgFJ3QmhICHFh4wHSxjQVjVOarCtvTxAHONr+9Pv7y83sejHRGDrPCMtFBoK48abjFuFt/3h5&#10;AyJEzUb3ngnhiwJsqtOTUhfGH/mVpl1sRQrhUGgEG+NQSBkaS06HhR+I0+3dj07HNI6tNKM+pnDX&#10;S5Vla+l0x+mD1QM9WGo+dgeHsK0n6vLP24unvX3eKvXi5DJXiOdn8/0diEhz/IPhRz+pQ5Wcan9g&#10;E0SPcJ2pq4QirPI1iAT8LmqEPF+BrEr5v0H1DQAA//8DAFBLAQItABQABgAIAAAAIQC2gziS/gAA&#10;AOEBAAATAAAAAAAAAAAAAAAAAAAAAABbQ29udGVudF9UeXBlc10ueG1sUEsBAi0AFAAGAAgAAAAh&#10;ADj9If/WAAAAlAEAAAsAAAAAAAAAAAAAAAAALwEAAF9yZWxzLy5yZWxzUEsBAi0AFAAGAAgAAAAh&#10;AAazPAdPAgAAdQQAAA4AAAAAAAAAAAAAAAAALgIAAGRycy9lMm9Eb2MueG1sUEsBAi0AFAAGAAgA&#10;AAAhADmvLn3dAAAACQEAAA8AAAAAAAAAAAAAAAAAqQQAAGRycy9kb3ducmV2LnhtbFBLBQYAAAAA&#10;BAAEAPMAAACzBQAAAAA=&#10;">
            <v:stroke dashstyle="dash"/>
          </v:shape>
        </w:pict>
      </w:r>
      <w:r>
        <w:rPr>
          <w:noProof/>
          <w:lang w:eastAsia="cs-CZ"/>
        </w:rPr>
        <w:pict>
          <v:shape id="Textové pole 205" o:spid="_x0000_s1032" type="#_x0000_t202" style="position:absolute;margin-left:198pt;margin-top:10.9pt;width:70.2pt;height:30.2pt;z-index:251621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qoMwIAAF8EAAAOAAAAZHJzL2Uyb0RvYy54bWysVF1u2zAMfh+wOwh6X+ykyZYYcYouXYYB&#10;3Q/Q7gCyLNvCJFGTlNjdjXqOXWyUnKbZ38swPwikSH0kP5JeXw5akYNwXoIp6XSSUyIMh1qatqSf&#10;73YvlpT4wEzNFBhR0nvh6eXm+bN1bwsxgw5ULRxBEOOL3pa0C8EWWeZ5JzTzE7DCoLEBp1lA1bVZ&#10;7ViP6Fplszx/mfXgauuAC+/x9no00k3CbxrBw8em8SIQVVLMLaTTpbOKZ7ZZs6J1zHaSH9Ng/5CF&#10;ZtJg0BPUNQuM7J38DUpL7sBDEyYcdAZNI7lINWA10/yXam47ZkWqBcnx9kST/3+w/MPhkyOyLuks&#10;X1BimMYm3YkhwOH7A7GgBIkGpKm3vkDvW4v+YXgNA7Y7leztDfAvnhjYdsy04so56DvBakxzGl9m&#10;Z09HHB9Bqv491BiN7QMkoKFxOnKIrBBEx3bdn1qEGRGOl8vVdDFHC0fTxfIiyjECKx4fW+fDWwGa&#10;RKGkDicggbPDjQ+j66NLjOVByXonlUqKa6utcuTAcFp26Tui/+SmDOlLulrMFmP9f4XI0/cnCC0D&#10;jr2SGis6ObEisvbG1JgmKwKTapSxOmWONEbmRg7DUA1j42KASHEF9T3y6mCcctxKFDpw3yjpccJL&#10;6r/umROUqHcGe7OaziOTISnzxasZKu7cUp1bmOEIVdJAyShuw7hGe+tk22GkcRoMXGE/G5m4fsrq&#10;mD5OcerWcePimpzryevpv7D5AQAA//8DAFBLAwQUAAYACAAAACEAcb1RFuAAAAAJAQAADwAAAGRy&#10;cy9kb3ducmV2LnhtbEyPwU7DMBBE70j8g7VIXBB1mpTQhjgVQgLBDdoKrm68TSLsdYjdNPw9ywmO&#10;qx29mVeuJ2fFiEPoPCmYzxIQSLU3HTUKdtvH6yWIEDUZbT2hgm8MsK7Oz0pdGH+iNxw3sREMoVBo&#10;BW2MfSFlqFt0Osx8j8S/gx+cjnwOjTSDPjHcWZkmSS6d7ogbWt3jQ4v15+boFCwXz+NHeMle3+v8&#10;YFfx6nZ8+hqUuryY7u9ARJziXxh+5/N0qHjT3h/JBGEVZKucXaKCdM4KHLjJ8gWIPdPTFGRVyv8G&#10;1Q8AAAD//wMAUEsBAi0AFAAGAAgAAAAhALaDOJL+AAAA4QEAABMAAAAAAAAAAAAAAAAAAAAAAFtD&#10;b250ZW50X1R5cGVzXS54bWxQSwECLQAUAAYACAAAACEAOP0h/9YAAACUAQAACwAAAAAAAAAAAAAA&#10;AAAvAQAAX3JlbHMvLnJlbHNQSwECLQAUAAYACAAAACEAWBFqqDMCAABfBAAADgAAAAAAAAAAAAAA&#10;AAAuAgAAZHJzL2Uyb0RvYy54bWxQSwECLQAUAAYACAAAACEAcb1RFuAAAAAJAQAADwAAAAAAAAAA&#10;AAAAAACNBAAAZHJzL2Rvd25yZXYueG1sUEsFBgAAAAAEAAQA8wAAAJoFAAAAAA==&#10;">
            <v:textbox>
              <w:txbxContent>
                <w:p w:rsidR="005A63D9" w:rsidRPr="00130F30" w:rsidRDefault="005A63D9" w:rsidP="003E3A14">
                  <w:pPr>
                    <w:spacing w:after="144"/>
                    <w:jc w:val="center"/>
                    <w:rPr>
                      <w:sz w:val="18"/>
                      <w:szCs w:val="18"/>
                    </w:rPr>
                  </w:pPr>
                  <w:r>
                    <w:rPr>
                      <w:sz w:val="18"/>
                      <w:szCs w:val="18"/>
                    </w:rPr>
                    <w:t>Stálý tajemník</w:t>
                  </w:r>
                </w:p>
              </w:txbxContent>
            </v:textbox>
          </v:shape>
        </w:pict>
      </w:r>
    </w:p>
    <w:p w:rsidR="005A63D9" w:rsidRPr="003E3A14" w:rsidRDefault="005A63D9" w:rsidP="003E3A14">
      <w:pPr>
        <w:spacing w:afterLines="0" w:line="276" w:lineRule="auto"/>
        <w:contextualSpacing w:val="0"/>
        <w:rPr>
          <w:rFonts w:ascii="Calibri" w:hAnsi="Calibri" w:cs="Times New Roman"/>
          <w:b/>
          <w:sz w:val="20"/>
          <w:szCs w:val="20"/>
        </w:rPr>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římá spojnice se šipkou 203" o:spid="_x0000_s1033" type="#_x0000_t34" style="position:absolute;margin-left:227.7pt;margin-top:24.7pt;width:11.4pt;height:.05pt;rotation:90;flip:x;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D6ZwIAAKAEAAAOAAAAZHJzL2Uyb0RvYy54bWysVEtu2zAQ3RfoHQjuHUm24jpC5KCQ7HaR&#10;tgaSHoAWKYsJfyAZy0bRg3SZA/QUQe7VIS0bSbspimpBkeLMmzdvZnR5tZMCbZl1XKsSZ2cpRkw1&#10;mnK1KfHX2+VohpHzRFEitGIl3jOHr+Zv31z2pmBj3WlBmUUAolzRmxJ33psiSVzTMUncmTZMwWWr&#10;rSQejnaTUEt6QJciGafpNOm1pcbqhjkHX+vDJZ5H/LZljf/Sto55JEoM3HxcbVzXYU3ml6TYWGI6&#10;3gw0yD+wkIQrCHqCqokn6MHyP6Akb6x2uvVnjZaJblvesJgDZJOlv2Vz0xHDYi4gjjMnmdz/g20+&#10;b1cWcQq1w0gRCSVaPf94+imfHpEz+k4BP+QYen7k5l4/oHE6CZr1xhXgWqmVDVk3O3VjrnVz75DS&#10;VUfUhkXut3sDgFnwSF65hIMzEHndf9IUbMiD11HAXWslshoKlU2hwPBg1ApuPgacEAs0Q7tYwP2p&#10;gGznUQMfszx/NwOHBq6mk/MYlxQBMnga6/wHpiUKmxKvmfKVVgp6RNtJxCbba+djGekgBqF3IEwr&#10;BXTFlgh0HhmFfEgxWMPuiBxclV5yIWJfCYX6SCSN6E4LTsNlMHN2s66ERQAKacRnoPvKTHIP8yG4&#10;LPHsZESKjhG6UDRG8YSLwx6YCBXAQY8hkaBM7MNvF+nFYraY5aN8PF2M8rSuR++XVT6aLrN35/Wk&#10;rqo6+x54ZnnRcUqZClSPM5Hlf9dzw3Qeuvk0FSdNktfoUUageHxH0rFTQnMc2myt6X5ljx0EYxCN&#10;h5ENc/byDPuXP5b5LwAAAP//AwBQSwMEFAAGAAgAAAAhAFIvWAvgAAAACQEAAA8AAABkcnMvZG93&#10;bnJldi54bWxMj8FOwzAMhu9IvENkJG4s3bp1ozSdEAKJ27SBhrhljWkqGqc0WVf29JgTHG1/+v39&#10;xXp0rRiwD40nBdNJAgKp8qahWsHry9PNCkSImoxuPaGCbwywLi8vCp0bf6ItDrtYCw6hkGsFNsYu&#10;lzJUFp0OE98h8e3D905HHvtaml6fONy1cpYkmXS6If5gdYcPFqvP3dEp2A+PZzNPZ/Zcv6XP7+li&#10;87VoNkpdX433dyAijvEPhl99VoeSnQ7+SCaIVsE8y5aMKkhXUxAM8IK7HBRkyS3IspD/G5Q/AAAA&#10;//8DAFBLAQItABQABgAIAAAAIQC2gziS/gAAAOEBAAATAAAAAAAAAAAAAAAAAAAAAABbQ29udGVu&#10;dF9UeXBlc10ueG1sUEsBAi0AFAAGAAgAAAAhADj9If/WAAAAlAEAAAsAAAAAAAAAAAAAAAAALwEA&#10;AF9yZWxzLy5yZWxzUEsBAi0AFAAGAAgAAAAhAAIyYPpnAgAAoAQAAA4AAAAAAAAAAAAAAAAALgIA&#10;AGRycy9lMm9Eb2MueG1sUEsBAi0AFAAGAAgAAAAhAFIvWAvgAAAACQEAAA8AAAAAAAAAAAAAAAAA&#10;wQQAAGRycy9kb3ducmV2LnhtbFBLBQYAAAAABAAEAPMAAADOBQAAAAA=&#10;" strokeweight=".5pt"/>
        </w:pict>
      </w:r>
      <w:r>
        <w:rPr>
          <w:noProof/>
          <w:lang w:eastAsia="cs-CZ"/>
        </w:rPr>
        <w:pict>
          <v:shape id="Přímá spojnice se šipkou 204" o:spid="_x0000_s1034" type="#_x0000_t32" style="position:absolute;margin-left:268.2pt;margin-top:2.1pt;width:83.05pt;height:0;z-index:2516531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A0XSAIAAGoEAAAOAAAAZHJzL2Uyb0RvYy54bWysVEFu2zAQvBfoHwjeHUmOnDhC5KCQ7F7S&#10;1kDSB9AiZbGRuARJWzaKPqTHPCCvCPKvLinbSNpLUVQHainuzs7uDnV9s+tashXGSlA5Tc5iSoSq&#10;gEu1zunX+8VoSol1THHWghI53QtLb2bv3133OhNjaKDlwhAEUTbrdU4b53QWRbZqRMfsGWih8LAG&#10;0zGHW7OOuGE9ondtNI7ji6gHw7WBSliLX8vhkM4Cfl2Lyn2payscaXOK3FxYTVhXfo1m1yxbG6Yb&#10;WR1osH9g0TGpMOkJqmSOkY2Rf0B1sjJgoXZnFXQR1LWsRKgBq0ni36q5a5gWoRZsjtWnNtn/B1t9&#10;3i4NkTyn4zilRLEOh7R8+fn81D0/Eqvhm0KGxAry8ij1A2yI98Ou9dpmGFyopfF1Vzt1p2+herBE&#10;QdEwtRaB/f1eI2DiI6I3IX5jNeZe9Z+Aow/bOAgt3NWm85DYHLILk9qfJiV2jlT4MYkn6eX5hJLq&#10;eBax7BiojXUfBXTEGzm1zjC5blwBSqEewCQhDdveWudpsewY4LMqWMi2DbJoFelzejUZT0KAhVZy&#10;f+jdrFmvitaQLfPCCk+oEU9eu3nkktlm8ONoDYozsFE8JGkE4/OD7ZhsBxtJtcrnwYKR5sEaFPX9&#10;Kr6aT+fTdJSOL+ajNC7L0YdFkY4uFsnlpDwvi6JMfnjKSZo1knOhPOujupP079RzuGeDLk/6PrUn&#10;eose+ohkj+9AOkzcD3mQywr4fmmOSkBBB+fD5fM35vUe7de/iNkvAAAA//8DAFBLAwQUAAYACAAA&#10;ACEAE7n1AdwAAAAHAQAADwAAAGRycy9kb3ducmV2LnhtbEyOTU/DMBBE70j8B2uRuFGH0KYoxKkQ&#10;CCE+DhAQvbrxNo6I15HttuHfs3CB42hGb161mtwg9hhi70nB+SwDgdR601On4P3t7uwSREyajB48&#10;oYIvjLCqj48qXRp/oFfcN6kTDKFYagU2pbGUMrYWnY4zPyJxt/XB6cQxdNIEfWC4G2SeZYV0uid+&#10;sHrEG4vtZ7NzCuYv2yasH57l023xmId7+7G2S6fU6cl0fQUi4ZT+xvCjz+pQs9PG78hEMShYXBRz&#10;njIsB8H9MssXIDa/WdaV/O9ffwMAAP//AwBQSwECLQAUAAYACAAAACEAtoM4kv4AAADhAQAAEwAA&#10;AAAAAAAAAAAAAAAAAAAAW0NvbnRlbnRfVHlwZXNdLnhtbFBLAQItABQABgAIAAAAIQA4/SH/1gAA&#10;AJQBAAALAAAAAAAAAAAAAAAAAC8BAABfcmVscy8ucmVsc1BLAQItABQABgAIAAAAIQDCdA0XSAIA&#10;AGoEAAAOAAAAAAAAAAAAAAAAAC4CAABkcnMvZTJvRG9jLnhtbFBLAQItABQABgAIAAAAIQATufUB&#10;3AAAAAcBAAAPAAAAAAAAAAAAAAAAAKIEAABkcnMvZG93bnJldi54bWxQSwUGAAAAAAQABADzAAAA&#10;qwUAAAAA&#10;">
            <v:stroke dashstyle="dash"/>
          </v:shape>
        </w:pict>
      </w:r>
    </w:p>
    <w:p w:rsidR="005A63D9" w:rsidRPr="003E3A14" w:rsidRDefault="005A63D9" w:rsidP="003E3A14">
      <w:pPr>
        <w:spacing w:afterLines="0" w:line="276" w:lineRule="auto"/>
        <w:contextualSpacing w:val="0"/>
        <w:rPr>
          <w:rFonts w:ascii="Calibri" w:hAnsi="Calibri" w:cs="Times New Roman"/>
          <w:sz w:val="20"/>
          <w:szCs w:val="20"/>
        </w:rPr>
      </w:pPr>
      <w:r>
        <w:rPr>
          <w:noProof/>
          <w:lang w:eastAsia="cs-CZ"/>
        </w:rPr>
        <w:pict>
          <v:shape id="Přímá spojnice se šipkou 202" o:spid="_x0000_s1035" type="#_x0000_t32" style="position:absolute;margin-left:290.95pt;margin-top:10.45pt;width:0;height:18.15pt;z-index:2516377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n4nOgIAAFEEAAAOAAAAZHJzL2Uyb0RvYy54bWysVEtu2zAQ3RfoHQjuHUmO7TpC5KCQ7G7S&#10;1kDSA9AkZbGROARJWzaKHqTLHKCnCHKvDukPknZTFPWCHpIzb97MPOr6Zte1ZCutU6ALml2klEjN&#10;QSi9LuiX+8VgSonzTAvWgpYF3UtHb2Zv31z3JpdDaKAV0hIE0S7vTUEb702eJI43smPuAozUeFmD&#10;7ZjHrV0nwrIe0bs2GabpJOnBCmOBS+fwtDpc0lnEr2vJ/ee6dtKTtqDIzcfVxnUV1mR2zfK1ZaZR&#10;/EiD/QOLjimNSc9QFfOMbKz6A6pT3IKD2l9w6BKoa8VlrAGrydLfqrlrmJGxFmyOM+c2uf8Hyz9t&#10;l5YoUdBhOqREsw6HtHz+8fSze3okzsBXjQyJk+T5UZkH2JDgh13rjcsxuNRLG+rmO31nboE/OKKh&#10;bJhey8j+fm8QMAsRyauQsHEGc6/6jyDQh208xBbuatsFSGwO2cVJ7c+TkjtP+OGQ4+nwMh2n4wjO&#10;8lOcsc5/kNCRYBTUecvUuvElaI1yAJvFLGx763xgxfJTQEiqYaHaNqqi1aQv6ORynMYAB60S4TK4&#10;Obtela0lWxZ0FX9HFq/cLGy0iGCNZGJ+tD1T7cHG5K0OeFgX0jlaB+F8u0qv5tP5dDQYDSfzwSit&#10;qsH7RTkaTBbZu3F1WZVllX0P1LJR3ighpA7sTiLORn8nkuNzOsjvLONzG5LX6LFfSPb0H0nHwYZZ&#10;HlSxArFf2tPAUbfR+fjGwsN4uUf75Zdg9gsAAP//AwBQSwMEFAAGAAgAAAAhABc8cz/cAAAACQEA&#10;AA8AAABkcnMvZG93bnJldi54bWxMj01Lw0AQhu+C/2EZwZvdNKDWmE2RquCpaJUWb9PsmASzsyG7&#10;+fDfO+JBT/P18r7P5OvZtWqkPjSeDSwXCSji0tuGKwNvr48XK1AhIltsPZOBLwqwLk5Pcsysn/iF&#10;xl2slJhwyNBAHWOXaR3KmhyGhe+I5fbhe4dRxr7StsdJzF2r0yS50g4bloQaO9rUVH7uBmfA4ZMf&#10;0nozbvfz/bOd3rncPhyMOT+b725BRZrjnxh+8AUdCmE6+oFtUK2By9XyRqQG0kSqCH4XR2muU9BF&#10;rv9/UHwDAAD//wMAUEsBAi0AFAAGAAgAAAAhALaDOJL+AAAA4QEAABMAAAAAAAAAAAAAAAAAAAAA&#10;AFtDb250ZW50X1R5cGVzXS54bWxQSwECLQAUAAYACAAAACEAOP0h/9YAAACUAQAACwAAAAAAAAAA&#10;AAAAAAAvAQAAX3JlbHMvLnJlbHNQSwECLQAUAAYACAAAACEA3pZ+JzoCAABRBAAADgAAAAAAAAAA&#10;AAAAAAAuAgAAZHJzL2Uyb0RvYy54bWxQSwECLQAUAAYACAAAACEAFzxzP9wAAAAJAQAADwAAAAAA&#10;AAAAAAAAAACUBAAAZHJzL2Rvd25yZXYueG1sUEsFBgAAAAAEAAQA8wAAAJ0FAAAAAA==&#10;" strokeweight=".5pt"/>
        </w:pict>
      </w:r>
      <w:r>
        <w:rPr>
          <w:noProof/>
          <w:lang w:eastAsia="cs-CZ"/>
        </w:rPr>
        <w:pict>
          <v:shape id="Přímá spojnice se šipkou 201" o:spid="_x0000_s1036" type="#_x0000_t32" style="position:absolute;margin-left:171.7pt;margin-top:10.45pt;width:0;height:18.15pt;z-index:2516367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W0oOgIAAFEEAAAOAAAAZHJzL2Uyb0RvYy54bWysVM2O0zAQviPxDpbvbZL+0Y2arlDSclmg&#10;0i4P4NpOYzbxWLbbtEI8CMd9AJ5ite+F7aSFwgUhenDH9sw338x8zuL22NTowLURIDOcDGOMuKTA&#10;hNxl+NPDejDHyFgiGalB8gyfuMG3y9evFq1K+QgqqBnXyIFIk7Yqw5W1Ko0iQyveEDMExaW7LEE3&#10;xLqt3kVMk9ahN3U0iuNZ1IJmSgPlxrjTorvEy4Bflpzaj2VpuEV1hh03G1Yd1q1fo+WCpDtNVCVo&#10;T4P8A4uGCOmSXqAKYgnaa/EHVCOoBgOlHVJoIihLQXmowVWTxL9Vc18RxUMtrjlGXdpk/h8s/XDY&#10;aCRYhl1+jCRp3JA2L9+evzfPT8go+CwdQ2Q4enkS6hH2yPu5rrXKpC44lxvt66ZHea/ugD4aJCGv&#10;iNzxwP7hpBxgiIiuQvzGKJd7274H5nzI3kJo4bHUjYd0zUHHMKnTZVL8aBHtDqk7HY3jaTz1dCKS&#10;nuOUNvYdhwZ5I8PGaiJ2lc1BSicH0EnIQg53xnaB5wCfVMJa1HVQRS1Rm+HZeBqHAAO1YP7Suxm9&#10;2+a1RgfidRV+PYsrNw17yQJYxQlb9bYlou5sx7qWHs/V5ej0ViecLzfxzWq+mk8Gk9FsNZjERTF4&#10;u84ng9k6eTMtxkWeF8lXTy2ZpJVgjEvP7iziZPJ3IumfUye/i4wvbYiu0UOjHdnzfyAdButn2ali&#10;C+y00b61fsZOt8G5f2P+Yfy6D14/vwTLHwAAAP//AwBQSwMEFAAGAAgAAAAhAIpC3NXdAAAACQEA&#10;AA8AAABkcnMvZG93bnJldi54bWxMj8tOxDAMRfdI/ENkJHZMSmd4lbojNIDEagQDArHzNKataJyq&#10;SR/8PUEsYGn76PrcfD3bVo3c+8YJwukiAcVSOtNIhfDyfH9yCcoHEkOtE0b4Yg/r4vAgp8y4SZ54&#10;3IVKxRDxGSHUIXSZ1r6s2ZJfuI4l3j5cbynEsa+06WmK4bbVaZKca0uNxA81dbypufzcDRbB0oMb&#10;0nozbl/n20czvUu5vXtDPD6ab65BBZ7DHww/+lEdiui0d4MYr1qE5Wq5iihCmlyBisDvYo9wdpGC&#10;LnL9v0HxDQAA//8DAFBLAQItABQABgAIAAAAIQC2gziS/gAAAOEBAAATAAAAAAAAAAAAAAAAAAAA&#10;AABbQ29udGVudF9UeXBlc10ueG1sUEsBAi0AFAAGAAgAAAAhADj9If/WAAAAlAEAAAsAAAAAAAAA&#10;AAAAAAAALwEAAF9yZWxzLy5yZWxzUEsBAi0AFAAGAAgAAAAhAJ1dbSg6AgAAUQQAAA4AAAAAAAAA&#10;AAAAAAAALgIAAGRycy9lMm9Eb2MueG1sUEsBAi0AFAAGAAgAAAAhAIpC3NXdAAAACQEAAA8AAAAA&#10;AAAAAAAAAAAAlAQAAGRycy9kb3ducmV2LnhtbFBLBQYAAAAABAAEAPMAAACeBQAAAAA=&#10;" strokeweight=".5pt"/>
        </w:pict>
      </w:r>
      <w:r>
        <w:rPr>
          <w:noProof/>
          <w:lang w:eastAsia="cs-CZ"/>
        </w:rPr>
        <w:pict>
          <v:shape id="Přímá spojnice se šipkou 200" o:spid="_x0000_s1037" type="#_x0000_t32" style="position:absolute;margin-left:171.7pt;margin-top:10.45pt;width:119.25pt;height:.0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wcZPAIAAFQEAAAOAAAAZHJzL2Uyb0RvYy54bWysVEtu2zAQ3RfoHQjuHUmJ7CZC5KCQ7G7S&#10;1kDSA9AkZbGROARJWzaKHqTLHKCnCHKvDukPknZTFNWCGoozb97MPOr6Ztt3ZCOtU6BLmp2llEjN&#10;QSi9KumX+/nokhLnmRasAy1LupOO3kzfvrkeTCHPoYVOSEsQRLtiMCVtvTdFkjjeyp65MzBS42ED&#10;tmcet3aVCMsGRO+75DxNJ8kAVhgLXDqHX+v9IZ1G/KaR3H9uGic96UqK3HxcbVyXYU2m16xYWWZa&#10;xQ802D+w6JnSmPQEVTPPyNqqP6B6xS04aPwZhz6BplFcxhqwmiz9rZq7lhkZa8HmOHNqk/t/sPzT&#10;ZmGJEiXFblKiWY9DWjz/ePrZPz0SZ+CrRobESfL8qMwDrEnww64NxhUYXOmFDXXzrb4zt8AfHNFQ&#10;tUyvZGR/vzMImIWI5FVI2DiDuZfDRxDow9YeYgu3je0DJDaHbOOkdqdJya0nHD9m4yzP340p4Xg2&#10;uRhHfFYcQ411/oOEngSjpM5bplatr0BrVATYLCZim1vnAzFWHANCXg1z1XVRGJ0mQ8RPY4CDTolw&#10;GNycXS2rzpINC9KKz4HFKzcLay0iWCuZmB1sz1S3tzF5pwMeloZ0DtZeO9+u0qvZ5ewyH+Xnk9ko&#10;T+t69H5e5aPJPHs3ri/qqqqz74FalhetEkLqwO6o4yz/O50cbtRegScln9qQvEaP/UKyx3ckHWcb&#10;xrkXxhLEbmGPM0fpRufDNQt34+Ue7Zc/g+kvAAAA//8DAFBLAwQUAAYACAAAACEAAe548t4AAAAJ&#10;AQAADwAAAGRycy9kb3ducmV2LnhtbEyPy07DMBBF90j8gzVI7KidtKA2xKlQAYlVBQVRsZvGJomI&#10;x1HsPPh7hhXs5nF050y+nV0rRtuHxpOGZKFAWCq9aajS8Pb6eLUGESKSwdaT1fBtA2yL87McM+Mn&#10;erHjIVaCQyhkqKGOscukDGVtHYaF7yzx7tP3DiO3fSVNjxOHu1amSt1Ihw3xhRo7u6tt+XUYnAaH&#10;T35I6924f5/vn830QeX+4aj15cV8dwsi2jn+wfCrz+pQsNPJD2SCaDUsV8sVoxpStQHBwPU64eLE&#10;g0SBLHL5/4PiBwAA//8DAFBLAQItABQABgAIAAAAIQC2gziS/gAAAOEBAAATAAAAAAAAAAAAAAAA&#10;AAAAAABbQ29udGVudF9UeXBlc10ueG1sUEsBAi0AFAAGAAgAAAAhADj9If/WAAAAlAEAAAsAAAAA&#10;AAAAAAAAAAAALwEAAF9yZWxzLy5yZWxzUEsBAi0AFAAGAAgAAAAhAAi3Bxk8AgAAVAQAAA4AAAAA&#10;AAAAAAAAAAAALgIAAGRycy9lMm9Eb2MueG1sUEsBAi0AFAAGAAgAAAAhAAHuePLeAAAACQEAAA8A&#10;AAAAAAAAAAAAAAAAlgQAAGRycy9kb3ducmV2LnhtbFBLBQYAAAAABAAEAPMAAAChBQAAAAA=&#10;" strokeweight=".5pt"/>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Textové pole 198" o:spid="_x0000_s1038" type="#_x0000_t202" style="position:absolute;left:0;text-align:left;margin-left:362.5pt;margin-top:8.55pt;width:87.3pt;height:52.7pt;z-index:25162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o20NgIAAGEEAAAOAAAAZHJzL2Uyb0RvYy54bWysVNuO0zAQfUfiHyy/0ySl9BI1XS1dipCW&#10;i7TLBziOk1g4HmO7Tcof8R38GGOnLdUCL4g8WJ7O+MzMOTNd3wydIgdhnQRd0GySUiI0h0rqpqCf&#10;H3cvlpQ4z3TFFGhR0KNw9Gbz/Nm6N7mYQguqEpYgiHZ5bwraem/yJHG8FR1zEzBCo7MG2zGPpm2S&#10;yrIe0TuVTNN0nvRgK2OBC+fw17vRSTcRv64F9x/r2glPVEGxNh9PG88ynMlmzfLGMtNKfiqD/UMV&#10;HZMak16g7phnZG/lb1Cd5BYc1H7CoUugriUXsQfsJkufdPPQMiNiL0iOMxea3P+D5R8OnyyRFWq3&#10;Qqk061CkRzF4OPz4TgwoQYIDaeqNyzH6wWC8H17DgE9iy87cA//iiIZty3Qjbq2FvhWswjKz8DK5&#10;ejriuABS9u+hwmxs7yECDbXtAofICkF0lOt4kQgrIjykzNLlIkMXR998vpquooYJy8+vjXX+rYCO&#10;hEtBLY5ARGeHe+dDNSw/h4RkDpSsdlKpaNim3CpLDgzHZRe/2MCTMKVJj6VMF2k6MvBXjDR+f8Lo&#10;pMfBV7Ir6PISxPLA2xtdxbH0TKrxjjUrfSIycDey6IdyiNK9POtTQnVEZi2Mc457iZcW7DdKepzx&#10;grqve2YFJeqdRnVW2WwWliIas1eLKRr22lNee5jmCFVQT8l43fpxkfbGyqbFTOM8aLhFRWsZyQ7S&#10;j1Wdysc5jhqcdi4syrUdo379M2x+AgAA//8DAFBLAwQUAAYACAAAACEAPAUQnOMAAAAKAQAADwAA&#10;AGRycy9kb3ducmV2LnhtbEyPQUvDQBCF74L/YRnBi9hNA23TmE0RbREvBWtBvG2z0yQ0OxuzmzT9&#10;905Pepz3Hm++l61G24gBO187UjCdRCCQCmdqKhXsPzePCQgfNBndOEIFF/Swym9vMp0ad6YPHHah&#10;FFxCPtUKqhDaVEpfVGi1n7gWib2j66wOfHalNJ0+c7ltZBxFc2l1Tfyh0i2+VFicdr1VsL180c9b&#10;Hx2H9zb53p+269fNw1qp+7vx+QlEwDH8heGKz+iQM9PB9WS8aBQs4hlvCWwspiA4kCyXcxAHFuJ4&#10;BjLP5P8J+S8AAAD//wMAUEsBAi0AFAAGAAgAAAAhALaDOJL+AAAA4QEAABMAAAAAAAAAAAAAAAAA&#10;AAAAAFtDb250ZW50X1R5cGVzXS54bWxQSwECLQAUAAYACAAAACEAOP0h/9YAAACUAQAACwAAAAAA&#10;AAAAAAAAAAAvAQAAX3JlbHMvLnJlbHNQSwECLQAUAAYACAAAACEAYOqNtDYCAABhBAAADgAAAAAA&#10;AAAAAAAAAAAuAgAAZHJzL2Uyb0RvYy54bWxQSwECLQAUAAYACAAAACEAPAUQnOMAAAAKAQAADwAA&#10;AAAAAAAAAAAAAACQBAAAZHJzL2Rvd25yZXYueG1sUEsFBgAAAAAEAAQA8wAAAKAFAAAAAA==&#10;" strokeweight="1pt">
            <v:textbox>
              <w:txbxContent>
                <w:p w:rsidR="005A63D9" w:rsidRPr="00130F30" w:rsidRDefault="005A63D9" w:rsidP="003E3A14">
                  <w:pPr>
                    <w:spacing w:after="144"/>
                    <w:jc w:val="center"/>
                    <w:rPr>
                      <w:sz w:val="18"/>
                      <w:szCs w:val="18"/>
                    </w:rPr>
                  </w:pPr>
                  <w:r w:rsidRPr="008F59D0">
                    <w:rPr>
                      <w:sz w:val="16"/>
                      <w:szCs w:val="16"/>
                    </w:rPr>
                    <w:t>Odbor (departement pro informační</w:t>
                  </w:r>
                  <w:r>
                    <w:rPr>
                      <w:sz w:val="18"/>
                      <w:szCs w:val="18"/>
                    </w:rPr>
                    <w:t xml:space="preserve"> </w:t>
                  </w:r>
                  <w:r w:rsidRPr="008F59D0">
                    <w:rPr>
                      <w:sz w:val="16"/>
                      <w:szCs w:val="16"/>
                    </w:rPr>
                    <w:t>technologie</w:t>
                  </w:r>
                </w:p>
              </w:txbxContent>
            </v:textbox>
          </v:shape>
        </w:pict>
      </w:r>
      <w:r>
        <w:rPr>
          <w:noProof/>
          <w:lang w:eastAsia="cs-CZ"/>
        </w:rPr>
        <w:pict>
          <v:shape id="Textové pole 199" o:spid="_x0000_s1039" type="#_x0000_t202" style="position:absolute;left:0;text-align:left;margin-left:125.65pt;margin-top:8.55pt;width:87.3pt;height:45pt;z-index:25162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ojdNQIAAGEEAAAOAAAAZHJzL2Uyb0RvYy54bWysVF2O0zAQfkfiDpbfaZKqpW3UdLV0KUJa&#10;fqRdDuA4TmLheIztNik34hx7McZOW6oF8YDIg+XpjL+Z+b6Zrm+GTpGDsE6CLmg2SSkRmkMldVPQ&#10;L4+7V0tKnGe6Ygq0KOhROHqzefli3ZtcTKEFVQlLEES7vDcFbb03eZI43oqOuQkYodFZg+2YR9M2&#10;SWVZj+idSqZp+jrpwVbGAhfO4a93o5NuIn5dC+4/1bUTnqiCYm0+njaeZTiTzZrljWWmlfxUBvuH&#10;KjomNSa9QN0xz8jeyt+gOsktOKj9hEOXQF1LLmIP2E2WPuvmoWVGxF6QHGcuNLn/B8s/Hj5bIivU&#10;brWiRLMORXoUg4fD0w9iQAkSHEhTb1yO0Q8G4/3wBgZ8Elt25h74V0c0bFumG3FrLfStYBWWmYWX&#10;ydXTEccFkLL/ABVmY3sPEWiobRc4RFYIoqNcx4tEWBHhIWWWLhcZujj65otsnkYNE5afXxvr/DsB&#10;HQmXglocgYjODvfOh2pYfg4JyRwoWe2kUtGwTblVlhwYjssufrGBZ2FKkx5LmS4w+d8x0vj9CaOT&#10;Hgdfya6gy0sQywNvb3UVx9IzqcY71qz0icjA3ciiH8ohSjc761NCdURmLYxzjnuJlxbsd0p6nPGC&#10;um97ZgUl6r1GdVbZbBaWIhqz+WKKhr32lNcepjlCFdRTMl63flykvbGyaTHTOA8ablHRWkayg/Rj&#10;VafycY6jBqedC4tybceoX/8Mm58AAAD//wMAUEsDBBQABgAIAAAAIQDvxKFv4gAAAAoBAAAPAAAA&#10;ZHJzL2Rvd25yZXYueG1sTI/BTsMwEETvSPyDtUhcUOskUCghToWgFeJSibYS4ubG2yRqvA6xk6Z/&#10;z3KC4848zc5ki9E2YsDO144UxNMIBFLhTE2lgt12NZmD8EGT0Y0jVHBGD4v88iLTqXEn+sBhE0rB&#10;IeRTraAKoU2l9EWFVvupa5HYO7jO6sBnV0rT6ROH20YmUXQvra6JP1S6xZcKi+OmtwrW50/6fuuj&#10;w/Dezr92x/XydXWzVOr6anx+AhFwDH8w/Nbn6pBzp73ryXjRKEhm8S2jbDzEIBi4S2aPIPYsRKzI&#10;PJP/J+Q/AAAA//8DAFBLAQItABQABgAIAAAAIQC2gziS/gAAAOEBAAATAAAAAAAAAAAAAAAAAAAA&#10;AABbQ29udGVudF9UeXBlc10ueG1sUEsBAi0AFAAGAAgAAAAhADj9If/WAAAAlAEAAAsAAAAAAAAA&#10;AAAAAAAALwEAAF9yZWxzLy5yZWxzUEsBAi0AFAAGAAgAAAAhAHCuiN01AgAAYQQAAA4AAAAAAAAA&#10;AAAAAAAALgIAAGRycy9lMm9Eb2MueG1sUEsBAi0AFAAGAAgAAAAhAO/EoW/iAAAACgEAAA8AAAAA&#10;AAAAAAAAAAAAjwQAAGRycy9kb3ducmV2LnhtbFBLBQYAAAAABAAEAPMAAACeBQAAAAA=&#10;" strokeweight="1pt">
            <v:textbox>
              <w:txbxContent>
                <w:p w:rsidR="005A63D9" w:rsidRPr="00130F30" w:rsidRDefault="005A63D9" w:rsidP="003E3A14">
                  <w:pPr>
                    <w:spacing w:after="144"/>
                    <w:jc w:val="center"/>
                    <w:rPr>
                      <w:sz w:val="18"/>
                      <w:szCs w:val="18"/>
                    </w:rPr>
                  </w:pPr>
                  <w:r>
                    <w:rPr>
                      <w:sz w:val="18"/>
                      <w:szCs w:val="18"/>
                    </w:rPr>
                    <w:t>Politická sekce</w:t>
                  </w:r>
                </w:p>
              </w:txbxContent>
            </v:textbox>
          </v:shape>
        </w:pict>
      </w:r>
      <w:r>
        <w:rPr>
          <w:noProof/>
          <w:lang w:eastAsia="cs-CZ"/>
        </w:rPr>
        <w:pict>
          <v:shape id="Textové pole 197" o:spid="_x0000_s1040" type="#_x0000_t202" style="position:absolute;left:0;text-align:left;margin-left:248.65pt;margin-top:8.55pt;width:87.3pt;height:45pt;z-index:25162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Z3fNQIAAGEEAAAOAAAAZHJzL2Uyb0RvYy54bWysVF2O0zAQfkfiDpbfaZKqpbtR09XSpQhp&#10;+ZF2OYDjOI2F7TG226TciHPsxRg7bakWxAMiD5anM/5m5vtmurwZtCJ74bwEU9FiklMiDIdGmm1F&#10;vzxuXl1R4gMzDVNgREUPwtOb1csXy96WYgodqEY4giDGl72taBeCLbPM805o5idghUFnC06zgKbb&#10;Zo1jPaJrlU3z/HXWg2usAy68x1/vRiddJfy2FTx8alsvAlEVxdpCOl0663hmqyUrt47ZTvJjGewf&#10;qtBMGkx6hrpjgZGdk79BackdeGjDhIPOoG0lF6kH7KbIn3Xz0DErUi9Ijrdnmvz/g+Uf958dkQ1q&#10;d72gxDCNIj2KIcD+6QexoASJDqSpt77E6AeL8WF4AwM+SS17ew/8qycG1h0zW3HrHPSdYA2WWcSX&#10;2cXTEcdHkLr/AA1mY7sACWhonY4cIisE0VGuw1kirIjwmLLIrxYFujj65otinicNM1aeXlvnwzsB&#10;msRLRR2OQEJn+3sfYjWsPIXEZB6UbDZSqWS4bb1WjuwZjssmfamBZ2HKkB5LmS4w+d8x8vT9CUPL&#10;gIOvpK7o1TmIlZG3t6ZJYxmYVOMda1bmSGTkbmQxDPWQpJuf9KmhOSCzDsY5x73ESwfuOyU9znhF&#10;/bcdc4IS9d6gOtfFbBaXIhmz+WKKhrv01JceZjhCVTRQMl7XYVyknXVy22GmcR4M3KKirUxkR+nH&#10;qo7l4xwnDY47Fxfl0k5Rv/4ZVj8BAAD//wMAUEsDBBQABgAIAAAAIQAoUTw94gAAAAoBAAAPAAAA&#10;ZHJzL2Rvd25yZXYueG1sTI9BS8NAEIXvgv9hGcGL2N2oNG3Mpoi2iJeCbaF42ybTJDQ7G7ObNP33&#10;jic9znsfb95LF6NtxICdrx1piCYKBFLuippKDbvt6n4GwgdDhWkcoYYLelhk11epSQp3pk8cNqEU&#10;HEI+MRqqENpESp9XaI2fuBaJvaPrrAl8dqUsOnPmcNvIB6Wm0pqa+ENlWnytMD9teqthfdnT93uv&#10;jsNHO/vandbLt9XdUuvbm/HlGUTAMfzB8Fufq0PGnQ6up8KLRsPTPH5klI04AsHANI7mIA4sKFZk&#10;lsr/E7IfAAAA//8DAFBLAQItABQABgAIAAAAIQC2gziS/gAAAOEBAAATAAAAAAAAAAAAAAAAAAAA&#10;AABbQ29udGVudF9UeXBlc10ueG1sUEsBAi0AFAAGAAgAAAAhADj9If/WAAAAlAEAAAsAAAAAAAAA&#10;AAAAAAAALwEAAF9yZWxzLy5yZWxzUEsBAi0AFAAGAAgAAAAhAPwxnd81AgAAYQQAAA4AAAAAAAAA&#10;AAAAAAAALgIAAGRycy9lMm9Eb2MueG1sUEsBAi0AFAAGAAgAAAAhAChRPD3iAAAACgEAAA8AAAAA&#10;AAAAAAAAAAAAjwQAAGRycy9kb3ducmV2LnhtbFBLBQYAAAAABAAEAPMAAACeBQAAAAA=&#10;" strokeweight="1pt">
            <v:textbox>
              <w:txbxContent>
                <w:p w:rsidR="005A63D9" w:rsidRPr="00130F30" w:rsidRDefault="005A63D9" w:rsidP="003E3A14">
                  <w:pPr>
                    <w:spacing w:after="144"/>
                    <w:jc w:val="center"/>
                    <w:rPr>
                      <w:sz w:val="18"/>
                      <w:szCs w:val="18"/>
                    </w:rPr>
                  </w:pPr>
                  <w:r>
                    <w:rPr>
                      <w:sz w:val="18"/>
                      <w:szCs w:val="18"/>
                    </w:rPr>
                    <w:t>Sekce pro vnitřní záležitosti ministerstva</w:t>
                  </w:r>
                </w:p>
              </w:txbxContent>
            </v:textbox>
          </v:shape>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96" o:spid="_x0000_s1041" type="#_x0000_t32" style="position:absolute;left:0;text-align:left;margin-left:335.95pt;margin-top:12.15pt;width:26.55pt;height:0;z-index:25163878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PkPAIAAFEEAAAOAAAAZHJzL2Uyb0RvYy54bWysVEtu2zAQ3RfoHQjuHUmx4zhC5KCQ7G7S&#10;1kDSA9AkZbGROARJWzaKHqTLHCCnCHKvDukPknZTFNWCGmo4b97MPOr6Ztu1ZCOtU6ALmp2llEjN&#10;QSi9KujX+/lgQonzTAvWgpYF3UlHb6bv3133Jpfn0EArpCUIol3em4I23ps8SRxvZMfcGRip0VmD&#10;7ZjHrV0lwrIe0bs2OU/TcdKDFcYCl87h12rvpNOIX9eS+y917aQnbUGRm4+rjesyrMn0muUry0yj&#10;+IEG+wcWHVMak56gKuYZWVv1B1SnuAUHtT/j0CVQ14rLWANWk6W/VXPXMCNjLdgcZ05tcv8Pln/e&#10;LCxRAmd3NaZEsw6HtHj5+fzUPT8SZ+CbRobESfLyqMwDrEk4h13rjcsxuNQLG+rmW31nboE/OKKh&#10;bJheycj+fmcQMAsRyZuQsHEGcy/7TyDwDFt7iC3c1rYLkNgcso2T2p0mJbeecPw4HF5mkwtK+NGV&#10;sPwYZ6zzHyV0JBgFdd4ytWp8CVqjHMBmMQvb3DofWLH8GBCSapirto2qaDXpCzoeXqQxwEGrRHCG&#10;Y86ulmVryYYFXcUnloie18csrLWIYI1kYnawPVPt3sbkrQ54WBfSOVh74Xy/Sq9mk9lkNBidj2eD&#10;UVpVgw/zcjQYz7PLi2pYlWWV/QjUslHeKCGkDuyOIs5GfyeSw3Xay+8k41MbkrfosV9I9viOpONg&#10;wyz3qliC2C3sceCo23j4cMfCxXi9R/v1n2D6CwAA//8DAFBLAwQUAAYACAAAACEAb75fLN4AAAAJ&#10;AQAADwAAAGRycy9kb3ducmV2LnhtbEyPTU/DMAyG70j8h8hI3Fi6AhuUphMaIHGa2IZA3LwmNBWN&#10;UzXpB/9+RhzgaPvR6+fNV5NrxGC6UHtSMJ8lIAyVXtdUKXjdP13cgAgRSWPjySj4NgFWxelJjpn2&#10;I23NsIuV4BAKGSqwMbaZlKG0xmGY+dYQ3z595zDy2FVSdzhyuGtkmiQL6bAm/mCxNWtryq9d7xQ4&#10;fPZ9atfD5m16eNHjB5Wbx3elzs+m+zsQ0UzxD4YffVaHgp0OvicdRKNgsZzfMqogvboEwcAyveZy&#10;h9+FLHL5v0FxBAAA//8DAFBLAQItABQABgAIAAAAIQC2gziS/gAAAOEBAAATAAAAAAAAAAAAAAAA&#10;AAAAAABbQ29udGVudF9UeXBlc10ueG1sUEsBAi0AFAAGAAgAAAAhADj9If/WAAAAlAEAAAsAAAAA&#10;AAAAAAAAAAAALwEAAF9yZWxzLy5yZWxzUEsBAi0AFAAGAAgAAAAhAOEUQ+Q8AgAAUQQAAA4AAAAA&#10;AAAAAAAAAAAALgIAAGRycy9lMm9Eb2MueG1sUEsBAi0AFAAGAAgAAAAhAG++XyzeAAAACQEAAA8A&#10;AAAAAAAAAAAAAAAAlgQAAGRycy9kb3ducmV2LnhtbFBLBQYAAAAABAAEAPMAAAChBQAAAAA=&#10;" strokeweight=".5pt"/>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95" o:spid="_x0000_s1042" type="#_x0000_t32" style="position:absolute;left:0;text-align:left;margin-left:95.65pt;margin-top:.15pt;width:.9pt;height:166.5pt;flip:x;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3ITRAIAAGAEAAAOAAAAZHJzL2Uyb0RvYy54bWysVEFu2zAQvBfoHwjdHVmO7CZC5KCQ7PaQ&#10;tgaSPoAmKYsNxSVI2rJR9CE55gF9RZB/dUk7bpJeiqI6UEstd3Z2d6iLy22nyEZYJ0GXSXYyTIjQ&#10;DLjUqzL5ejMfnCXEeao5VaBFmeyESy6nb99c9KYQI2hBcWEJgmhX9KZMWu9NkaaOtaKj7gSM0Ohs&#10;wHbU49auUm5pj+idSkfD4STtwXJjgQnn8Gu9dybTiN80gvkvTeOEJ6pMkJuPq43rMqzp9IIWK0tN&#10;K9mBBv0HFh2VGpMeoWrqKVlb+QdUJ5kFB40/YdCl0DSSiVgDVpMNX1Vz3VIjYi3YHGeObXL/D5Z9&#10;3iwskRxndz5OiKYdDmnxePfws3u4J87AN40MiRPk8V6aW1iTcA671htXYHClFzbUzbb62lwBu3VE&#10;Q9VSvRKR/c3OIGAWItIXIWHjDOZe9p+A4xm69hBbuG1sRxolzccQGMCxTWQbZ7Y7zkxsPWH4Mcvy&#10;UxwsQ88I7fE4zjSlRYAJwcY6/0FAR4JRJs5bKletr0BrVAfYfQq6uXI+kPwdEII1zKVSUSRKk75M&#10;JqeYIHgcKMmDM27salkpSzY0yCw+seJXxyysNY9graB8drA9lWpvY3KlAx4Wh3QO1l5H38+H57Oz&#10;2Vk+yEeT2SAf1vXg/bzKB5N59m5cn9ZVVWc/ArUsL1rJudCB3ZOms/zvNHO4XXs1HlV9bEP6Ej32&#10;C8k+vSPpOOcw2r1IlsB3C/s0f5RxPHy4cuGePN+j/fzHMP0FAAD//wMAUEsDBBQABgAIAAAAIQBk&#10;Y7/M2wAAAAgBAAAPAAAAZHJzL2Rvd25yZXYueG1sTI9BSwMxEIXvgv8hjOBFbLIWxN1utogiFG9t&#10;PXjMbqa7i8lk2aRt9Nc7PekcBh7v8eabep29Eyec4xhIQ7FQIJC6YEfqNXzs3+6fQMRkyBoXCDV8&#10;Y4R1c31Vm8qGM23xtEu94BKKldEwpDRVUsZuQG/iIkxI7B3C7E1iOffSzubM5d7JB6UepTcj8YXB&#10;TPgyYPe1O3oNr7lMm7vPH7V1bqPyvk3xvS+1vr3JzysQCXP6C8MFn9GhYaY2HMlG4ViXxZKjGnhf&#10;7HJZgGhZ8oBsavn/geYXAAD//wMAUEsBAi0AFAAGAAgAAAAhALaDOJL+AAAA4QEAABMAAAAAAAAA&#10;AAAAAAAAAAAAAFtDb250ZW50X1R5cGVzXS54bWxQSwECLQAUAAYACAAAACEAOP0h/9YAAACUAQAA&#10;CwAAAAAAAAAAAAAAAAAvAQAAX3JlbHMvLnJlbHNQSwECLQAUAAYACAAAACEAbXdyE0QCAABgBAAA&#10;DgAAAAAAAAAAAAAAAAAuAgAAZHJzL2Uyb0RvYy54bWxQSwECLQAUAAYACAAAACEAZGO/zNsAAAAI&#10;AQAADwAAAAAAAAAAAAAAAACeBAAAZHJzL2Rvd25yZXYueG1sUEsFBgAAAAAEAAQA8wAAAKYFAAAA&#10;AA==&#10;" strokeweight=".5pt"/>
        </w:pict>
      </w:r>
      <w:r>
        <w:rPr>
          <w:noProof/>
          <w:lang w:eastAsia="cs-CZ"/>
        </w:rPr>
        <w:pict>
          <v:shape id="Přímá spojnice se šipkou 194" o:spid="_x0000_s1043" type="#_x0000_t32" style="position:absolute;left:0;text-align:left;margin-left:236.05pt;margin-top:2.4pt;width:12.6pt;height:0;z-index:25164288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uHOwIAAFEEAAAOAAAAZHJzL2Uyb0RvYy54bWysVEtu2zAQ3RfoHQjtHUmO4tqC5aCQ7G7S&#10;1kDSA9AkZbGROARJWzaKHqTLHKCnCHKvDukPnHZTFNWCGmo4b97MPGp6u+tashXGSlBFlF4lERGK&#10;AZdqXURfHhaDcUSso4rTFpQoor2w0e3s7Ztpr3MxhAZaLgxBEGXzXhdR45zO49iyRnTUXoEWCp01&#10;mI463Jp1zA3tEb1r42GSjOIeDNcGmLAWv1YHZzQL+HUtmPtc11Y40hYRcnNhNWFd+TWeTWm+NlQ3&#10;kh1p0H9g0VGpMOkZqqKOko2Rf0B1khmwULsrBl0MdS2ZCDVgNWnyWzX3DdUi1ILNsfrcJvv/YNmn&#10;7dIQyXF2kywiinY4pOXLj+ef3fMTsRq+KmRIrCAvT1I/wob4c9i1Xtscg0u1NL5utlP3+g7YoyUK&#10;yoaqtQjsH/YaAVMfEb8K8RurMfeq/wgcz9CNg9DCXW06D4nNIbswqf15UmLnCMOP6ShJhjhPdnLF&#10;ND/FaWPdBwEd8UYRWWeoXDeuBKVQDmDSkIVu76zzrGh+CvBJFSxk2wZVtIr0RTS6vklCgIVWcu/0&#10;x6xZr8rWkC31ugpPKBE9l8cMbBQPYI2gfH60HZXtwcbkrfJ4WBfSOVoH4XybJJP5eD7OBtlwNB9k&#10;SVUN3i/KbDBapO9uquuqLKv0u6eWZnkjORfKszuJOM3+TiTH63SQ31nG5zbEr9FDv5Ds6R1Ih8H6&#10;WR5UsQK+X5rTwFG34fDxjvmLcblH+/JPMPsFAAD//wMAUEsDBBQABgAIAAAAIQB9heB/3AAAAAcB&#10;AAAPAAAAZHJzL2Rvd25yZXYueG1sTI/NTsMwEITvSLyDtUjcqNNQUQhxKlRA4lRBQSBu23hJIuJ1&#10;FDs/vD0LF7jtaEaz3+Sb2bVqpD40ng0sFwko4tLbhisDL8/3Z5egQkS22HomA18UYFMcH+WYWT/x&#10;E437WCkp4ZChgTrGLtM6lDU5DAvfEYv34XuHUWRfadvjJOWu1WmSXGiHDcuHGjva1lR+7gdnwOGD&#10;H9J6O+5e59tHO71zubt7M+b0ZL65BhVpjn9h+MEXdCiE6eAHtkG1BlbrdClROWSB+Kur9Tmow6/W&#10;Ra7/8xffAAAA//8DAFBLAQItABQABgAIAAAAIQC2gziS/gAAAOEBAAATAAAAAAAAAAAAAAAAAAAA&#10;AABbQ29udGVudF9UeXBlc10ueG1sUEsBAi0AFAAGAAgAAAAhADj9If/WAAAAlAEAAAsAAAAAAAAA&#10;AAAAAAAALwEAAF9yZWxzLy5yZWxzUEsBAi0AFAAGAAgAAAAhAPvZS4c7AgAAUQQAAA4AAAAAAAAA&#10;AAAAAAAALgIAAGRycy9lMm9Eb2MueG1sUEsBAi0AFAAGAAgAAAAhAH2F4H/cAAAABwEAAA8AAAAA&#10;AAAAAAAAAAAAlQQAAGRycy9kb3ducmV2LnhtbFBLBQYAAAAABAAEAPMAAACeBQAAAAA=&#10;" strokeweight=".5pt"/>
        </w:pict>
      </w:r>
      <w:r>
        <w:rPr>
          <w:noProof/>
          <w:lang w:eastAsia="cs-CZ"/>
        </w:rPr>
        <w:pict>
          <v:shape id="Přímá spojnice se šipkou 193" o:spid="_x0000_s1044" type="#_x0000_t32" style="position:absolute;left:0;text-align:left;margin-left:236.05pt;margin-top:2.4pt;width:.9pt;height:129.6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q36QQIAAFYEAAAOAAAAZHJzL2Uyb0RvYy54bWysVEtu2zAQ3RfoHQjtHUm27MaC5aCQ7G7S&#10;1kDSA9AkZbGROARJWzaKHqTLHKCnCHKvDukPknZTFNWCGmo4b97MPGp2s+9ashPGSlBFlF4lERGK&#10;AZdqU0Rf7peD64hYRxWnLShRRAdho5v52zezXudiCA20XBiCIMrmvS6ixjmdx7FljeiovQItFDpr&#10;MB11uDWbmBvaI3rXxsMkmcQ9GK4NMGEtfq2Ozmge8OtaMPe5rq1wpC0i5ObCasK69ms8n9F8Y6hu&#10;JDvRoP/AoqNSYdILVEUdJVsj/4DqJDNgoXZXDLoY6loyEWrAatLkt2ruGqpFqAWbY/WlTfb/wbJP&#10;u5UhkuPspqOIKNrhkFbPP55+dk+PxGr4qpAhsYI8P0r9AFviz2HXem1zDC7Vyvi62V7d6VtgD5Yo&#10;KBuqNiKwvz9oBEx9RPwqxG+sxtzr/iNwPEO3DkIL97XpPCQ2h+zDpA6XSYm9Iww/pmk2wnEy9KST&#10;bDwdhknGND8Ha2PdBwEd8UYRWWeo3DSuBKVQE2DSkIrubq3z1Gh+DvCZFSxl2wZptIr0RTQZjZMQ&#10;YKGV3Dv9MWs267I1ZEe9uMIT6kTPy2MGtooHsEZQvjjZjsr2aGPyVnk8LA7pnKyjer5Nk+nienGd&#10;DbLhZDHIkqoavF+W2WCyTN+Nq1FVllX63VNLs7yRnAvl2Z2VnGZ/p5TTnTpq8KLlSxvi1+ihX0j2&#10;/A6kw3T9QI/SWAM/rMx56ijecPh00fzteLlH++XvYP4LAAD//wMAUEsDBBQABgAIAAAAIQDT2f8b&#10;3wAAAAkBAAAPAAAAZHJzL2Rvd25yZXYueG1sTI/NTsMwEITvSLyDtUjcqNMQtTTEqVABiVMFBRVx&#10;c+MljojXUez88PYsJ7jtaEaz3xTb2bVixD40nhQsFwkIpMqbhmoFb6+PVzcgQtRkdOsJFXxjgG15&#10;flbo3PiJXnA8xFpwCYVcK7AxdrmUobLodFj4Dom9T987HVn2tTS9nrjctTJNkpV0uiH+YHWHO4vV&#10;12FwCpx+8kNqd+P+ON8/m+mDqv3Du1KXF/PdLYiIc/wLwy8+o0PJTCc/kAmiVZCt0yVH+eAF7Gfr&#10;6w2Ik4J0lSUgy0L+X1D+AAAA//8DAFBLAQItABQABgAIAAAAIQC2gziS/gAAAOEBAAATAAAAAAAA&#10;AAAAAAAAAAAAAABbQ29udGVudF9UeXBlc10ueG1sUEsBAi0AFAAGAAgAAAAhADj9If/WAAAAlAEA&#10;AAsAAAAAAAAAAAAAAAAALwEAAF9yZWxzLy5yZWxzUEsBAi0AFAAGAAgAAAAhAJfGrfpBAgAAVgQA&#10;AA4AAAAAAAAAAAAAAAAALgIAAGRycy9lMm9Eb2MueG1sUEsBAi0AFAAGAAgAAAAhANPZ/xvfAAAA&#10;CQEAAA8AAAAAAAAAAAAAAAAAmwQAAGRycy9kb3ducmV2LnhtbFBLBQYAAAAABAAEAPMAAACnBQAA&#10;AAA=&#10;" strokeweight=".5pt"/>
        </w:pict>
      </w:r>
      <w:r>
        <w:rPr>
          <w:noProof/>
          <w:lang w:eastAsia="cs-CZ"/>
        </w:rPr>
        <w:pict>
          <v:shape id="Přímá spojnice se šipkou 192" o:spid="_x0000_s1045" type="#_x0000_t32" style="position:absolute;left:0;text-align:left;margin-left:96.1pt;margin-top:.15pt;width:29.55pt;height:0;z-index:25164083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PiJPQIAAFEEAAAOAAAAZHJzL2Uyb0RvYy54bWysVEtu2zAQ3RfoHQjuHUmO7TpC5KCQ7G7S&#10;1kDSA9AkZbGROARJWzaKHqTLHKCnCHKvDukPknZTFNWCGmo4b97MPOr6Zte1ZCutU6ALml2klEjN&#10;QSi9LuiX+8VgSonzTAvWgpYF3UtHb2Zv31z3JpdDaKAV0hIE0S7vTUEb702eJI43smPuAozU6KzB&#10;dszj1q4TYVmP6F2bDNN0kvRghbHApXP4tTo46Szi17Xk/nNdO+lJW1Dk5uNq47oKazK7ZvnaMtMo&#10;fqTB/oFFx5TGpGeoinlGNlb9AdUpbsFB7S84dAnUteIy1oDVZOlv1dw1zMhYCzbHmXOb3P+D5Z+2&#10;S0uUwNldDSnRrMMhLZ9/PP3snh6JM/BVI0PiJHl+VOYBNiScw671xuUYXOqlDXXznb4zt8AfHNFQ&#10;NkyvZWR/vzcImIWI5FVI2DiDuVf9RxB4hm08xBbuatsFSGwO2cVJ7c+TkjtPOH68fDceTseU8JMr&#10;YfkpzljnP0joSDAK6rxlat34ErRGOYDNYha2vXU+sGL5KSAk1bBQbRtV0WrSF3RyOU5jgINWieAM&#10;x5xdr8rWki0LuopPLBE9L49Z2GgRwRrJxPxoe6bag43JWx3wsC6kc7QOwvl2lV7Np/PpaDAaTuaD&#10;UVpVg/eLcjSYLLJ34+qyKssq+x6oZaO8UUJIHdidRJyN/k4kx+t0kN9Zxuc2JK/RY7+Q7OkdScfB&#10;hlkeVLECsV/a08BRt/Hw8Y6Fi/Fyj/bLP8HsFwAAAP//AwBQSwMEFAAGAAgAAAAhAJvT+R3ZAAAA&#10;BQEAAA8AAABkcnMvZG93bnJldi54bWxMjstOwzAQRfdI/IM1SOyoUyMQDXEqVEBiVdGCithNYxNH&#10;xOModh78PdMV7OboXt05xXr2rRhtH5tAGpaLDISlKpiGag3vb89XdyBiQjLYBrIafmyEdXl+VmBu&#10;wkQ7O+5TLXiEYo4aXEpdLmWsnPUYF6GzxNlX6D0mxr6WpseJx30rVZbdSo8N8QeHnd04W33vB6/B&#10;40sYlNuM28P8+GqmT6q2Tx9aX17MD/cgkp3TXxlO+qwOJTsdw0AmipZ5pRRXNVyD4FjdLPk4nlCW&#10;hfxvX/4CAAD//wMAUEsBAi0AFAAGAAgAAAAhALaDOJL+AAAA4QEAABMAAAAAAAAAAAAAAAAAAAAA&#10;AFtDb250ZW50X1R5cGVzXS54bWxQSwECLQAUAAYACAAAACEAOP0h/9YAAACUAQAACwAAAAAAAAAA&#10;AAAAAAAvAQAAX3JlbHMvLnJlbHNQSwECLQAUAAYACAAAACEAyTz4iT0CAABRBAAADgAAAAAAAAAA&#10;AAAAAAAuAgAAZHJzL2Uyb0RvYy54bWxQSwECLQAUAAYACAAAACEAm9P5HdkAAAAFAQAADwAAAAAA&#10;AAAAAAAAAACXBAAAZHJzL2Rvd25yZXYueG1sUEsFBgAAAAAEAAQA8wAAAJ0FAAAAAA==&#10;" strokeweight=".5pt"/>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91" o:spid="_x0000_s1046" type="#_x0000_t32" style="position:absolute;left:0;text-align:left;margin-left:96.1pt;margin-top:18.75pt;width:29.55pt;height:0;z-index:2516469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uGPgIAAFEEAAAOAAAAZHJzL2Uyb0RvYy54bWysVEtu2zAQ3RfoHQjuHUmO7TpC5KCQ7G7S&#10;1kDSA9AkZbGROARJWzaKHqTLHKCnCHKvDulPm3ZTFNWCGoozb97MPOr6Zte1ZCutU6ALml2klEjN&#10;QSi9Luin+8VgSonzTAvWgpYF3UtHb2avX133JpdDaKAV0hIE0S7vTUEb702eJI43smPuAozUeFiD&#10;7ZjHrV0nwrIe0bs2GabpJOnBCmOBS+fwa3U4pLOIX9eS+4917aQnbUGRm4+rjesqrMnsmuVry0yj&#10;+JEG+wcWHVMak56hKuYZ2Vj1B1SnuAUHtb/g0CVQ14rLWANWk6W/VXPXMCNjLdgcZ85tcv8Pln/Y&#10;Li1RAmd3lVGiWYdDWj5/e/rePT0SZ+CzRobESfL8qMwDbEjww671xuUYXOqlDXXznb4zt8AfHNFQ&#10;NkyvZWR/vzcIGCOSFyFh4wzmXvXvQaAP23iILdzVtguQ2Byyi5Panycld55w/Hj5Zjycjinhp6OE&#10;5ac4Y51/J6EjwSio85apdeNL0BrlADaLWdj21nmsAwNPASGphoVq26iKVpO+oJPLcRoDHLRKhMPg&#10;5ux6VbaWbFnQVXxCUxDshZuFjRYRrJFMzI+2Z6o92Ojf6oCHdSGdo3UQzper9Go+nU9Hg9FwMh+M&#10;0qoavF2Uo8Fkkb0ZV5dVWVbZ10AtG+WNEkLqwO4k4mz0dyI5XqeD/M4yPrcheYkeS0Syp3ckHQcb&#10;ZnlQxQrEfmlDN8KMUbfR+XjHwsX4dR+9fv4JZj8AAAD//wMAUEsDBBQABgAIAAAAIQBdu+iI3QAA&#10;AAkBAAAPAAAAZHJzL2Rvd25yZXYueG1sTI/LTsMwEEX3SPyDNUjsqFNX5RHiVKiAxKqCgkDs3HiI&#10;I+JxFDsP/p5BLGB5Z47unCk2s2/FiH1sAmlYLjIQSFWwDdUaXp7vzy5BxGTImjYQavjCCJvy+Kgw&#10;uQ0TPeG4T7XgEoq50eBS6nIpY+XQm7gIHRLvPkLvTeLY19L2ZuJy30qVZefSm4b4gjMdbh1Wn/vB&#10;a/DmIQzKbcfd63z7aKd3qnZ3b1qfnsw31yASzukPhh99VoeSnQ5hIBtFy/lKKUY1rC7WIBhQ6+UK&#10;xOF3IMtC/v+g/AYAAP//AwBQSwECLQAUAAYACAAAACEAtoM4kv4AAADhAQAAEwAAAAAAAAAAAAAA&#10;AAAAAAAAW0NvbnRlbnRfVHlwZXNdLnhtbFBLAQItABQABgAIAAAAIQA4/SH/1gAAAJQBAAALAAAA&#10;AAAAAAAAAAAAAC8BAABfcmVscy8ucmVsc1BLAQItABQABgAIAAAAIQCK9+uGPgIAAFEEAAAOAAAA&#10;AAAAAAAAAAAAAC4CAABkcnMvZTJvRG9jLnhtbFBLAQItABQABgAIAAAAIQBdu+iI3QAAAAkBAAAP&#10;AAAAAAAAAAAAAAAAAJgEAABkcnMvZG93bnJldi54bWxQSwUGAAAAAAQABADzAAAAogUAAAAA&#10;" strokeweight=".5pt"/>
        </w:pict>
      </w:r>
      <w:r>
        <w:rPr>
          <w:noProof/>
          <w:lang w:eastAsia="cs-CZ"/>
        </w:rPr>
        <w:pict>
          <v:shape id="Přímá spojnice se šipkou 190" o:spid="_x0000_s1047" type="#_x0000_t32" style="position:absolute;left:0;text-align:left;margin-left:236.05pt;margin-top:18.75pt;width:32.15pt;height:0;z-index:2516439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9BPAIAAFEEAAAOAAAAZHJzL2Uyb0RvYy54bWysVEFu2zAQvBfoHwjdHUmJ4tpC5KCQ7F7S&#10;1kDSB9AkZbGRuARJWzaKPqTHPKCvCPKvLmnLcNpLUVQHaqnlzs7uDnVzu+tashXGSlBFlF4kERGK&#10;AZdqXURfHhajSUSso4rTFpQoor2w0e3s7ZubXufiEhpouTAEQZTNe11EjXM6j2PLGtFRewFaKHTW&#10;YDrqcGvWMTe0R/SujS+TZBz3YLg2wIS1+LU6OKNZwK9rwdznurbCkbaIkJsLqwnryq/x7Ibma0N1&#10;I9mRBv0HFh2VCpOeoCrqKNkY+QdUJ5kBC7W7YNDFUNeSiVADVpMmv1Vz31AtQi3YHKtPbbL/D5Z9&#10;2i4NkRxnN8X+KNrhkJYvP55/ds9PxGr4qpAhsYK8PEn9CBviz2HXem1zDC7V0vi62U7d6ztgj5Yo&#10;KBuq1iKwf9hrBEx9RPwqxG+sxtyr/iNwPEM3DkILd7XpPCQ2h+zCpPanSYmdIww/ZsnkKrmOCBtc&#10;Mc2HOG2s+yCgI94oIusMlevGlaAUygFMGrLQ7Z11nhXNhwCfVMFCtm1QRatIX0Tjq+skBFhoJfdO&#10;f8ya9apsDdlSr6vwhBLRc37MwEbxANYIyudH21HZHmxM3iqPh3UhnaN1EM63aTKdT+aTbJRdjuej&#10;LKmq0ftFmY3Gi/TddXVVlWWVfvfU0ixvJOdCeXaDiNPs70RyvE4H+Z1kfGpD/Bo99AvJDu9AOgzW&#10;z/KgihXw/dIMA0fdhsPHO+Yvxvke7fM/wewXAAAA//8DAFBLAwQUAAYACAAAACEADpCJgN4AAAAJ&#10;AQAADwAAAGRycy9kb3ducmV2LnhtbEyPy07DMBBF90j8gzVI7KjT9IVCnAoVkFhVpSAQu2k8xBHx&#10;OIqdB3+PEQtYzszRnXPz7WQbMVDna8cK5rMEBHHpdM2Vgpfnh6trED4ga2wck4Iv8rAtzs9yzLQb&#10;+YmGY6hEDGGfoQITQptJ6UtDFv3MtcTx9uE6iyGOXSV1h2MMt41Mk2QtLdYcPxhsaWeo/Dz2VoHF&#10;R9enZjfsX6e7gx7fudzfvyl1eTHd3oAINIU/GH70ozoU0enketZeNAqWm3QeUQWLzQpEBFaL9RLE&#10;6Xchi1z+b1B8AwAA//8DAFBLAQItABQABgAIAAAAIQC2gziS/gAAAOEBAAATAAAAAAAAAAAAAAAA&#10;AAAAAABbQ29udGVudF9UeXBlc10ueG1sUEsBAi0AFAAGAAgAAAAhADj9If/WAAAAlAEAAAsAAAAA&#10;AAAAAAAAAAAALwEAAF9yZWxzLy5yZWxzUEsBAi0AFAAGAAgAAAAhAIr4f0E8AgAAUQQAAA4AAAAA&#10;AAAAAAAAAAAALgIAAGRycy9lMm9Eb2MueG1sUEsBAi0AFAAGAAgAAAAhAA6QiYDeAAAACQEAAA8A&#10;AAAAAAAAAAAAAAAAlgQAAGRycy9kb3ducmV2LnhtbFBLBQYAAAAABAAEAPMAAAChBQAAAAA=&#10;" strokeweight=".5pt"/>
        </w:pict>
      </w:r>
      <w:r>
        <w:rPr>
          <w:noProof/>
          <w:lang w:eastAsia="cs-CZ"/>
        </w:rPr>
        <w:pict>
          <v:shape id="Textové pole 189" o:spid="_x0000_s1048" type="#_x0000_t202" style="position:absolute;left:0;text-align:left;margin-left:268.3pt;margin-top:1.35pt;width:64.8pt;height:29.7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fNANgIAAGAEAAAOAAAAZHJzL2Uyb0RvYy54bWysVNuO0zAQfUfiHyy/06Sh9BI1XS1dipCW&#10;i7TLBziOk1g4HmO7Tcof8R38GGOnLdUCL4g8WB7P+HjmnJmsb4ZOkYOwToIu6HSSUiI0h0rqpqCf&#10;H3cvlpQ4z3TFFGhR0KNw9Gbz/Nm6N7nIoAVVCUsQRLu8NwVtvTd5kjjeio65CRih0VmD7ZhH0zZJ&#10;ZVmP6J1KsjSdJz3Yyljgwjk8vRuddBPx61pw/7GunfBEFRRz83G1cS3DmmzWLG8sM63kpzTYP2TR&#10;Manx0QvUHfOM7K38DaqT3IKD2k84dAnUteQi1oDVTNMn1Ty0zIhYC5LjzIUm9/9g+YfDJ0tkhdot&#10;V5Ro1qFIj2LwcPjxnRhQggQH0tQbl2P0g8F4P7yGAa/Ekp25B/7FEQ3blulG3FoLfStYhWlOw83k&#10;6uqI4wJI2b+HCl9jew8RaKhtFzhEVgiio1zHi0SYEeF4uMyy1Rw9HF0vF4vpKkqYsPx82Vjn3wro&#10;SNgU1GIHRHB2uHc+JMPyc0h4y4GS1U4qFQ3blFtlyYFht+ziF/N/EqY06bG0bJGmIwF/xUjj9yeM&#10;TnrseyU7LOkSxPJA2xtdxa70TKpxjzkrfeIxUDeS6IdyiMrNz/KUUB2RWAtjm+NY4qYF+42SHlu8&#10;oO7rnllBiXqnUZzVdDYLMxGN2atFhoa99pTXHqY5QhXUUzJut36co72xsmnxpbEdNNyioLWMZAfl&#10;x6xO6WMbRw1OIxfm5NqOUb9+DJufAAAA//8DAFBLAwQUAAYACAAAACEAfxyFRuEAAAAIAQAADwAA&#10;AGRycy9kb3ducmV2LnhtbEyPQUvDQBCF74L/YRnBi9hNI64lZlNEW8RLwVoQb9vsNAnNzsbsJk3/&#10;veNJb294j/e+yZeTa8WIfWg8aZjPEhBIpbcNVRp2H+vbBYgQDVnTekINZwywLC4vcpNZf6J3HLex&#10;ElxCITMa6hi7TMpQ1uhMmPkOib2D752JfPaVtL05cblrZZokSjrTEC/UpsPnGsvjdnAaNudP+n4d&#10;ksP41i2+dsfN6mV9s9L6+mp6egQRcYp/YfjFZ3QomGnvB7JBtBru75TiqIb0AQT7SqkUxJ5FOgdZ&#10;5PL/A8UPAAAA//8DAFBLAQItABQABgAIAAAAIQC2gziS/gAAAOEBAAATAAAAAAAAAAAAAAAAAAAA&#10;AABbQ29udGVudF9UeXBlc10ueG1sUEsBAi0AFAAGAAgAAAAhADj9If/WAAAAlAEAAAsAAAAAAAAA&#10;AAAAAAAALwEAAF9yZWxzLy5yZWxzUEsBAi0AFAAGAAgAAAAhAK3d80A2AgAAYAQAAA4AAAAAAAAA&#10;AAAAAAAALgIAAGRycy9lMm9Eb2MueG1sUEsBAi0AFAAGAAgAAAAhAH8chUbhAAAACAEAAA8AAAAA&#10;AAAAAAAAAAAAkAQAAGRycy9kb3ducmV2LnhtbFBLBQYAAAAABAAEAPMAAACeBQAAAAA=&#10;" strokeweight="1pt">
            <v:textbox>
              <w:txbxContent>
                <w:p w:rsidR="005A63D9" w:rsidRDefault="005A63D9" w:rsidP="004F7425">
                  <w:pPr>
                    <w:spacing w:after="144"/>
                    <w:jc w:val="center"/>
                  </w:pPr>
                  <w:r>
                    <w:rPr>
                      <w:sz w:val="14"/>
                      <w:szCs w:val="14"/>
                    </w:rPr>
                    <w:t>Odbor lidských zdrojů</w:t>
                  </w:r>
                </w:p>
              </w:txbxContent>
            </v:textbox>
          </v:shape>
        </w:pict>
      </w:r>
      <w:r>
        <w:rPr>
          <w:noProof/>
          <w:lang w:eastAsia="cs-CZ"/>
        </w:rPr>
        <w:pict>
          <v:shape id="Textové pole 188" o:spid="_x0000_s1049" type="#_x0000_t202" style="position:absolute;left:0;text-align:left;margin-left:125.65pt;margin-top:.9pt;width:64.8pt;height:29.7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Tg3NgIAAGAEAAAOAAAAZHJzL2Uyb0RvYy54bWysVF2O0zAQfkfiDpbfadJQtm3UdLV0KUJa&#10;fqRdDuA6TmJhe4ztNlluxDm4GGOnLdUCL4g8WB7P+PPM981kdT1oRQ7CeQmmotNJTokwHGpp2op+&#10;fti+WFDiAzM1U2BERR+Fp9fr589WvS1FAR2oWjiCIMaXva1oF4Its8zzTmjmJ2CFQWcDTrOApmuz&#10;2rEe0bXKijy/ynpwtXXAhfd4ejs66TrhN43g4WPTeBGIqijmFtLq0rqLa7ZesbJ1zHaSH9Ng/5CF&#10;ZtLgo2eoWxYY2Tv5G5SW3IGHJkw46AyaRnKRasBqpvmTau47ZkWqBcnx9kyT/3+w/MPhkyOyRu0W&#10;KJVhGkV6EEOAw4/vxIISJDqQpt76EqPvLcaH4TUMeCWV7O0d8C+eGNh0zLTixjnoO8FqTHMab2YX&#10;V0ccH0F2/Xuo8TW2D5CAhsbpyCGyQhAd5Xo8S4QZEY6Hi6JYXqGHo+vlfD5dJgkzVp4uW+fDWwGa&#10;xE1FHXZAAmeHOx9iMqw8hcS3PChZb6VSyXDtbqMcOTDslm36Uv5PwpQhPZZWzPN8JOCvGHn6/oSh&#10;ZcC+V1JjSecgVkba3pg6dWVgUo17zFmZI4+RupHEMOyGpNz8JM8O6kck1sHY5jiWuOnAfaOkxxav&#10;qP+6Z05Qot4ZFGc5nc3iTCRj9mpeoOEuPbtLDzMcoSoaKBm3mzDO0d462Xb40tgOBm5Q0EYmsqPy&#10;Y1bH9LGNkwbHkYtzcmmnqF8/hvVPAAAA//8DAFBLAwQUAAYACAAAACEAxU6RN+AAAAAIAQAADwAA&#10;AGRycy9kb3ducmV2LnhtbEyPQUvDQBCF74L/YRnBi9jdpFhizKaItoiXgrUg3rbJNAnNzsbsJk3/&#10;vdOTHofv8eZ72XKyrRix940jDdFMgUAqXNlQpWH3ub5PQPhgqDStI9RwRg/L/PoqM2npTvSB4zZU&#10;gkvIp0ZDHUKXSumLGq3xM9chMTu43prAZ1/JsjcnLretjJVaSGsa4g+16fClxuK4HayGzfmLft4G&#10;dRjfu+R7d9ysXtd3K61vb6bnJxABp/AXhos+q0POTns3UOlFqyF+iOYcZcALmM8T9Qhir2ERxSDz&#10;TP4fkP8CAAD//wMAUEsBAi0AFAAGAAgAAAAhALaDOJL+AAAA4QEAABMAAAAAAAAAAAAAAAAAAAAA&#10;AFtDb250ZW50X1R5cGVzXS54bWxQSwECLQAUAAYACAAAACEAOP0h/9YAAACUAQAACwAAAAAAAAAA&#10;AAAAAAAvAQAAX3JlbHMvLnJlbHNQSwECLQAUAAYACAAAACEA4JE4NzYCAABgBAAADgAAAAAAAAAA&#10;AAAAAAAuAgAAZHJzL2Uyb0RvYy54bWxQSwECLQAUAAYACAAAACEAxU6RN+AAAAAIAQAADwAAAAAA&#10;AAAAAAAAAACQBAAAZHJzL2Rvd25yZXYueG1sUEsFBgAAAAAEAAQA8wAAAJ0FAAAAAA==&#10;" strokeweight="1pt">
            <v:textbox>
              <w:txbxContent>
                <w:p w:rsidR="005A63D9" w:rsidRDefault="005A63D9" w:rsidP="003E3A14">
                  <w:pPr>
                    <w:spacing w:after="144"/>
                    <w:jc w:val="center"/>
                  </w:pPr>
                  <w:r>
                    <w:rPr>
                      <w:sz w:val="14"/>
                      <w:szCs w:val="14"/>
                    </w:rPr>
                    <w:t>Sekretariát ministra</w:t>
                  </w:r>
                </w:p>
                <w:p w:rsidR="005A63D9" w:rsidRDefault="005A63D9" w:rsidP="003E3A14">
                  <w:pPr>
                    <w:spacing w:after="144"/>
                  </w:pPr>
                </w:p>
              </w:txbxContent>
            </v:textbox>
          </v:shape>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Textové pole 187" o:spid="_x0000_s1050" type="#_x0000_t202" style="position:absolute;left:0;text-align:left;margin-left:268.3pt;margin-top:20.25pt;width:64.8pt;height:38.2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JTNgIAAGAEAAAOAAAAZHJzL2Uyb0RvYy54bWysVF1u2zAMfh+wOwh6X+wESZMacYouXYYB&#10;3Q/Q7gCyLNvCJFGTlNjdjXaOXmyUnKbZ38swPwiiSH4kP5JeXw1akYNwXoIp6XSSUyIMh1qatqSf&#10;73evVpT4wEzNFBhR0gfh6dXm5Yt1bwsxgw5ULRxBEOOL3pa0C8EWWeZ5JzTzE7DCoLIBp1lA0bVZ&#10;7ViP6Fplszy/yHpwtXXAhff4ejMq6SbhN43g4WPTeBGIKinmFtLp0lnFM9usWdE6ZjvJj2mwf8hC&#10;M2kw6AnqhgVG9k7+BqUld+ChCRMOOoOmkVykGrCaaf5LNXcdsyLVguR4e6LJ/z9Y/uHwyRFZY+9W&#10;S0oM09ikezEEODx+JxaUIFGBNPXWF2h9Z9E+DK9hQJdUsre3wL94YmDbMdOKa+eg7wSrMc1p9MzO&#10;XEccH0Gq/j3UGI3tAySgoXE6coisEETHdj2cWoQZEY6Pq9ns8gI1HFXz1WK5XKQIrHhyts6HtwI0&#10;iZeSOpyABM4Otz7EZFjxZBJjeVCy3kmlkuDaaqscOTCcll36jug/mSlDeixttszzkYC/YuTp+xOG&#10;lgHnXkmNJZ2MWBFpe2PqNJWBSTXeMWdljjxG6kYSw1ANqXOrGCByXEH9gMQ6GMcc1xIvHbhvlPQ4&#10;4iX1X/fMCUrUO4PNuZzO53EnkjBfLGcouHNNda5hhiNUSQMl43Ubxj3aWyfbDiON42DgGhvayET2&#10;c1bH9HGMUw+OKxf35FxOVs8/hs0PAAAA//8DAFBLAwQUAAYACAAAACEA22pZTuIAAAAKAQAADwAA&#10;AGRycy9kb3ducmV2LnhtbEyPQUvDQBCF74L/YRnBi9jdVruWmE0RbREvBWtBvG2TaRKanY3ZTZr+&#10;e8eTHof38d436XJ0jRiwC7UnA9OJAoGU+6Km0sDuY327ABGipcI2ntDAGQMss8uL1CaFP9E7DttY&#10;Ci6hkFgDVYxtImXIK3Q2THyLxNnBd85GPrtSFp09cblr5EwpLZ2tiRcq2+Jzhflx2zsDm/Mnfb/2&#10;6jC8tYuv3XGzelnfrIy5vhqfHkFEHOMfDL/6rA4ZO+19T0UQjYH5ndaMGrhXcxAMaK1nIPZMTh8U&#10;yCyV/1/IfgAAAP//AwBQSwECLQAUAAYACAAAACEAtoM4kv4AAADhAQAAEwAAAAAAAAAAAAAAAAAA&#10;AAAAW0NvbnRlbnRfVHlwZXNdLnhtbFBLAQItABQABgAIAAAAIQA4/SH/1gAAAJQBAAALAAAAAAAA&#10;AAAAAAAAAC8BAABfcmVscy8ucmVsc1BLAQItABQABgAIAAAAIQDmcjJTNgIAAGAEAAAOAAAAAAAA&#10;AAAAAAAAAC4CAABkcnMvZTJvRG9jLnhtbFBLAQItABQABgAIAAAAIQDballO4gAAAAoBAAAPAAAA&#10;AAAAAAAAAAAAAJAEAABkcnMvZG93bnJldi54bWxQSwUGAAAAAAQABADzAAAAnwUAAAAA&#10;" strokeweight="1pt">
            <v:textbox>
              <w:txbxContent>
                <w:p w:rsidR="005A63D9" w:rsidRDefault="005A63D9" w:rsidP="003E3A14">
                  <w:pPr>
                    <w:spacing w:after="144"/>
                    <w:jc w:val="center"/>
                  </w:pPr>
                  <w:r>
                    <w:rPr>
                      <w:sz w:val="14"/>
                      <w:szCs w:val="14"/>
                    </w:rPr>
                    <w:t>Interní komunikace ministerstva</w:t>
                  </w:r>
                </w:p>
                <w:p w:rsidR="005A63D9" w:rsidRDefault="005A63D9" w:rsidP="003E3A14">
                  <w:pPr>
                    <w:spacing w:after="144"/>
                  </w:pPr>
                </w:p>
              </w:txbxContent>
            </v:textbox>
          </v:shape>
        </w:pict>
      </w:r>
      <w:r>
        <w:rPr>
          <w:noProof/>
          <w:lang w:eastAsia="cs-CZ"/>
        </w:rPr>
        <w:pict>
          <v:shape id="Textové pole 186" o:spid="_x0000_s1051" type="#_x0000_t202" style="position:absolute;left:0;text-align:left;margin-left:125.65pt;margin-top:19.8pt;width:64.8pt;height:29.7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ErUNgIAAGAEAAAOAAAAZHJzL2Uyb0RvYy54bWysVNuO0zAQfUfiHyy/06Sh9BI1XS1dipCW&#10;i7TLBziOk1g4HmO7Tcof8R38GGOnLdUCL4g8WB7P+HjmnJmsb4ZOkYOwToIu6HSSUiI0h0rqpqCf&#10;H3cvlpQ4z3TFFGhR0KNw9Gbz/Nm6N7nIoAVVCUsQRLu8NwVtvTd5kjjeio65CRih0VmD7ZhH0zZJ&#10;ZVmP6J1KsjSdJz3Yyljgwjk8vRuddBPx61pw/7GunfBEFRRz83G1cS3DmmzWLG8sM63kpzTYP2TR&#10;Manx0QvUHfOM7K38DaqT3IKD2k84dAnUteQi1oDVTNMn1Ty0zIhYC5LjzIUm9/9g+YfDJ0tkhdot&#10;55Ro1qFIj2LwcPjxnRhQggQH0tQbl2P0g8F4P7yGAa/Ekp25B/7FEQ3blulG3FoLfStYhWlOw83k&#10;6uqI4wJI2b+HCl9jew8RaKhtFzhEVgiio1zHi0SYEeF4uMyy1Rw9HF0vF4vpKkqYsPx82Vjn3wro&#10;SNgU1GIHRHB2uHc+JMPyc0h4y4GS1U4qFQ3blFtlyYFht+ziF/N/EqY06bG0bJGmIwF/xUjj9yeM&#10;TnrseyU7LOkSxPJA2xtdxa70TKpxjzkrfeIxUDeS6IdyiMqtzvKUUB2RWAtjm+NY4qYF+42SHlu8&#10;oO7rnllBiXqnUZzVdDYLMxGN2atFhoa99pTXHqY5QhXUUzJut36co72xsmnxpbEdNNyioLWMZAfl&#10;x6xO6WMbRw1OIxfm5NqOUb9+DJufAAAA//8DAFBLAwQUAAYACAAAACEAwPgDr+IAAAAJAQAADwAA&#10;AGRycy9kb3ducmV2LnhtbEyPQUvDQBCF74L/YRnBi9jdNliSmEkRbREvBWtBvG2TaRKanY3ZTZr+&#10;e9eTHof38d432WoyrRipd41lhPlMgSAubNlwhbD/2NzHIJzXXOrWMiFcyMEqv77KdFraM7/TuPOV&#10;CCXsUo1Qe9+lUrqiJqPdzHbEITva3mgfzr6SZa/Pody0cqHUUhrdcFiodUfPNRWn3WAQtpdP/n4d&#10;1HF86+Kv/Wm7ftncrRFvb6anRxCeJv8Hw69+UIc8OB3swKUTLcLiYR4FFCFKliACEMUqAXFASBIF&#10;Ms/k/w/yHwAAAP//AwBQSwECLQAUAAYACAAAACEAtoM4kv4AAADhAQAAEwAAAAAAAAAAAAAAAAAA&#10;AAAAW0NvbnRlbnRfVHlwZXNdLnhtbFBLAQItABQABgAIAAAAIQA4/SH/1gAAAJQBAAALAAAAAAAA&#10;AAAAAAAAAC8BAABfcmVscy8ucmVsc1BLAQItABQABgAIAAAAIQDlUErUNgIAAGAEAAAOAAAAAAAA&#10;AAAAAAAAAC4CAABkcnMvZTJvRG9jLnhtbFBLAQItABQABgAIAAAAIQDA+AOv4gAAAAkBAAAPAAAA&#10;AAAAAAAAAAAAAJAEAABkcnMvZG93bnJldi54bWxQSwUGAAAAAAQABADzAAAAnwUAAAAA&#10;" strokeweight="1pt">
            <v:textbox>
              <w:txbxContent>
                <w:p w:rsidR="005A63D9" w:rsidRDefault="005A63D9" w:rsidP="003E3A14">
                  <w:pPr>
                    <w:spacing w:after="144"/>
                    <w:jc w:val="center"/>
                  </w:pPr>
                  <w:r>
                    <w:rPr>
                      <w:sz w:val="14"/>
                      <w:szCs w:val="14"/>
                    </w:rPr>
                    <w:t>Odbor politiky a koordinace</w:t>
                  </w:r>
                </w:p>
                <w:p w:rsidR="005A63D9" w:rsidRDefault="005A63D9" w:rsidP="003E3A14">
                  <w:pPr>
                    <w:spacing w:after="144"/>
                  </w:pPr>
                </w:p>
              </w:txbxContent>
            </v:textbox>
          </v:shape>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85" o:spid="_x0000_s1052" type="#_x0000_t32" style="position:absolute;left:0;text-align:left;margin-left:96.1pt;margin-top:14.6pt;width:29.55pt;height:0;flip:x;z-index:2516480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mxaQQIAAFsEAAAOAAAAZHJzL2Uyb0RvYy54bWysVEtu2zAQ3RfoHQjtbUn+xREiB4Vkt4u0&#10;NZD0ADRJWWwkDkHSlo2iB8kyB+gpgtyrQ/rTpN0URbWghpqZxzczj7q63rUN2QpjJag8SvtJRIRi&#10;wKVa59GXu0VvGhHrqOK0ASXyaC9sdD17++aq05kYQA0NF4YgiLJZp/Oodk5ncWxZLVpq+6CFQmcF&#10;pqUOt2Ydc0M7RG+beJAkk7gDw7UBJqzFr+XBGc0CflUJ5j5XlRWONHmE3FxYTVhXfo1nVzRbG6pr&#10;yY406D+waKlUeOgZqqSOko2Rf0C1khmwULk+gzaGqpJMhBqwmjT5rZrbmmoRasHmWH1uk/1/sOzT&#10;dmmI5Di76TgiirY4pOXzw9OP9umRWA1fFTIkVpDnR6nvYUN8HHat0zbD5EItja+b7dStvgF2b4mC&#10;oqZqLQL7u71GwNRnxK9S/MZqPHvVfQSOMXTjILRwV5mWVI3UH3yiB8c2kV2Y2f48M7FzhOHH4cV4&#10;4JmzkyummUfwedpY915AS7yRR9YZKte1K0ApFAaYAzrd3ljn+f1K8MkKFrJpgj4aRbo8mgzHSaBj&#10;oZHcO32YNetV0RiypV5h4QnFoudlmIGN4gGsFpTPj7ajsjnYeHijPB7WhXSO1kFC3y6Ty/l0Ph31&#10;RoPJvDdKyrL3blGMepNFejEuh2VRlOl3Ty0dZbXkXCjP7iTndPR3cjlerIMQz4I+tyF+jR76hWRP&#10;70A6jNhP9aCPFfD90pxGjwoOwcfb5q/Iyz3aL/8Js58AAAD//wMAUEsDBBQABgAIAAAAIQBYRVdR&#10;3QAAAAkBAAAPAAAAZHJzL2Rvd25yZXYueG1sTI9BT8MwDIXvSPyHyEhcEEsXBKKl6YRASBO3bRw4&#10;po1pKxKnarIt8Osx4sBO1rOfnr9Xr7J34oBzHANpWC4KEEhdsCP1Gt52L9f3IGIyZI0LhBq+MMKq&#10;OT+rTWXDkTZ42KZecAjFymgYUpoqKWM3oDdxESYkvn2E2ZvEcu6lnc2Rw72TqijupDcj8YfBTPg0&#10;YPe53XsNz7lM66v372Lj3LrIuzbF177U+vIiPz6ASJjTvxl+8RkdGmZqw55sFI51qRRbNaiSJxvU&#10;7fIGRPu3kE0tTxs0PwAAAP//AwBQSwECLQAUAAYACAAAACEAtoM4kv4AAADhAQAAEwAAAAAAAAAA&#10;AAAAAAAAAAAAW0NvbnRlbnRfVHlwZXNdLnhtbFBLAQItABQABgAIAAAAIQA4/SH/1gAAAJQBAAAL&#10;AAAAAAAAAAAAAAAAAC8BAABfcmVscy8ucmVsc1BLAQItABQABgAIAAAAIQD3VmxaQQIAAFsEAAAO&#10;AAAAAAAAAAAAAAAAAC4CAABkcnMvZTJvRG9jLnhtbFBLAQItABQABgAIAAAAIQBYRVdR3QAAAAkB&#10;AAAPAAAAAAAAAAAAAAAAAJsEAABkcnMvZG93bnJldi54bWxQSwUGAAAAAAQABADzAAAApQUAAAAA&#10;" strokeweight=".5pt"/>
        </w:pict>
      </w:r>
      <w:r>
        <w:rPr>
          <w:noProof/>
          <w:lang w:eastAsia="cs-CZ"/>
        </w:rPr>
        <w:pict>
          <v:shape id="Přímá spojnice se šipkou 184" o:spid="_x0000_s1053" type="#_x0000_t32" style="position:absolute;left:0;text-align:left;margin-left:236.95pt;margin-top:19.55pt;width:31.25pt;height:0;z-index:2516449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ufPAIAAFEEAAAOAAAAZHJzL2Uyb0RvYy54bWysVEtu2zAQ3RfoHQjuHUmJ4jpC5KCQ7G7S&#10;1kDSA9AkZbGROARJWzaKHqTLHKCnCHKvDukPknZTFNWCGmo4b97MPOr6Ztt3ZCOtU6BLmp2llEjN&#10;QSi9KumX+/loQonzTAvWgZYl3UlHb6Zv31wPppDn0EInpCUIol0xmJK23psiSRxvZc/cGRip0dmA&#10;7ZnHrV0lwrIB0fsuOU/TcTKAFcYCl87h13rvpNOI3zSS+89N46QnXUmRm4+rjesyrMn0mhUry0yr&#10;+IEG+wcWPVMak56gauYZWVv1B1SvuAUHjT/j0CfQNIrLWANWk6W/VXPXMiNjLdgcZ05tcv8Pln/a&#10;LCxRAmc3ySnRrMchLZ5/PP3snx6JM/BVI0PiJHl+VOYB1iScw64NxhUYXOmFDXXzrb4zt8AfHNFQ&#10;tUyvZGR/vzMImIWI5FVI2DiDuZfDRxB4hq09xBZuG9sHSGwO2cZJ7U6TkltPOH68uBpP3l1Swo+u&#10;hBXHOGOd/yChJ8EoqfOWqVXrK9Aa5QA2i1nY5tb5wIoVx4CQVMNcdV1URafJUNLxxWUaAxx0SgRn&#10;OObsall1lmxY0FV8YonoeXnMwlqLCNZKJmYH2zPV7W1M3umAh3UhnYO1F863q/RqNplN8lF+Pp6N&#10;8rSuR+/nVT4az7N3l/VFXVV19j1Qy/KiVUJIHdgdRZzlfyeSw3Xay+8k41MbktfosV9I9viOpONg&#10;wyz3qliC2C3sceCo23j4cMfCxXi5R/vln2D6CwAA//8DAFBLAwQUAAYACAAAACEAv7CLCd8AAAAJ&#10;AQAADwAAAGRycy9kb3ducmV2LnhtbEyPTU/DMAyG70j8h8hI3Fi6dQxWmk5ogMRpgoFA3LzGNBWN&#10;UzXpB/9+QRzgaPvR6+fNN5NtxECdrx0rmM8SEMSl0zVXCl5fHi6uQfiArLFxTAq+ycOmOD3JMdNu&#10;5Gca9qESMYR9hgpMCG0mpS8NWfQz1xLH26frLIY4dpXUHY4x3DZykSQrabHm+MFgS1tD5de+twos&#10;Prp+YbbD7m26e9LjB5e7+3elzs+m2xsQgabwB8OPflSHIjodXM/ai0bB8ipdR1RBup6DiMBlulqC&#10;OPwuZJHL/w2KIwAAAP//AwBQSwECLQAUAAYACAAAACEAtoM4kv4AAADhAQAAEwAAAAAAAAAAAAAA&#10;AAAAAAAAW0NvbnRlbnRfVHlwZXNdLnhtbFBLAQItABQABgAIAAAAIQA4/SH/1gAAAJQBAAALAAAA&#10;AAAAAAAAAAAAAC8BAABfcmVscy8ucmVsc1BLAQItABQABgAIAAAAIQAstjufPAIAAFEEAAAOAAAA&#10;AAAAAAAAAAAAAC4CAABkcnMvZTJvRG9jLnhtbFBLAQItABQABgAIAAAAIQC/sIsJ3wAAAAkBAAAP&#10;AAAAAAAAAAAAAAAAAJYEAABkcnMvZG93bnJldi54bWxQSwUGAAAAAAQABADzAAAAogUAAAAA&#10;" strokeweight=".5pt"/>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Textové pole 183" o:spid="_x0000_s1054" type="#_x0000_t202" style="position:absolute;left:0;text-align:left;margin-left:125.65pt;margin-top:16.55pt;width:64.8pt;height:29.7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E5NgIAAGEEAAAOAAAAZHJzL2Uyb0RvYy54bWysVF1u2zAMfh+wOwh6X+y4WZMYcYouXYYB&#10;3Q/Q7gCKLNvCJFGTlNjdjXaOXWyUnKZBt70M84MgitSnjx9Jr64GrchBOC/BVHQ6ySkRhkMtTVvR&#10;L/fbVwtKfGCmZgqMqOiD8PRq/fLFqrelKKADVQtHEMT4srcV7UKwZZZ53gnN/ASsMOhswGkW0HRt&#10;VjvWI7pWWZHnl1kPrrYOuPAeT29GJ10n/KYRPHxqGi8CURVFbiGtLq27uGbrFStbx2wn+ZEG+wcW&#10;mkmDj56gblhgZO/kb1BacgcemjDhoDNoGslFygGzmebPsrnrmBUpFxTH25NM/v/B8o+Hz47IGmu3&#10;uKDEMI1FuhdDgMPPH8SCEiQ6UKbe+hKj7yzGh+ENDHglpeztLfCvnhjYdMy04to56DvBaqQ5jTez&#10;s6sjjo8gu/4D1Pga2wdIQEPjdNQQVSGIjuV6OJUIGRGOh4uiWF6ih6PrYj6fLlMJM1Y+XrbOh3cC&#10;NImbijrsgATODrc+RDKsfAyJb3lQst5KpZLh2t1GOXJg2C3b9CX+z8KUIT2mVszzfBTgrxh5+v6E&#10;oWXAvldSY0qnIFZG2d6aOnVlYFKNe+SszFHHKN0oYhh2w1i5pEEUeQf1AyrrYOxznEvcdOC+U9Jj&#10;j1fUf9szJyhR7w1WZzmdzeJQJGP2el6g4c49u3MPMxyhKhooGbebMA7S3jrZdvjS2A8GrrGijUxq&#10;P7E68sc+TkU4zlwclHM7RT39Gda/AAAA//8DAFBLAwQUAAYACAAAACEAakh8+eIAAAAJAQAADwAA&#10;AGRycy9kb3ducmV2LnhtbEyPQUvDQBCF74L/YRnBi9jdJFTSNJsi2iJeCtaC9LbNTpPQ7GzMbtL0&#10;37ue9Di8j/e+yVeTadmIvWssSYhmAhhSaXVDlYT95+YxBea8Iq1aSyjhig5Wxe1NrjJtL/SB485X&#10;LJSQy5SE2vsu49yVNRrlZrZDCtnJ9kb5cPYV1726hHLT8liIJ25UQ2GhVh2+1Fied4ORsL1+0ffb&#10;IE7je5ce9uft+nXzsJby/m56XgLzOPk/GH71gzoUweloB9KOtRLieZQEVEKSRMACkKRiAewoYRHP&#10;gRc5//9B8QMAAP//AwBQSwECLQAUAAYACAAAACEAtoM4kv4AAADhAQAAEwAAAAAAAAAAAAAAAAAA&#10;AAAAW0NvbnRlbnRfVHlwZXNdLnhtbFBLAQItABQABgAIAAAAIQA4/SH/1gAAAJQBAAALAAAAAAAA&#10;AAAAAAAAAC8BAABfcmVscy8ucmVsc1BLAQItABQABgAIAAAAIQD5bjE5NgIAAGEEAAAOAAAAAAAA&#10;AAAAAAAAAC4CAABkcnMvZTJvRG9jLnhtbFBLAQItABQABgAIAAAAIQBqSHz54gAAAAkBAAAPAAAA&#10;AAAAAAAAAAAAAJAEAABkcnMvZG93bnJldi54bWxQSwUGAAAAAAQABADzAAAAnwUAAAAA&#10;" strokeweight="1pt">
            <v:textbox>
              <w:txbxContent>
                <w:p w:rsidR="005A63D9" w:rsidRDefault="005A63D9" w:rsidP="003E3A14">
                  <w:pPr>
                    <w:spacing w:after="144"/>
                    <w:jc w:val="center"/>
                  </w:pPr>
                  <w:r>
                    <w:rPr>
                      <w:sz w:val="14"/>
                      <w:szCs w:val="14"/>
                    </w:rPr>
                    <w:t>Odbor pro strategii a rozvoj</w:t>
                  </w:r>
                </w:p>
                <w:p w:rsidR="005A63D9" w:rsidRDefault="005A63D9" w:rsidP="003E3A14">
                  <w:pPr>
                    <w:spacing w:after="144"/>
                  </w:pPr>
                </w:p>
              </w:txbxContent>
            </v:textbox>
          </v:shape>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Textové pole 181" o:spid="_x0000_s1055" type="#_x0000_t202" style="position:absolute;left:0;text-align:left;margin-left:268.3pt;margin-top:3.2pt;width:64.8pt;height:40.6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MOMNQIAAGEEAAAOAAAAZHJzL2Uyb0RvYy54bWysVNuO2yAQfa/Uf0C8N3asJJu14qy22aaq&#10;tL1Iu/0AgrGNihkKJHb6R/2O/lgHyKbp7aWqHxDDDIczZ2a8uhl7RQ7COgm6otNJTonQHGqp24p+&#10;fNy+WFLiPNM1U6BFRY/C0Zv182erwZSigA5ULSxBEO3KwVS0896UWeZ4J3rmJmCERmcDtmceTdtm&#10;tWUDovcqK/J8kQ1ga2OBC+fw9C456TriN43g/n3TOOGJqihy83G1cd2FNVuvWNlaZjrJTzTYP7Do&#10;mdT46BnqjnlG9lb+BtVLbsFB4ycc+gyaRnIRc8Bspvkv2Tx0zIiYC4rjzFkm9/9g+bvDB0tkjbVb&#10;TinRrMciPYrRw+HbV2JACRIcKNNgXInRDwbj/fgSRrwSU3bmHvgnRzRsOqZbcWstDJ1gNdKMN7OL&#10;qwnHBZDd8BZqfI3tPUSgsbF90BBVIYiO5TqeS4SMCMfDZVFcL9DD0TWfLor5PHDLWPl02VjnXwvo&#10;SdhU1GIHRHB2uHc+hT6FhLccKFlvpVLRsO1uoyw5MOyWbfxO6D+FKU0GTK24yvMkwF8x8vj9CaOX&#10;HvteyR5TOgexMsj2StexKz2TKu0xPaUxy6BjkC6J6MfdmCp3rs8O6iMqayH1Oc4lbjqwXygZsMcr&#10;6j7vmRWUqDcaq3M9nc3CUERjNr8q0LCXnt2lh2mOUBX1lKTtxqdB2hsr2w5fSv2g4RYr2siodqCc&#10;WJ34Yx/Hep1mLgzKpR2jfvwZ1t8BAAD//wMAUEsDBBQABgAIAAAAIQCC5q8p4QAAAAgBAAAPAAAA&#10;ZHJzL2Rvd25yZXYueG1sTI9BS8NAFITvgv9heYIXaTdW3YaYlyLaIr0UbAvibZu8JqHZtzG7SdN/&#10;73rS4zDDzDfpYjSNGKhztWWE+2kEgji3Rc0lwn63msQgnNdc6MYyIVzIwSK7vkp1Utgzf9Cw9aUI&#10;JewSjVB53yZSurwio93UtsTBO9rOaB9kV8qi0+dQbho5iyIlja45LFS6pdeK8tO2Nwibyyd/v/fR&#10;cVi38df+tFm+re6WiLc348szCE+j/wvDL35AhywwHWzPhRMNwtODUiGKoB5BBF8pNQNxQIjnc5BZ&#10;Kv8fyH4AAAD//wMAUEsBAi0AFAAGAAgAAAAhALaDOJL+AAAA4QEAABMAAAAAAAAAAAAAAAAAAAAA&#10;AFtDb250ZW50X1R5cGVzXS54bWxQSwECLQAUAAYACAAAACEAOP0h/9YAAACUAQAACwAAAAAAAAAA&#10;AAAAAAAvAQAAX3JlbHMvLnJlbHNQSwECLQAUAAYACAAAACEAtvTDjDUCAABhBAAADgAAAAAAAAAA&#10;AAAAAAAuAgAAZHJzL2Uyb0RvYy54bWxQSwECLQAUAAYACAAAACEAguavKeEAAAAIAQAADwAAAAAA&#10;AAAAAAAAAACPBAAAZHJzL2Rvd25yZXYueG1sUEsFBgAAAAAEAAQA8wAAAJ0FAAAAAA==&#10;" strokeweight="1pt">
            <v:textbox>
              <w:txbxContent>
                <w:p w:rsidR="005A63D9" w:rsidRDefault="005A63D9" w:rsidP="004F7425">
                  <w:pPr>
                    <w:spacing w:after="144"/>
                    <w:jc w:val="center"/>
                  </w:pPr>
                  <w:r>
                    <w:rPr>
                      <w:sz w:val="14"/>
                      <w:szCs w:val="14"/>
                    </w:rPr>
                    <w:t>Odbor ostatních interních služeb</w:t>
                  </w:r>
                </w:p>
              </w:txbxContent>
            </v:textbox>
          </v:shape>
        </w:pict>
      </w:r>
      <w:r>
        <w:rPr>
          <w:noProof/>
          <w:lang w:eastAsia="cs-CZ"/>
        </w:rPr>
        <w:pict>
          <v:shape id="Přímá spojnice se šipkou 182" o:spid="_x0000_s1056" type="#_x0000_t32" style="position:absolute;left:0;text-align:left;margin-left:95.65pt;margin-top:11.3pt;width:30pt;height:.05pt;flip:x;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QOQQIAAF0EAAAOAAAAZHJzL2Uyb0RvYy54bWysVEtu2zAQ3RfoHQjtbUm24zpC7KCQ7HaR&#10;tgaSHoAmKYsNxSFI2rJR9CBd5gA9RZB7dUh/mrSboqgW1FCcefNm5lFX17tWka2wToKeJnk/S4jQ&#10;DLjU62ny+W7RmyTEeao5VaDFNNkLl1zPXr+66kwhBtCA4sISBNGu6Mw0abw3RZo61oiWuj4YofGw&#10;BttSj1u7TrmlHaK3Kh1k2TjtwHJjgQnn8Gt1OExmEb+uBfOf6toJT9Q0QW4+rjauq7CmsytarC01&#10;jWRHGvQfWLRUakx6hqqop2Rj5R9QrWQWHNS+z6BNoa4lE7EGrCbPfqvmtqFGxFqwOc6c2+T+Hyz7&#10;uF1aIjnObjJIiKYtDmn59P3xR/v4QJyBLxoZEifI04M097AhwQ+71hlXYHCplzbUzXb61twAu3dE&#10;Q9lQvRaR/d3eIGAeItIXIWHjDOZedR+Aow/deIgt3NW2JbWS5n0IDODYJrKLM9ufZyZ2njD8OJzk&#10;WYaTZXg0Hl7ERLQIGCHSWOffCWhJMKaJ85bKdeNL0BqlAfaAT7c3zgeGvwJCsIaFVCoqRGnSRfws&#10;EnKgJA+Hwc3Z9apUlmxp0Fh8jixeuFnYaB7BGkH5/Gh7KtXBxuRKBzysDOkcrYOIvl5ml/PJfDLq&#10;jQbjeW+UVVXv7aIc9caL/M1FNazKssq/BWr5qGgk50IHdidB56O/E8zxah2keJb0uQ3pS/TYLyR7&#10;ekfScchhrgeFrIDvl/Y0fNRwdD7et3BJnu/Rfv5XmP0EAAD//wMAUEsDBBQABgAIAAAAIQDk39v2&#10;3QAAAAkBAAAPAAAAZHJzL2Rvd25yZXYueG1sTI/BTsMwEETvSPyDtUhcELUbRCEhToVASBW3thw4&#10;OvGSRNjrKHbbwNezOZXjzD7NzpTryTtxxDH2gTQsFwoEUhNsT62Gj/3b7SOImAxZ4wKhhh+MsK4u&#10;L0pT2HCiLR53qRUcQrEwGrqUhkLK2HToTVyEAYlvX2H0JrEcW2lHc+Jw72Sm1Ep60xN/6MyALx02&#10;37uD1/A65Wlz8/mrts5t1LSvU3xvc62vr6bnJxAJp3SGYa7P1aHiTnU4kI3Csc6Xd4xqyLIVCAay&#10;+9moZ+MBZFXK/wuqPwAAAP//AwBQSwECLQAUAAYACAAAACEAtoM4kv4AAADhAQAAEwAAAAAAAAAA&#10;AAAAAAAAAAAAW0NvbnRlbnRfVHlwZXNdLnhtbFBLAQItABQABgAIAAAAIQA4/SH/1gAAAJQBAAAL&#10;AAAAAAAAAAAAAAAAAC8BAABfcmVscy8ucmVsc1BLAQItABQABgAIAAAAIQATrhQOQQIAAF0EAAAO&#10;AAAAAAAAAAAAAAAAAC4CAABkcnMvZTJvRG9jLnhtbFBLAQItABQABgAIAAAAIQDk39v23QAAAAkB&#10;AAAPAAAAAAAAAAAAAAAAAJsEAABkcnMvZG93bnJldi54bWxQSwUGAAAAAAQABADzAAAApQUAAAAA&#10;" strokeweight=".5pt"/>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80" o:spid="_x0000_s1057" type="#_x0000_t32" style="position:absolute;left:0;text-align:left;margin-left:236.95pt;margin-top:3.35pt;width:31.25pt;height:0;z-index:2516459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9E9PAIAAFEEAAAOAAAAZHJzL2Uyb0RvYy54bWysVEFu2zAQvBfoHwjdbUmO49hC5KCQ7F7S&#10;1kDSB9AkZbGRuARJWzaKPqTHPCCvCPKvLmnLSNpLUVQHaqnlzs7uDnV9s28bshPGSlB5lA6TiAjF&#10;gEu1yaOv98vBNCLWUcVpA0rk0UHY6Gb+/t11pzMxghoaLgxBEGWzTudR7ZzO4tiyWrTUDkELhc4K&#10;TEsdbs0m5oZ2iN428ShJJnEHhmsDTFiLX8ujM5oH/KoSzH2pKiscafIIubmwmrCu/RrPr2m2MVTX&#10;kp1o0H9g0VKpMOkZqqSOkq2Rf0C1khmwULkhgzaGqpJMhBqwmjT5rZq7mmoRasHmWH1uk/1/sOzz&#10;bmWI5Di7KfZH0RaHtHr5+fzUPj8Sq+GbQobECvLyKPUDbIk/h13rtM0wuFAr4+tme3Wnb4E9WKKg&#10;qKnaiMD+/qARMPUR8ZsQv7Eac6+7T8DxDN06CC3cV6b1kNgcsg+TOpwnJfaOMPx4MZtMry4jwnpX&#10;TLM+ThvrPgpoiTfyyDpD5aZ2BSiFcgCThix0d2udZ0WzPsAnVbCUTRNU0SjS5dHk4jIJARYayb3T&#10;H7Nmsy4aQ3bU6yo8oUT0vD5mYKt4AKsF5YuT7ahsjjYmb5THw7qQzsk6Cuf7LJktpovpeDAeTRaD&#10;cVKWgw/LYjyYLNOry/KiLIoy/eGppeOslpwL5dn1Ik7HfyeS03U6yu8s43Mb4rfooV9Itn8H0mGw&#10;fpZHVayBH1amHzjqNhw+3TF/MV7v0X79J5j/AgAA//8DAFBLAwQUAAYACAAAACEAN28pW9wAAAAH&#10;AQAADwAAAGRycy9kb3ducmV2LnhtbEyOTU/DMBBE70j8B2uRuFGHtqQQ4lSogMSpgrYCcdvGSxwR&#10;r6PY+eDfY7jAcTSjNy9fT7YRA3W+dqzgcpaAIC6drrlScNg/XlyD8AFZY+OYFHyRh3VxepJjpt3I&#10;LzTsQiUihH2GCkwIbSalLw1Z9DPXEsfuw3UWQ4xdJXWHY4TbRs6TJJUWa44PBlvaGCo/d71VYPHJ&#10;9XOzGbav0/2zHt+53D68KXV+Nt3dggg0hb8x/OhHdSii09H1rL1oFCxXi5s4VZCuQMT+apEuQRx/&#10;syxy+d+/+AYAAP//AwBQSwECLQAUAAYACAAAACEAtoM4kv4AAADhAQAAEwAAAAAAAAAAAAAAAAAA&#10;AAAAW0NvbnRlbnRfVHlwZXNdLnhtbFBLAQItABQABgAIAAAAIQA4/SH/1gAAAJQBAAALAAAAAAAA&#10;AAAAAAAAAC8BAABfcmVscy8ucmVsc1BLAQItABQABgAIAAAAIQAXr9E9PAIAAFEEAAAOAAAAAAAA&#10;AAAAAAAAAC4CAABkcnMvZTJvRG9jLnhtbFBLAQItABQABgAIAAAAIQA3bylb3AAAAAcBAAAPAAAA&#10;AAAAAAAAAAAAAJYEAABkcnMvZG93bnJldi54bWxQSwUGAAAAAAQABADzAAAAnwUAAAAA&#10;" strokeweight=".5pt"/>
        </w:pict>
      </w:r>
      <w:r>
        <w:rPr>
          <w:noProof/>
          <w:lang w:eastAsia="cs-CZ"/>
        </w:rPr>
        <w:pict>
          <v:shape id="Textové pole 179" o:spid="_x0000_s1058" type="#_x0000_t202" style="position:absolute;left:0;text-align:left;margin-left:125.65pt;margin-top:15.05pt;width:64.8pt;height:40.0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NfSNgIAAGEEAAAOAAAAZHJzL2Uyb0RvYy54bWysVF1u2zAMfh+wOwh6X+x4SZoYcYouXYYB&#10;3Q/Q7gCyLNvCZFGTlNjZjXaOXWyUnKbZ38swPwiiSH4kP5JeXw+dIgdhnQRd0OkkpURoDpXUTUE/&#10;PexeLClxnumKKdCioEfh6PXm+bN1b3KRQQuqEpYgiHZ5bwraem/yJHG8FR1zEzBCo7IG2zGPom2S&#10;yrIe0TuVZGm6SHqwlbHAhXP4ejsq6Sbi17Xg/kNdO+GJKijm5uNp41mGM9msWd5YZlrJT2mwf8ii&#10;Y1Jj0DPULfOM7K38DaqT3IKD2k84dAnUteQi1oDVTNNfqrlvmRGxFiTHmTNN7v/B8veHj5bICnt3&#10;taJEsw6b9CAGD4fv34gBJUhQIE29cTla3xu098MrGNAlluzMHfDPjmjYtkw34sZa6FvBKkxzGjyT&#10;C9cRxwWQsn8HFUZjew8RaKhtFzhEVgiiY7uO5xZhRoTj4zLLVgvUcFTN0+Xi5TxGYPmjs7HOvxHQ&#10;kXApqMUJiODscOd8SIbljyYhlgMlq51UKgq2KbfKkgPDadnF74T+k5nSpMfSsqs0HQn4K0Yavz9h&#10;dNLj3CvZYUlnI5YH2l7rKk6lZ1KNd8xZ6ROPgbqRRD+Uw9i5LEQIJJdQHZFZC+Oc417ipQX7lZIe&#10;Z7yg7sueWUGJequxO6vpbBaWIgqz+VWGgr3UlJcapjlCFdRTMl63flykvbGyaTHSOA8abrCjtYxs&#10;P2V1yh/nODbhtHNhUS7laPX0Z9j8AAAA//8DAFBLAwQUAAYACAAAACEA5nRKZeEAAAAKAQAADwAA&#10;AGRycy9kb3ducmV2LnhtbEyPQUvDQBCF74L/YRnBi9jdJCgxZlNEW8RLwVoQb9tkmoRmZ2N2k6b/&#10;3vGkx+F9vPdNvpxtJyYcfOtIQ7RQIJBKV7VUa9h9rG9TED4YqkznCDWc0cOyuLzITVa5E73jtA21&#10;4BLymdHQhNBnUvqyQWv8wvVInB3cYE3gc6hlNZgTl9tOxkrdS2ta4oXG9PjcYHncjlbD5vxJ36+j&#10;Okxvffq1O25WL+ubldbXV/PTI4iAc/iD4Vef1aFgp70bqfKi0xDfRQmjGhIVgWAgSdUDiD2TkYpB&#10;Frn8/0LxAwAA//8DAFBLAQItABQABgAIAAAAIQC2gziS/gAAAOEBAAATAAAAAAAAAAAAAAAAAAAA&#10;AABbQ29udGVudF9UeXBlc10ueG1sUEsBAi0AFAAGAAgAAAAhADj9If/WAAAAlAEAAAsAAAAAAAAA&#10;AAAAAAAALwEAAF9yZWxzLy5yZWxzUEsBAi0AFAAGAAgAAAAhAEXs19I2AgAAYQQAAA4AAAAAAAAA&#10;AAAAAAAALgIAAGRycy9lMm9Eb2MueG1sUEsBAi0AFAAGAAgAAAAhAOZ0SmXhAAAACgEAAA8AAAAA&#10;AAAAAAAAAAAAkAQAAGRycy9kb3ducmV2LnhtbFBLBQYAAAAABAAEAPMAAACeBQAAAAA=&#10;" strokeweight="1pt">
            <v:textbox>
              <w:txbxContent>
                <w:p w:rsidR="005A63D9" w:rsidRDefault="005A63D9" w:rsidP="003E3A14">
                  <w:pPr>
                    <w:spacing w:after="144"/>
                    <w:jc w:val="center"/>
                  </w:pPr>
                  <w:r>
                    <w:rPr>
                      <w:sz w:val="14"/>
                      <w:szCs w:val="14"/>
                    </w:rPr>
                    <w:t>Odbor pro finance a rozpočet</w:t>
                  </w:r>
                </w:p>
                <w:p w:rsidR="005A63D9" w:rsidRDefault="005A63D9" w:rsidP="003E3A14">
                  <w:pPr>
                    <w:spacing w:after="144"/>
                  </w:pPr>
                </w:p>
              </w:txbxContent>
            </v:textbox>
          </v:shape>
        </w:pict>
      </w:r>
    </w:p>
    <w:p w:rsidR="005A63D9" w:rsidRPr="003E3A14" w:rsidRDefault="005A63D9" w:rsidP="003E3A14">
      <w:pPr>
        <w:spacing w:afterLines="0" w:line="276" w:lineRule="auto"/>
        <w:contextualSpacing w:val="0"/>
        <w:jc w:val="both"/>
        <w:rPr>
          <w:rFonts w:ascii="Calibri" w:hAnsi="Calibri" w:cs="Times New Roman"/>
        </w:rPr>
      </w:pPr>
      <w:r>
        <w:rPr>
          <w:noProof/>
          <w:lang w:eastAsia="cs-CZ"/>
        </w:rPr>
        <w:pict>
          <v:shape id="Přímá spojnice se šipkou 178" o:spid="_x0000_s1059" type="#_x0000_t32" style="position:absolute;left:0;text-align:left;margin-left:96.55pt;margin-top:16.55pt;width:29.1pt;height:0;flip:x;z-index:2516500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LPJQgIAAFsEAAAOAAAAZHJzL2Uyb0RvYy54bWysVEtu2zAQ3RfoHQjtHUmJ4zhC5KCQ7HaR&#10;tgaSHoAmKYsNxSFI2rJR9CBZ5gA9RZB7dUh/mrSboqgW1FAz8/hm5lFX15tOkbWwToIuk/wkS4jQ&#10;DLjUyzL5cjcbjBPiPNWcKtCiTLbCJdeTt2+uelOIU2hBcWEJgmhX9KZMWu9NkaaOtaKj7gSM0Ohs&#10;wHbU49YuU25pj+idSk+zbJT2YLmxwIRz+LXeOZNJxG8awfznpnHCE1UmyM3H1cZ1EdZ0ckWLpaWm&#10;lWxPg/4Di45KjYceoWrqKVlZ+QdUJ5kFB40/YdCl0DSSiVgDVpNnv1Vz21IjYi3YHGeObXL/D5Z9&#10;Ws8tkRxnd4Gj0rTDIc2fH55+dE+PxBn4qpEhcYI8P0pzDysS4rBrvXEFJld6bkPdbKNvzQ2we0c0&#10;VC3VSxHZ320NAuYhI32VEjbO4NmL/iNwjKErD7GFm8Z2pFHSfAiJARzbRDZxZtvjzMTGE4Yfz0aX&#10;5xc4WXZwpbQICCHPWOffC+hIMMrEeUvlsvUVaI3CALtDp+sb5wO/XwkhWcNMKhX1oTTpy2R0dp5F&#10;Og6U5MEZwpxdLiplyZoGhcUnFouel2EWVppHsFZQPt3bnkq1s/FwpQMe1oV09tZOQt8us8vpeDoe&#10;Doano+lgmNX14N2sGg5Gs/zivD6rq6rOvwdq+bBoJedCB3YHOefDv5PL/mLthHgU9LEN6Wv02C8k&#10;e3hH0nHEYao7fSyAb+f2MHpUcAze37ZwRV7u0X75T5j8BAAA//8DAFBLAwQUAAYACAAAACEApoN/&#10;CN0AAAAJAQAADwAAAGRycy9kb3ducmV2LnhtbEyPQU/DMAyF70j8h8hIXBBLugpES9MJgZAmbts4&#10;cEwb01YkTtVkW+HX44kDO1nPfnr+XrWavRMHnOIQSEO2UCCQ2mAH6jS8715vH0DEZMgaFwg1fGOE&#10;VX15UZnShiNt8LBNneAQiqXR0Kc0llLGtkdv4iKMSHz7DJM3ieXUSTuZI4d7J5dK3UtvBuIPvRnx&#10;ucf2a7v3Gl7mIq1vPn7Uxrm1mndNim9dofX11fz0CCLhnP7NcMJndKiZqQl7slE41kWesVVDfpps&#10;WN5lOYjmbyHrSp43qH8BAAD//wMAUEsBAi0AFAAGAAgAAAAhALaDOJL+AAAA4QEAABMAAAAAAAAA&#10;AAAAAAAAAAAAAFtDb250ZW50X1R5cGVzXS54bWxQSwECLQAUAAYACAAAACEAOP0h/9YAAACUAQAA&#10;CwAAAAAAAAAAAAAAAAAvAQAAX3JlbHMvLnJlbHNQSwECLQAUAAYACAAAACEAzbSzyUICAABbBAAA&#10;DgAAAAAAAAAAAAAAAAAuAgAAZHJzL2Uyb0RvYy54bWxQSwECLQAUAAYACAAAACEApoN/CN0AAAAJ&#10;AQAADwAAAAAAAAAAAAAAAACcBAAAZHJzL2Rvd25yZXYueG1sUEsFBgAAAAAEAAQA8wAAAKYFAAAA&#10;AA==&#10;" strokeweight=".5pt"/>
        </w:pict>
      </w: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Pr="00946055" w:rsidRDefault="005A63D9" w:rsidP="00946055">
      <w:pPr>
        <w:pStyle w:val="ZDROJovan"/>
        <w:spacing w:after="144"/>
        <w:rPr>
          <w:i w:val="0"/>
        </w:rPr>
      </w:pPr>
      <w:r w:rsidRPr="00946055">
        <w:t xml:space="preserve">Zdroj: </w:t>
      </w:r>
      <w:r w:rsidRPr="002A0959">
        <w:t>web ministerstva – www.ufm.dk</w:t>
      </w:r>
    </w:p>
    <w:p w:rsidR="005A63D9" w:rsidRDefault="005A63D9" w:rsidP="003E3A14">
      <w:pPr>
        <w:spacing w:after="144"/>
      </w:pPr>
    </w:p>
    <w:p w:rsidR="005A63D9" w:rsidRDefault="005A63D9">
      <w:pPr>
        <w:spacing w:afterLines="0" w:line="259" w:lineRule="auto"/>
        <w:contextualSpacing w:val="0"/>
      </w:pPr>
      <w:r>
        <w:br w:type="page"/>
      </w:r>
    </w:p>
    <w:p w:rsidR="005A63D9" w:rsidRPr="004B4699" w:rsidRDefault="005A63D9" w:rsidP="004B4699">
      <w:pPr>
        <w:pStyle w:val="Heading3"/>
        <w:keepNext/>
        <w:keepLines/>
        <w:spacing w:before="240" w:afterLines="0" w:line="240" w:lineRule="auto"/>
        <w:contextualSpacing w:val="0"/>
        <w:rPr>
          <w:bCs/>
          <w:shd w:val="clear" w:color="auto" w:fill="FFFFFF"/>
          <w:lang/>
        </w:rPr>
      </w:pPr>
      <w:bookmarkStart w:id="220" w:name="_Toc440897460"/>
      <w:bookmarkStart w:id="221" w:name="_Toc441760862"/>
      <w:bookmarkStart w:id="222" w:name="_Toc441849525"/>
      <w:r w:rsidRPr="004B4699">
        <w:rPr>
          <w:bCs/>
          <w:shd w:val="clear" w:color="auto" w:fill="FFFFFF"/>
          <w:lang/>
        </w:rPr>
        <w:t>Organigram Ministerstva pro životní prostředí a potraviny</w:t>
      </w:r>
      <w:bookmarkEnd w:id="220"/>
      <w:bookmarkEnd w:id="221"/>
      <w:bookmarkEnd w:id="222"/>
    </w:p>
    <w:p w:rsidR="005A63D9" w:rsidRDefault="005A63D9" w:rsidP="003E3A14">
      <w:pPr>
        <w:spacing w:after="144"/>
      </w:pPr>
    </w:p>
    <w:p w:rsidR="005A63D9" w:rsidRPr="00F95CD1" w:rsidRDefault="005A63D9" w:rsidP="003E3A14">
      <w:pPr>
        <w:spacing w:after="144"/>
        <w:jc w:val="center"/>
        <w:rPr>
          <w:b/>
          <w:sz w:val="24"/>
          <w:szCs w:val="24"/>
        </w:rPr>
      </w:pPr>
    </w:p>
    <w:p w:rsidR="005A63D9" w:rsidRPr="00F95CD1" w:rsidRDefault="005A63D9" w:rsidP="003E3A14">
      <w:pPr>
        <w:spacing w:after="144"/>
        <w:jc w:val="center"/>
      </w:pPr>
      <w:r>
        <w:rPr>
          <w:noProof/>
          <w:lang w:eastAsia="cs-CZ"/>
        </w:rPr>
        <w:pict>
          <v:shape id="Textové pole 244" o:spid="_x0000_s1060" type="#_x0000_t202" style="position:absolute;left:0;text-align:left;margin-left:179.8pt;margin-top:333.15pt;width:85.05pt;height:29.7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sqOQIAAGIEAAAOAAAAZHJzL2Uyb0RvYy54bWysVF2O0zAQfkfiDpbfaZK2S7tR09XSpQhp&#10;+ZF2OYDjOImF4zG226TcaM/BxRg7bakWeEHkwfJ0xt/MfN9MVzdDp8heWCdBFzSbpJQIzaGSuino&#10;l8ftqyUlzjNdMQVaFPQgHL1Zv3yx6k0uptCCqoQlCKJd3puCtt6bPEkcb0XH3ASM0OiswXbMo2mb&#10;pLKsR/ROJdM0fZ30YCtjgQvn8Ne70UnXEb+uBfef6toJT1RBsTYfTxvPMpzJesXyxjLTSn4sg/1D&#10;FR2TGpOeoe6YZ2Rn5W9QneQWHNR+wqFLoK4lF7EH7CZLn3Xz0DIjYi9IjjNnmtz/g+Uf958tkVVB&#10;p/M5JZp1KNKjGDzsfzwRA0qQ4ECaeuNyjH4wGO+HNzCg3LFlZ+6Bf3VEw6ZluhG31kLfClZhmVl4&#10;mVw8HXFcACn7D1BhNrbzEIGG2naBQ2SFIDrKdThLhBURHlKmyzSbXVHC0TdbLLLrqGHC8tNrY51/&#10;J6Aj4VJQiyMQ0dn+3vlQDctPISGZAyWrrVQqGrYpN8qSPcNx2cYvNvAsTGnSYynTRZqODPwVI43f&#10;nzA66XHwlewKujwHsTzw9lZXcSw9k2q8Y81KH4kM3I0s+qEconTZ7CRQCdUBqbUwDjouJl5asN8p&#10;6XHIC+q+7ZgVlKj3GuW5zubzsBXRmF8tpmjYS0956WGaI1RBPSXjdePHTdoZK5sWM40DoeEWJa1l&#10;ZDtoP1Z1rB8HOYpwXLqwKZd2jPr117D+CQAA//8DAFBLAwQUAAYACAAAACEA/dumI+QAAAALAQAA&#10;DwAAAGRycy9kb3ducmV2LnhtbEyPQUvDQBCF74L/YRnBi9iNKdm0MZMi2iJeCtaCeNtmt0lodjZm&#10;N2n6711Pehzex3vf5KvJtGzUvWssITzMImCaSqsaqhD2H5v7BTDnJSnZWtIIF+1gVVxf5TJT9kzv&#10;etz5ioUScplEqL3vMs5dWWsj3cx2mkJ2tL2RPpx9xVUvz6HctDyOIsGNbCgs1LLTz7UuT7vBIGwv&#10;n/T9OkTH8a1bfO1P2/XL5m6NeHszPT0C83ryfzD86gd1KILTwQ6kHGsR5slSBBRBCDEHFogkXqbA&#10;DghpnKTAi5z//6H4AQAA//8DAFBLAQItABQABgAIAAAAIQC2gziS/gAAAOEBAAATAAAAAAAAAAAA&#10;AAAAAAAAAABbQ29udGVudF9UeXBlc10ueG1sUEsBAi0AFAAGAAgAAAAhADj9If/WAAAAlAEAAAsA&#10;AAAAAAAAAAAAAAAALwEAAF9yZWxzLy5yZWxzUEsBAi0AFAAGAAgAAAAhAPFB6yo5AgAAYgQAAA4A&#10;AAAAAAAAAAAAAAAALgIAAGRycy9lMm9Eb2MueG1sUEsBAi0AFAAGAAgAAAAhAP3bpiPkAAAACwEA&#10;AA8AAAAAAAAAAAAAAAAAkwQAAGRycy9kb3ducmV2LnhtbFBLBQYAAAAABAAEAPMAAACkBQAAAAA=&#10;" strokeweight="1pt">
            <v:textbox>
              <w:txbxContent>
                <w:p w:rsidR="005A63D9" w:rsidRDefault="005A63D9" w:rsidP="003E3A14">
                  <w:pPr>
                    <w:spacing w:after="144"/>
                    <w:jc w:val="center"/>
                  </w:pPr>
                  <w:r>
                    <w:rPr>
                      <w:sz w:val="14"/>
                      <w:szCs w:val="14"/>
                    </w:rPr>
                    <w:t>Odbor interní komunikace</w:t>
                  </w:r>
                </w:p>
                <w:p w:rsidR="005A63D9" w:rsidRDefault="005A63D9" w:rsidP="003E3A14">
                  <w:pPr>
                    <w:spacing w:after="144"/>
                  </w:pPr>
                </w:p>
              </w:txbxContent>
            </v:textbox>
          </v:shape>
        </w:pict>
      </w:r>
      <w:r>
        <w:rPr>
          <w:noProof/>
          <w:lang w:eastAsia="cs-CZ"/>
        </w:rPr>
        <w:pict>
          <v:shape id="Textové pole 243" o:spid="_x0000_s1061" type="#_x0000_t202" style="position:absolute;left:0;text-align:left;margin-left:371.05pt;margin-top:335.85pt;width:64.8pt;height:29.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zvzOAIAAGEEAAAOAAAAZHJzL2Uyb0RvYy54bWysVEtu2zAQ3RfoHQjua33ixrFgOUiduiiQ&#10;foCkB6AoSiJKcViStpTeKOfoxTqkbNdI201RLQgOZ/g4896MVtdjr8heWCdBlzSbpZQIzaGWui3p&#10;l4ftqytKnGe6Zgq0KOmjcPR6/fLFajCFyKEDVQtLEES7YjAl7bw3RZI43omeuRkYodHZgO2ZR9O2&#10;SW3ZgOi9SvI0vUwGsLWxwIVzeHo7Oek64jeN4P5T0zjhiSop5ubjauNahTVZr1jRWmY6yQ9psH/I&#10;omdS46MnqFvmGdlZ+RtUL7kFB42fcegTaBrJRawBq8nSZ9Xcd8yIWAuS48yJJvf/YPnH/WdLZF3S&#10;fH5BiWY9ivQgRg/7H0/EgBIkOJCmwbgCo+8NxvvxDYwodyzZmTvgXx3RsOmYbsWNtTB0gtWYZhZu&#10;JmdXJxwXQKrhA9T4Gtt5iEBjY/vAIbJCEB3lejxJhBkRjodXeb68RA9H18VikS2jhAkrjpeNdf6d&#10;gJ6ETUktdkAEZ/s750MyrDiGhLccKFlvpVLRsG21UZbsGXbLNn4x/2dhSpMBS8sXaToR8FeMNH5/&#10;wuilx75XsseSTkGsCLS91XXsSs+kmvaYs9IHHgN1E4l+rMaoXDY/6lNB/YjMWpj6HOcSNx3Y75QM&#10;2OMldd92zApK1HuN6iyz+TwMRTTmrxc5GvbcU517mOYIVVJPybTd+GmQdsbKtsOXpn7QcIOKNjKy&#10;HaSfsjrkj30cRTjMXBiUcztG/fozrH8CAAD//wMAUEsDBBQABgAIAAAAIQBqa1n34gAAAAsBAAAP&#10;AAAAZHJzL2Rvd25yZXYueG1sTI/BSsNAEIbvgu+wjOBF7CZVmhCzKaIt4qVgLYi3bXaahGZnY3aT&#10;pm/v6EVvM/wf/3yTLyfbihF73zhSEM8iEEilMw1VCnbv69sUhA+ajG4doYIzelgWlxe5zow70RuO&#10;21AJLiGfaQV1CF0mpS9rtNrPXIfE2cH1Vgde+0qaXp+43LZyHkULaXVDfKHWHT7VWB63g1WwOX/Q&#10;18sQHcbXLv3cHTer5/XNSqnrq+nxAUTAKfzB8KPP6lCw094NZLxoFST385hRBYskTkAwkf4Oe47u&#10;4hhkkcv/PxTfAAAA//8DAFBLAQItABQABgAIAAAAIQC2gziS/gAAAOEBAAATAAAAAAAAAAAAAAAA&#10;AAAAAABbQ29udGVudF9UeXBlc10ueG1sUEsBAi0AFAAGAAgAAAAhADj9If/WAAAAlAEAAAsAAAAA&#10;AAAAAAAAAAAALwEAAF9yZWxzLy5yZWxzUEsBAi0AFAAGAAgAAAAhAGx/O/M4AgAAYQQAAA4AAAAA&#10;AAAAAAAAAAAALgIAAGRycy9lMm9Eb2MueG1sUEsBAi0AFAAGAAgAAAAhAGprWffiAAAACwEAAA8A&#10;AAAAAAAAAAAAAAAAkgQAAGRycy9kb3ducmV2LnhtbFBLBQYAAAAABAAEAPMAAAChBQAAAAA=&#10;" strokeweight="1pt">
            <v:textbox>
              <w:txbxContent>
                <w:p w:rsidR="005A63D9" w:rsidRDefault="005A63D9" w:rsidP="003E3A14">
                  <w:pPr>
                    <w:spacing w:after="144"/>
                    <w:jc w:val="center"/>
                  </w:pPr>
                  <w:r>
                    <w:rPr>
                      <w:sz w:val="14"/>
                      <w:szCs w:val="14"/>
                    </w:rPr>
                    <w:t>Odbor výzkumu a digitalizace</w:t>
                  </w:r>
                </w:p>
                <w:p w:rsidR="005A63D9" w:rsidRDefault="005A63D9" w:rsidP="003E3A14">
                  <w:pPr>
                    <w:spacing w:after="144"/>
                  </w:pPr>
                </w:p>
              </w:txbxContent>
            </v:textbox>
          </v:shape>
        </w:pict>
      </w:r>
      <w:r>
        <w:rPr>
          <w:noProof/>
          <w:lang w:eastAsia="cs-CZ"/>
        </w:rPr>
        <w:pict>
          <v:shape id="Textové pole 242" o:spid="_x0000_s1062" type="#_x0000_t202" style="position:absolute;left:0;text-align:left;margin-left:284.2pt;margin-top:334.95pt;width:64.8pt;height:29.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7BOAIAAGEEAAAOAAAAZHJzL2Uyb0RvYy54bWysVEtu2zAQ3RfoHQjua33qxLFgOUiduiiQ&#10;foCkB6AoSiJKcViStpTeKOfoxTqkbNdI201RLQgOZ/g4896MVtdjr8heWCdBlzSbpZQIzaGWui3p&#10;l4ftqytKnGe6Zgq0KOmjcPR6/fLFajCFyKEDVQtLEES7YjAl7bw3RZI43omeuRkYodHZgO2ZR9O2&#10;SW3ZgOi9SvI0vUwGsLWxwIVzeHo7Oek64jeN4P5T0zjhiSop5ubjauNahTVZr1jRWmY6yQ9psH/I&#10;omdS46MnqFvmGdlZ+RtUL7kFB42fcegTaBrJRawBq8nSZ9Xcd8yIWAuS48yJJvf/YPnH/WdLZF3S&#10;fJ5TolmPIj2I0cP+xxMxoAQJDqRpMK7A6HuD8X58AyPKHUt25g74V0c0bDqmW3FjLQydYDWmmYWb&#10;ydnVCccFkGr4ADW+xnYeItDY2D5wiKwQREe5Hk8SYUaE4+FVni8v0cPR9XqxyJZRwoQVx8vGOv9O&#10;QE/CpqQWOyCCs/2d8yEZVhxDwlsOlKy3Uqlo2LbaKEv2DLtlG7+Y/7MwpcmApeWLNJ0I+CtGGr8/&#10;YfTSY98r2WNJpyBWBNre6jp2pWdSTXvMWekDj4G6iUQ/VmNULrs46lNB/YjMWpj6HOcSNx3Y75QM&#10;2OMldd92zApK1HuN6iyz+TwMRTTmF4scDXvuqc49THOEKqmnZNpu/DRIO2Nl2+FLUz9ouEFFGxnZ&#10;DtJPWR3yxz6OIhxmLgzKuR2jfv0Z1j8BAAD//wMAUEsDBBQABgAIAAAAIQCdpg3z4wAAAAsBAAAP&#10;AAAAZHJzL2Rvd25yZXYueG1sTI9BS8NAEIXvgv9hGcGL2I1V1yRmUkRbxEvBWhBv22SbhGZnY3aT&#10;pv/e8aTHYT7e+162mGwrRtP7xhHCzSwCYahwZUMVwvZjdR2D8EFTqVtHBuFkPCzy87NMp6U70rsZ&#10;N6ESHEI+1Qh1CF0qpS9qY7Wfuc4Q//autzrw2Vey7PWRw20r51GkpNUNcUOtO/Ncm+KwGSzC+vRJ&#10;369DtB/fuvhre1gvX1ZXS8TLi+npEUQwU/iD4Vef1SFnp50bqPSiRbhX8R2jCEolCQgmVBLzuh3C&#10;wzy5BZln8v+G/AcAAP//AwBQSwECLQAUAAYACAAAACEAtoM4kv4AAADhAQAAEwAAAAAAAAAAAAAA&#10;AAAAAAAAW0NvbnRlbnRfVHlwZXNdLnhtbFBLAQItABQABgAIAAAAIQA4/SH/1gAAAJQBAAALAAAA&#10;AAAAAAAAAAAAAC8BAABfcmVscy8ucmVsc1BLAQItABQABgAIAAAAIQALke7BOAIAAGEEAAAOAAAA&#10;AAAAAAAAAAAAAC4CAABkcnMvZTJvRG9jLnhtbFBLAQItABQABgAIAAAAIQCdpg3z4wAAAAsBAAAP&#10;AAAAAAAAAAAAAAAAAJIEAABkcnMvZG93bnJldi54bWxQSwUGAAAAAAQABADzAAAAogUAAAAA&#10;" strokeweight="1pt">
            <v:textbox>
              <w:txbxContent>
                <w:p w:rsidR="005A63D9" w:rsidRDefault="005A63D9" w:rsidP="003E3A14">
                  <w:pPr>
                    <w:spacing w:after="144"/>
                    <w:jc w:val="center"/>
                  </w:pPr>
                  <w:r>
                    <w:rPr>
                      <w:sz w:val="14"/>
                      <w:szCs w:val="14"/>
                    </w:rPr>
                    <w:t xml:space="preserve">Právní odbor </w:t>
                  </w:r>
                </w:p>
                <w:p w:rsidR="005A63D9" w:rsidRDefault="005A63D9" w:rsidP="003E3A14">
                  <w:pPr>
                    <w:spacing w:after="144"/>
                  </w:pPr>
                </w:p>
              </w:txbxContent>
            </v:textbox>
          </v:shape>
        </w:pict>
      </w:r>
      <w:r>
        <w:rPr>
          <w:noProof/>
          <w:lang w:eastAsia="cs-CZ"/>
        </w:rPr>
        <w:pict>
          <v:shape id="Textové pole 241" o:spid="_x0000_s1063" type="#_x0000_t202" style="position:absolute;left:0;text-align:left;margin-left:100.15pt;margin-top:332.7pt;width:64.8pt;height:29.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CWOQIAAGEEAAAOAAAAZHJzL2Uyb0RvYy54bWysVNuO0zAQfUfiHyy/01wo7TZqulq6FCEt&#10;F2mXD3AcJ7FwPMZ2m5Q/4jv4McZOt5TbCyIPlsczPj5zZibr67FX5CCsk6BLms1SSoTmUEvdlvTj&#10;w+7ZFSXOM10zBVqU9Cgcvd48fbIeTCFy6EDVwhIE0a4YTEk7702RJI53omduBkZodDZge+bRtG1S&#10;WzYgeq+SPE0XyQC2Nha4cA5Pbycn3UT8phHcv28aJzxRJUVuPq42rlVYk82aFa1lppP8RIP9A4ue&#10;SY2PnqFumWdkb+VvUL3kFhw0fsahT6BpJBcxB8wmS3/J5r5jRsRcUBxnzjK5/wfL3x0+WCLrkubz&#10;jBLNeizSgxg9HL59JQaUIMGBMg3GFRh9bzDejy9hxHLHlJ25A/7JEQ3bjulW3FgLQydYjTTjzeTi&#10;6oTjAkg1vIUaX2N7DxFobGwfNERVCKJjuY7nEiEjwvHwKs9XC/RwdD1fLrNVLGHCisfLxjr/WkBP&#10;wqakFjsggrPDnfOYBoY+hoS3HChZ76RS0bBttVWWHBh2yy5+IXO88lOY0mTA1PJlmk4C/BUjjd+f&#10;MHrpse+V7DGlcxArgmyvdB270jOppj0SUBp5BB2DdJOIfqzGWLls8VifCuojKmth6nOcS9x0YL9Q&#10;MmCPl9R93jMrKFFvNFZnlc3nYSiiMX+xzNGwl57q0sM0R6iSekqm7dZPg7Q3VrYdvjT1g4YbrGgj&#10;o9qB8sTqxB/7OCp6mrkwKJd2jPrxZ9h8BwAA//8DAFBLAwQUAAYACAAAACEAY1Qk2eMAAAALAQAA&#10;DwAAAGRycy9kb3ducmV2LnhtbEyPwUrDQBBA74L/sIzgRezGtKZpzKaItoiXgm1BvG2TaRKanY3Z&#10;TZr+veNJj8M83rxJl6NpxICdqy0peJgEIJByW9RUKtjv1vcxCOc1FbqxhAou6GCZXV+lOinsmT5w&#10;2PpSsIRcohVU3reJlC6v0Gg3sS0S7462M9rz2JWy6PSZ5aaRYRBE0uia+EKlW3ypMD9te6Ngc/mk&#10;77c+OA7vbfy1P21Wr+u7lVK3N+PzEwiPo/+D4Tef0yHjpoPtqXCiUcD2KaMKouhxBoKJabhYgDgo&#10;mIezGGSWyv8/ZD8AAAD//wMAUEsBAi0AFAAGAAgAAAAhALaDOJL+AAAA4QEAABMAAAAAAAAAAAAA&#10;AAAAAAAAAFtDb250ZW50X1R5cGVzXS54bWxQSwECLQAUAAYACAAAACEAOP0h/9YAAACUAQAACwAA&#10;AAAAAAAAAAAAAAAvAQAAX3JlbHMvLnJlbHNQSwECLQAUAAYACAAAACEAoqOQljkCAABhBAAADgAA&#10;AAAAAAAAAAAAAAAuAgAAZHJzL2Uyb0RvYy54bWxQSwECLQAUAAYACAAAACEAY1Qk2eMAAAALAQAA&#10;DwAAAAAAAAAAAAAAAACTBAAAZHJzL2Rvd25yZXYueG1sUEsFBgAAAAAEAAQA8wAAAKMFAAAAAA==&#10;" strokeweight="1pt">
            <v:textbox>
              <w:txbxContent>
                <w:p w:rsidR="005A63D9" w:rsidRDefault="005A63D9" w:rsidP="003E3A14">
                  <w:pPr>
                    <w:spacing w:after="144"/>
                    <w:jc w:val="center"/>
                  </w:pPr>
                  <w:r>
                    <w:rPr>
                      <w:sz w:val="14"/>
                      <w:szCs w:val="14"/>
                    </w:rPr>
                    <w:t>Odbor lidských zdrojů</w:t>
                  </w:r>
                </w:p>
                <w:p w:rsidR="005A63D9" w:rsidRDefault="005A63D9" w:rsidP="003E3A14">
                  <w:pPr>
                    <w:spacing w:after="144"/>
                  </w:pPr>
                </w:p>
              </w:txbxContent>
            </v:textbox>
          </v:shape>
        </w:pict>
      </w:r>
      <w:r>
        <w:rPr>
          <w:noProof/>
          <w:lang w:eastAsia="cs-CZ"/>
        </w:rPr>
        <w:pict>
          <v:shape id="Textové pole 240" o:spid="_x0000_s1064" type="#_x0000_t202" style="position:absolute;left:0;text-align:left;margin-left:5.65pt;margin-top:331.8pt;width:82.35pt;height:29.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JrvOAIAAGIEAAAOAAAAZHJzL2Uyb0RvYy54bWysVNuO0zAQfUfiHyy/0ySlpd2o6WrpUoS0&#10;XKRdPsB1nMTC9hjbbbL8Ed/BjzF22lIt8ILIg2V3xmfOnDPu6nrQihyE8xJMRYtJTokwHGpp2op+&#10;fti+WFLiAzM1U2BERR+Fp9fr589WvS3FFDpQtXAEQYwve1vRLgRbZpnnndDMT8AKg8EGnGYBj67N&#10;asd6RNcqm+b5q6wHV1sHXHiPv96OQbpO+E0jePjYNF4EoiqK3EJaXVp3cc3WK1a2jtlO8iMN9g8s&#10;NJMGi56hbllgZO/kb1BacgcemjDhoDNoGslF6gG7KfIn3dx3zIrUC4rj7Vkm//9g+YfDJ0dkXdHp&#10;DPUxTKNJD2IIcPjxnVhQgsQAytRbX2L2vcX8MLyGAe1OLXt7B/yLJwY2HTOtuHEO+k6wGmkW8WZ2&#10;cXXE8RFk17+HGquxfYAENDRORw1RFYLoSOfxbBEyIjyWzGfz5WxOCcfYy8WiuErkMlaeblvnw1sB&#10;msRNRR2OQEJnhzsfIhtWnlJiMQ9K1lupVDq4drdRjhwYjss2famBJ2nKkB6pTBd5PirwV4w8fX/C&#10;0DLg4CupK7o8J7Ey6vbG1GksA5Nq3CNnZY5CRu1GFcOwG5J1xeJk0A7qR5TWwTjo+DBx04H7RkmP&#10;Q15R/3XPnKBEvTNoz1Uxi66HdJjNF1M8uMvI7jLCDEeoigZKxu0mjC9pb51sO6w0DoSBG7S0kUnt&#10;6P3I6sgfBzmZcHx08aVcnlPWr7+G9U8AAAD//wMAUEsDBBQABgAIAAAAIQAckTCP4QAAAAoBAAAP&#10;AAAAZHJzL2Rvd25yZXYueG1sTI9Ra8IwFIXfB/sP4Q72MmaihShdUxmbMvYizAniW2yubbG56Zq0&#10;1n+/+LQ9Hu7Hud/JlqNt2ICdrx0pmE4EMKTCmZpKBbvv9fMCmA+ajG4coYIreljm93eZTo270BcO&#10;21CyWEI+1QqqENqUc19UaLWfuBYp3k6uszrE2JXcdPoSy23DZ0JIbnVN8UOlW3yrsDhve6tgc93T&#10;z0cvTsNnuzjszpvV+/pppdTjw/j6AizgGP5guOlHdcij09H1ZDxrYp4mkVQgZSKB3YC5jOOOCuaz&#10;RADPM/5/Qv4LAAD//wMAUEsBAi0AFAAGAAgAAAAhALaDOJL+AAAA4QEAABMAAAAAAAAAAAAAAAAA&#10;AAAAAFtDb250ZW50X1R5cGVzXS54bWxQSwECLQAUAAYACAAAACEAOP0h/9YAAACUAQAACwAAAAAA&#10;AAAAAAAAAAAvAQAAX3JlbHMvLnJlbHNQSwECLQAUAAYACAAAACEAuiya7zgCAABiBAAADgAAAAAA&#10;AAAAAAAAAAAuAgAAZHJzL2Uyb0RvYy54bWxQSwECLQAUAAYACAAAACEAHJEwj+EAAAAKAQAADwAA&#10;AAAAAAAAAAAAAACSBAAAZHJzL2Rvd25yZXYueG1sUEsFBgAAAAAEAAQA8wAAAKAFAAAAAA==&#10;" strokeweight="1pt">
            <v:textbox>
              <w:txbxContent>
                <w:p w:rsidR="005A63D9" w:rsidRDefault="005A63D9" w:rsidP="003E3A14">
                  <w:pPr>
                    <w:spacing w:after="144"/>
                    <w:jc w:val="center"/>
                  </w:pPr>
                  <w:r>
                    <w:rPr>
                      <w:sz w:val="14"/>
                      <w:szCs w:val="14"/>
                    </w:rPr>
                    <w:t>Odbor finanční</w:t>
                  </w:r>
                </w:p>
                <w:p w:rsidR="005A63D9" w:rsidRDefault="005A63D9" w:rsidP="003E3A14">
                  <w:pPr>
                    <w:spacing w:after="144"/>
                  </w:pPr>
                </w:p>
              </w:txbxContent>
            </v:textbox>
          </v:shape>
        </w:pict>
      </w:r>
      <w:r>
        <w:rPr>
          <w:noProof/>
          <w:lang w:eastAsia="cs-CZ"/>
        </w:rPr>
        <w:pict>
          <v:shape id="Přímá spojnice se šipkou 238" o:spid="_x0000_s1065" type="#_x0000_t32" style="position:absolute;left:0;text-align:left;margin-left:389.95pt;margin-top:160.35pt;width:17.55pt;height:2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CthQAIAAFYEAAAOAAAAZHJzL2Uyb0RvYy54bWysVEtu2zAQ3RfoHQjubVnyJ45gOSgku5u0&#10;NZD0ALRIWWwkDkHSlo2iB+kyB+gpgtyrQ/qDJN0URbWghhrOmzczj5rd7NuG7ISxElRG4/6AEqFK&#10;4FJtMvr1ftmbUmIdU5w1oERGD8LSm/n7d7NOpyKBGhouDEEQZdNOZ7R2TqdRZMtatMz2QQuFzgpM&#10;yxxuzSbihnWI3jZRMhhMog4M1wZKYS1+LY5OOg/4VSVK96WqrHCkyShyc2E1YV37NZrPWLoxTNey&#10;PNFg/8CiZVJh0gtUwRwjWyP/gGplacBC5foltBFUlSxFqAGriQdvqrmrmRahFmyO1Zc22f8HW37e&#10;rQyRPKPJEEelWItDWj3/fPrVPj0Sq+GbQobECvL8KPUDbIk/h13rtE0xOFcr4+su9+pO30L5YImC&#10;vGZqIwL7+4NGwNhHRK9C/MZqzL3uPgHHM2zrILRwX5nWQ2JzyD5M6nCZlNg7UuLHJEmm0zElJbqS&#10;6fhqHCYZsfQcrI11HwW0xBsZtc4wualdDkqhJsDEIRXb3VrnqbH0HOAzK1jKpgnSaBTpMjoZYgLv&#10;sdBI7p1hYzbrvDFkx7y4whPqfHPMwFbxAFYLxhcn2zHZHG1M3iiPh8UhnZN1VM/368H1YrqYjnqj&#10;ZLLojQZF0fuwzEe9yTK+GhfDIs+L+IenFo/SWnIulGd3VnI8+julnO7UUYMXLV/aEL1GD/1Csud3&#10;IB2m6wd6lMYa+GFlzlNH8YbDp4vmb8fLPdovfwfz3wAAAP//AwBQSwMEFAAGAAgAAAAhAJGavzvh&#10;AAAACwEAAA8AAABkcnMvZG93bnJldi54bWxMj01PwzAMhu9I/IfISNxYuqKtW2k6oQESpwkGAnHL&#10;GtNUNE7VpB/8e8wJjrYfvX7eYje7VozYh8aTguUiAYFUedNQreD15eFqAyJETUa3nlDBNwbYledn&#10;hc6Nn+gZx2OsBYdQyLUCG2OXSxkqi06Hhe+Q+Pbpe6cjj30tTa8nDnetTJNkLZ1uiD9Y3eHeYvV1&#10;HJwCpx/9kNr9eHib757M9EHV4f5dqcuL+fYGRMQ5/sHwq8/qULLTyQ9kgmgVZNl2y6iC6zTJQDCx&#10;Wa643Yk361UGsizk/w7lDwAAAP//AwBQSwECLQAUAAYACAAAACEAtoM4kv4AAADhAQAAEwAAAAAA&#10;AAAAAAAAAAAAAAAAW0NvbnRlbnRfVHlwZXNdLnhtbFBLAQItABQABgAIAAAAIQA4/SH/1gAAAJQB&#10;AAALAAAAAAAAAAAAAAAAAC8BAABfcmVscy8ucmVsc1BLAQItABQABgAIAAAAIQApgCthQAIAAFYE&#10;AAAOAAAAAAAAAAAAAAAAAC4CAABkcnMvZTJvRG9jLnhtbFBLAQItABQABgAIAAAAIQCRmr874QAA&#10;AAsBAAAPAAAAAAAAAAAAAAAAAJoEAABkcnMvZG93bnJldi54bWxQSwUGAAAAAAQABADzAAAAqAUA&#10;AAAA&#10;" strokeweight=".5pt"/>
        </w:pict>
      </w:r>
      <w:r>
        <w:rPr>
          <w:noProof/>
          <w:lang w:eastAsia="cs-CZ"/>
        </w:rPr>
        <w:pict>
          <v:shape id="Přímá spojnice se šipkou 237" o:spid="_x0000_s1066" type="#_x0000_t32" style="position:absolute;left:0;text-align:left;margin-left:339.1pt;margin-top:160.35pt;width:9.9pt;height:22.5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mALRQIAAGAEAAAOAAAAZHJzL2Uyb0RvYy54bWysVEtu2zAQ3RfoHQjubVn+R7AcFJLdLtLW&#10;QNID0CRlsaFIgqQtG0UP0mUO0FMEuVeH9KdJuimKakENNZw3b2YeNbveNxLtuHVCqxyn3R5GXFHN&#10;hNrk+MvdsjPFyHmiGJFa8RwfuMPX87dvZq3JeF/XWjJuEYAol7Umx7X3JksSR2veENfVhitwVto2&#10;xMPWbhJmSQvojUz6vd44abVlxmrKnYOv5dGJ5xG/qjj1n6vKcY9kjoGbj6uN6zqsyXxGso0lphb0&#10;RIP8A4uGCAVJL1Al8QRtrfgDqhHUaqcr36W6SXRVCcpjDVBN2ntVzW1NDI+1QHOcubTJ/T9Y+mm3&#10;skiwHPcHE4wUaWBIq6cfjz+bxwfkjP6qgCFyHD09CHOvtyicg661xmUQXKiVDXXTvbo1N5reO6R0&#10;URO14ZH93cEAYBoikhchYeMM5F63HzWDM2TrdWzhvrINqqQwH0JgAIc2oX2c2eEyM773iMLHtD+a&#10;DGCyFFz96WgyijNNSBZgQrCxzr/nukHByLHzlohN7QutFKhD22MKsrtxPpD8HRCClV4KKaNIpEJt&#10;jscDSBA8TkvBgjNu7GZdSIt2JMgsPrHiV8es3ioWwWpO2OJkeyLk0YbkUgU8KA7onKyjjr5d9a4W&#10;08V02Bn2x4vOsFeWnXfLYtgZL9PJqByURVGm3wO1dJjVgjGuAruzptPh32nmdLuOaryo+tKG5CV6&#10;7BeQPb8j6TjnMNqjSNaaHVb2PH+QcTx8unLhnjzfg/38xzD/BQAA//8DAFBLAwQUAAYACAAAACEA&#10;ynMSJOAAAAALAQAADwAAAGRycy9kb3ducmV2LnhtbEyPy07DMBBF90j8gzVIbBC1CSIv4lQIhFSx&#10;a8uCpRMPSYQfUey2hq9nWJXlzBzdObdZJ2vYEZcweSfhbiWAoeu9ntwg4X3/elsCC1E5rYx3KOEb&#10;A6zby4tG1dqf3BaPuzgwCnGhVhLGGOea89CPaFVY+Rkd3T79YlWkcRm4XtSJwq3hmRA5t2py9GFU&#10;Mz6P2H/tDlbCS6ri5ubjR2yN2Yi072J4Gyopr6/S0yOwiCmeYfjTJ3VoyanzB6cDMxLyoswIlXCf&#10;iQIYEXlVUruONvlDAbxt+P8O7S8AAAD//wMAUEsBAi0AFAAGAAgAAAAhALaDOJL+AAAA4QEAABMA&#10;AAAAAAAAAAAAAAAAAAAAAFtDb250ZW50X1R5cGVzXS54bWxQSwECLQAUAAYACAAAACEAOP0h/9YA&#10;AACUAQAACwAAAAAAAAAAAAAAAAAvAQAAX3JlbHMvLnJlbHNQSwECLQAUAAYACAAAACEAxnpgC0UC&#10;AABgBAAADgAAAAAAAAAAAAAAAAAuAgAAZHJzL2Uyb0RvYy54bWxQSwECLQAUAAYACAAAACEAynMS&#10;JOAAAAALAQAADwAAAAAAAAAAAAAAAACfBAAAZHJzL2Rvd25yZXYueG1sUEsFBgAAAAAEAAQA8wAA&#10;AKwFAAAAAA==&#10;" strokeweight=".5pt"/>
        </w:pict>
      </w:r>
      <w:r>
        <w:rPr>
          <w:noProof/>
          <w:lang w:eastAsia="cs-CZ"/>
        </w:rPr>
        <w:pict>
          <v:shape id="Přímá spojnice se šipkou 236" o:spid="_x0000_s1067" type="#_x0000_t32" style="position:absolute;left:0;text-align:left;margin-left:256.3pt;margin-top:82.05pt;width:69.75pt;height:33.3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kKQgIAAFYEAAAOAAAAZHJzL2Uyb0RvYy54bWysVEtu2zAQ3RfoHQjuHX0iu44QOSgku5u0&#10;NZD0ADRFWWwkDkHSlo2iB+kyB+gpgtyrQ/qDpN0URbWghhrOmzczj7q+2fUd2QpjJaiCJhcxJUJx&#10;qKVaF/TL/WI0pcQ6pmrWgRIF3QtLb2Zv31wPOhcptNDVwhAEUTYfdEFb53QeRZa3omf2ArRQ6GzA&#10;9Mzh1qyj2rAB0fsuSuN4Eg1gam2AC2vxa3Vw0lnAbxrB3eemscKRrqDIzYXVhHXl12h2zfK1YbqV&#10;/EiD/QOLnkmFSc9QFXOMbIz8A6qX3ICFxl1w6CNoGslFqAGrSeLfqrlrmRahFmyO1ec22f8Hyz9t&#10;l4bIuqDp5YQSxXoc0vL5x9PP/umRWA1fFTIkVpDnR6kfYEP8OezaoG2OwaVaGl8336k7fQv8wRIF&#10;ZcvUWgT293uNgImPiF6F+I3VmHs1fIQaz7CNg9DCXWN6D4nNIbswqf15UmLnCMeP0+l4mo4p4ejK&#10;0vQqCZOMWH4K1sa6DwJ64o2CWmeYXLeuBKVQE2CSkIptb63z1Fh+CvCZFSxk1wVpdIoMBZ1cjuMQ&#10;YKGTtXf6Y9asV2VnyJZ5cYUn1Imel8cMbFQdwFrB6vnRdkx2BxuTd8rjYXFI52gd1PPtKr6aT+fT&#10;bJSlk/koi6tq9H5RZqPJInk3ri6rsqyS755akuWtrGuhPLuTkpPs75RyvFMHDZ61fG5D9Bo99AvJ&#10;nt6BdJiuH+hBGiuo90tzmjqKNxw+XjR/O17u0X75O5j9AgAA//8DAFBLAwQUAAYACAAAACEALAC5&#10;sOAAAAALAQAADwAAAGRycy9kb3ducmV2LnhtbEyPTUvEMBCG74L/IYzgzU0b3Sq16SKrgqdlXUXx&#10;NtvEtthMSpN++O8dT3qb4X1455lis7hOTHYIrScN6SoBYanypqVaw+vL48UNiBCRDHaerIZvG2BT&#10;np4UmBs/07OdDrEWXEIhRw1NjH0uZaga6zCsfG+Js08/OIy8DrU0A85c7jqpkiSTDlviCw32dtvY&#10;6uswOg0On/yomu20e1vu92b+oGr38K71+dlydwsi2iX+wfCrz+pQstPRj2SC6DSsU5UxykF2lYJg&#10;IlsrHo4a1GVyDbIs5P8fyh8AAAD//wMAUEsBAi0AFAAGAAgAAAAhALaDOJL+AAAA4QEAABMAAAAA&#10;AAAAAAAAAAAAAAAAAFtDb250ZW50X1R5cGVzXS54bWxQSwECLQAUAAYACAAAACEAOP0h/9YAAACU&#10;AQAACwAAAAAAAAAAAAAAAAAvAQAAX3JlbHMvLnJlbHNQSwECLQAUAAYACAAAACEAv2TJCkICAABW&#10;BAAADgAAAAAAAAAAAAAAAAAuAgAAZHJzL2Uyb0RvYy54bWxQSwECLQAUAAYACAAAACEALAC5sOAA&#10;AAALAQAADwAAAAAAAAAAAAAAAACcBAAAZHJzL2Rvd25yZXYueG1sUEsFBgAAAAAEAAQA8wAAAKkF&#10;AAAAAA==&#10;" strokeweight=".5pt"/>
        </w:pict>
      </w:r>
      <w:r>
        <w:rPr>
          <w:noProof/>
          <w:lang w:eastAsia="cs-CZ"/>
        </w:rPr>
        <w:pict>
          <v:shape id="Přímá spojnice se šipkou 235" o:spid="_x0000_s1068" type="#_x0000_t32" style="position:absolute;left:0;text-align:left;margin-left:100.15pt;margin-top:84.3pt;width:85.95pt;height:31.0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MSAIAAGEEAAAOAAAAZHJzL2Uyb0RvYy54bWysVMGO0zAQvSPxD1bubZI2LW206QolLRwW&#10;qLTLB7i205h1bMt2m1aID+G4H8BXrPa/GDvd0oULQuTgjDMzz29mnnN1fWgF2jNjuZJFlA6TCDFJ&#10;FOVyW0Sf71aDWYSsw5JioSQroiOz0fXi9aurTudspBolKDMIQKTNO11EjXM6j2NLGtZiO1SaSXDW&#10;yrTYwdZsY2pwB+itiEdJMo07Zag2ijBr4WvVO6NFwK9rRtynurbMIVFEwM2F1YR149d4cYXzrcG6&#10;4eREA/8DixZzCYeeoSrsMNoZ/gdUy4lRVtVuSFQbq7rmhIUaoJo0+a2a2wZrFmqB5lh9bpP9f7Dk&#10;435tEKdFNBpPIiRxC0NaP31//NE+PiCr1RcJDJFl6OmB63u1Qz4OutZpm0NyKdfG100O8lbfKHJv&#10;kVRlg+WWBfZ3Rw2Aqc+IX6T4jdVw9qb7oCjE4J1ToYWH2rSoFly/94keHNqEDmFmx/PM2MEhAh/T&#10;ZJ5OpkCdgG88z8Y9vRjnHsdna2PdO6Za5I0iss5gvm1cqaQEeSjTn4H3N9Z5lr8SfLJUKy5EUImQ&#10;qCui6XiSBFJWCU6904dZs92UwqA99joLTygZPJdhRu0kDWANw3R5sh3morfhcCE9HlQHdE5WL6Sv&#10;82S+nC1n2SAbTZeDLKmqwdtVmQ2mq/TNpBpXZVml3zy1NMsbTimTnt2zqNPs70Rzul69HM+yPrch&#10;foke+gVkn9+BdBi0n22vko2ix7V5FgDoOASf7py/KJd7sC//DIufAAAA//8DAFBLAwQUAAYACAAA&#10;ACEARcleS98AAAALAQAADwAAAGRycy9kb3ducmV2LnhtbEyPwU7DMBBE70j8g7VIXBC1SaS0DXEq&#10;BEKquLXlwNGJlyTCXkex2wa+nuVEj6v3NDNbbWbvxAmnOATS8LBQIJDaYAfqNLwfXu9XIGIyZI0L&#10;hBq+McKmvr6qTGnDmXZ42qdOcAjF0mjoUxpLKWPbozdxEUYkZp9h8ibxOXXSTubM4d7JTKlCejMQ&#10;N/RmxOce26/90Wt4mddpe/fxo3bObdV8aFJ869Za397MT48gEs7pX4a/+Twdat7UhCPZKJwGTs9Z&#10;ZVCsChBs5MssA9EwytUSZF3Jyx/qXwAAAP//AwBQSwECLQAUAAYACAAAACEAtoM4kv4AAADhAQAA&#10;EwAAAAAAAAAAAAAAAAAAAAAAW0NvbnRlbnRfVHlwZXNdLnhtbFBLAQItABQABgAIAAAAIQA4/SH/&#10;1gAAAJQBAAALAAAAAAAAAAAAAAAAAC8BAABfcmVscy8ucmVsc1BLAQItABQABgAIAAAAIQBzAj+M&#10;SAIAAGEEAAAOAAAAAAAAAAAAAAAAAC4CAABkcnMvZTJvRG9jLnhtbFBLAQItABQABgAIAAAAIQBF&#10;yV5L3wAAAAsBAAAPAAAAAAAAAAAAAAAAAKIEAABkcnMvZG93bnJldi54bWxQSwUGAAAAAAQABADz&#10;AAAArgUAAAAA&#10;" strokeweight=".5pt"/>
        </w:pict>
      </w:r>
      <w:r>
        <w:rPr>
          <w:noProof/>
          <w:lang w:eastAsia="cs-CZ"/>
        </w:rPr>
        <w:pict>
          <v:shape id="Přímá spojnice se šipkou 234" o:spid="_x0000_s1069" type="#_x0000_t32" style="position:absolute;left:0;text-align:left;margin-left:221.65pt;margin-top:37.5pt;width:0;height:12.6pt;z-index:2516838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ZNvPAIAAFEEAAAOAAAAZHJzL2Uyb0RvYy54bWysVEtu2zAQ3RfoHQjuHUmO4iZC5KCQ7G7S&#10;1kDSA9AkZbGROARJWzaKHqTLHKCnCHKvDukPknZTFPWCHpIzb97MPOr6Ztt3ZCOtU6BLmp2llEjN&#10;QSi9KumX+/nokhLnmRasAy1LupOO3kzfvrkeTCHH0EInpCUIol0xmJK23psiSRxvZc/cGRip8bIB&#10;2zOPW7tKhGUDovddMk7TSTKAFcYCl87hab2/pNOI3zSS+89N46QnXUmRm4+rjesyrMn0mhUry0yr&#10;+IEG+wcWPVMak56gauYZWVv1B1SvuAUHjT/j0CfQNIrLWANWk6W/VXPXMiNjLdgcZ05tcv8Pln/a&#10;LCxRoqTj85wSzXoc0uL5x9PP/umROANfNTIkTpLnR2UeYE2CH3ZtMK7A4EovbKibb/WduQX+4IiG&#10;qmV6JSP7+51BwCxEJK9CwsYZzL0cPoJAH7b2EFu4bWwfILE5ZBsntTtNSm494ftDjqfZJE3HcYgJ&#10;K45xxjr/QUJPglFS5y1Tq9ZXoDXKAWwWs7DNrfOBFSuOASGphrnquqiKTpOhpFcX44sY4KBTIlwG&#10;N2dXy6qzZMOCruIvlog3L90srLWIYK1kYnawPVPd3sbknQ54WBfSOVh74Xy7Sq9ml7PLfJSPJ7NR&#10;ntb16P28ykeTefbuoj6vq6rOvgdqWV60SgipA7ujiLP870RyeE57+Z1kfGpD8ho99gvJHv8j6TjY&#10;MMu9KpYgdgt7HDjqNjof3lh4GC/3aL/8Ekx/AQAA//8DAFBLAwQUAAYACAAAACEAH9sVFd4AAAAK&#10;AQAADwAAAGRycy9kb3ducmV2LnhtbEyPTW/CMAyG75P2HyIj7TKNhAL76JoiNGmHHQdIXEPjtR2N&#10;UzUp7fj187QDHG0/ev282Wp0jThhF2pPGmZTBQKp8LamUsNu+/7wDCJEQ9Y0nlDDDwZY5bc3mUmt&#10;H+gTT5tYCg6hkBoNVYxtKmUoKnQmTH2LxLcv3zkTeexKaTszcLhrZKLUo3SmJv5QmRbfKiyOm95p&#10;wNAvZ2r94srdx3m43yfn76Hdan03GdevICKO8QLDnz6rQ85OB9+TDaLRsFjM54xqeFpyJwb+Fwcm&#10;lUpA5pm8rpD/AgAA//8DAFBLAQItABQABgAIAAAAIQC2gziS/gAAAOEBAAATAAAAAAAAAAAAAAAA&#10;AAAAAABbQ29udGVudF9UeXBlc10ueG1sUEsBAi0AFAAGAAgAAAAhADj9If/WAAAAlAEAAAsAAAAA&#10;AAAAAAAAAAAALwEAAF9yZWxzLy5yZWxzUEsBAi0AFAAGAAgAAAAhAOiVk288AgAAUQQAAA4AAAAA&#10;AAAAAAAAAAAALgIAAGRycy9lMm9Eb2MueG1sUEsBAi0AFAAGAAgAAAAhAB/bFRXeAAAACgEAAA8A&#10;AAAAAAAAAAAAAAAAlgQAAGRycy9kb3ducmV2LnhtbFBLBQYAAAAABAAEAPMAAAChBQAAAAA=&#10;"/>
        </w:pict>
      </w:r>
      <w:r>
        <w:rPr>
          <w:noProof/>
          <w:lang w:eastAsia="cs-CZ"/>
        </w:rPr>
        <w:pict>
          <v:shape id="Přímá spojnice se šipkou 233" o:spid="_x0000_s1070" type="#_x0000_t32" style="position:absolute;left:0;text-align:left;margin-left:256.3pt;margin-top:22.2pt;width:25.65pt;height:21.6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aJ2QgIAAFYEAAAOAAAAZHJzL2Uyb0RvYy54bWysVEtu2zAQ3RfoHQjuHX0sO4kQOSgku5t+&#10;DCQ9AE1RFhuJQ5C0ZaPoQbrMAXqKIPfqkP4gaTdFUS2ooYbz5s3Mo25ud31HtsJYCaqgyUVMiVAc&#10;aqnWBf1yvxhdUWIdUzXrQImC7oWlt7O3b24GnYsUWuhqYQiCKJsPuqCtczqPIstb0TN7AVoodDZg&#10;euZwa9ZRbdiA6H0XpXE8jQYwtTbAhbX4tTo46SzgN43g7nPTWOFIV1Dk5sJqwrryazS7YfnaMN1K&#10;fqTB/oFFz6TCpGeoijlGNkb+AdVLbsBC4y449BE0jeQi1IDVJPFv1dy1TItQCzbH6nOb7P+D5Z+2&#10;S0NkXdB0PKZEsR6HtHz+8fSzf3okVsNXhQyJFeT5UeoH2BB/Drs2aJtjcKmWxtfNd+pOfwD+YImC&#10;smVqLQL7+71GwMRHRK9C/MZqzL0aPkKNZ9jGQWjhrjG9h8TmkF2Y1P48KbFzhOPHcTq5nEwo4ehK&#10;L7NxGiYZsfwUrI117wX0xBsFtc4wuW5dCUqhJsAkIRXbfrDOU2P5KcBnVrCQXRek0SkyFHQ6nsQh&#10;wEIna+/0x6xZr8rOkC3z4gpPqBM9L48Z2Kg6gLWC1fOj7ZjsDjYm75THw+KQztE6qOfbdXw9v5pf&#10;ZaMsnc5HWVxVo3eLMhtNF8nlpBpXZVkl3z21JMtbWddCeXYnJSfZ3ynleKcOGjxr+dyG6DV66BeS&#10;Pb0D6TBdP9CDNFZQ75fmNHUUbzh8vGj+drzco/3ydzD7BQAA//8DAFBLAwQUAAYACAAAACEAmWJb&#10;PuAAAAAJAQAADwAAAGRycy9kb3ducmV2LnhtbEyPy07DMBBF90j8gzVI7KjTkIYSMqlQAYlVBW0F&#10;YjeNTRIRj6PYefD3mBUsR/fo3jP5ZjatGHXvGssIy0UEQnNpVcMVwvHwdLUG4TyxotayRvjWDjbF&#10;+VlOmbITv+px7ysRSthlhFB732VSurLWhtzCdppD9ml7Qz6cfSVVT1MoN62MoyiVhhoOCzV1elvr&#10;8ms/GARDz3aI6+24e5sfXtT0weXu8R3x8mK+vwPh9ez/YPjVD+pQBKeTHVg50SKslnEaUIQkSUAE&#10;YJVe34I4IaxvUpBFLv9/UPwAAAD//wMAUEsBAi0AFAAGAAgAAAAhALaDOJL+AAAA4QEAABMAAAAA&#10;AAAAAAAAAAAAAAAAAFtDb250ZW50X1R5cGVzXS54bWxQSwECLQAUAAYACAAAACEAOP0h/9YAAACU&#10;AQAACwAAAAAAAAAAAAAAAAAvAQAAX3JlbHMvLnJlbHNQSwECLQAUAAYACAAAACEAOqmidkICAABW&#10;BAAADgAAAAAAAAAAAAAAAAAuAgAAZHJzL2Uyb0RvYy54bWxQSwECLQAUAAYACAAAACEAmWJbPuAA&#10;AAAJAQAADwAAAAAAAAAAAAAAAACcBAAAZHJzL2Rvd25yZXYueG1sUEsFBgAAAAAEAAQA8wAAAKkF&#10;AAAAAA==&#10;" strokeweight=".5pt"/>
        </w:pict>
      </w:r>
      <w:r>
        <w:rPr>
          <w:noProof/>
          <w:lang w:eastAsia="cs-CZ"/>
        </w:rPr>
        <w:pict>
          <v:shape id="Přímá spojnice se šipkou 232" o:spid="_x0000_s1071" type="#_x0000_t32" style="position:absolute;left:0;text-align:left;margin-left:153.25pt;margin-top:22.2pt;width:32.85pt;height:21.6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4B3SQIAAGAEAAAOAAAAZHJzL2Uyb0RvYy54bWysVEtu2zAQ3RfoHQjuHX2sOIkQOSgku12k&#10;rYGkB6BJymJDkQRJWzaKHiTLHKCnCHKvDmnHTdpNUVQLaqiZeXwz86jLq20v0YZbJ7SqcHaSYsQV&#10;1UyoVYW/3M5H5xg5TxQjUite4R13+Gr69s3lYEqe605Lxi0CEOXKwVS4896USeJox3viTrThCpyt&#10;tj3xsLWrhFkyAHovkzxNJ8mgLTNWU+4cfG32TjyN+G3Lqf/cto57JCsM3HxcbVyXYU2ml6RcWWI6&#10;QQ80yD+w6IlQcOgRqiGeoLUVf0D1glrtdOtPqO4T3baC8lgDVJOlv1Vz0xHDYy3QHGeObXL/D5Z+&#10;2iwsEqzC+TjHSJEehrR4un/80T8+IGf0VwUMkePo6UGYO71GIQ66NhhXQnKtFjbUTbfqxlxreueQ&#10;0nVH1IpH9rc7A4BZyEhepYSNM3D2cvioGcSQtdexhdvW9qiVwnwIiQEc2oS2cWa748z41iMKH4vs&#10;LLs4xYiCKz8rxnmcaULKABOSjXX+Pdc9CkaFnbdErDpfa6VAHdrujyCba+cDyV8JIVnpuZAyikQq&#10;NFR4Mj5NIyenpWDBGcKcXS1radGGBJnFJ1YMnpdhVq8Vi2AdJ2x2sD0Rcm/D4VIFPCgO6BysvY6+&#10;XaQXs/PZeTEq8slsVKRNM3o3r4vRZJ6dnTbjpq6b7HuglhVlJxjjKrB71nRW/J1mDrdrr8ajqo9t&#10;SF6jx34B2ed3JB3nHEa7F8lSs93CPs8fZByDD1cu3JOXe7Bf/himPwEAAP//AwBQSwMEFAAGAAgA&#10;AAAhAIICX0bgAAAACQEAAA8AAABkcnMvZG93bnJldi54bWxMj8FOwzAQRO9I/IO1SFwQtUlD2oZs&#10;KgSqVHFry4GjE5skwl5Hsdsavh73BMfVPM28rdbRGnbSkx8cITzMBDBNrVMDdQjvh839EpgPkpQ0&#10;jjTCt/awrq+vKlkqd6adPu1Dx1IJ+VIi9CGMJee+7bWVfuZGTSn7dJOVIZ1Tx9Ukz6ncGp4JUXAr&#10;B0oLvRz1S6/br/3RIrzGVdjeffyInTFbEQ9N8G/dCvH2Jj4/AQs6hj8YLvpJHerk1LgjKc8MwlwU&#10;jwlFyPMcWALmiywD1iAsFwXwuuL/P6h/AQAA//8DAFBLAQItABQABgAIAAAAIQC2gziS/gAAAOEB&#10;AAATAAAAAAAAAAAAAAAAAAAAAABbQ29udGVudF9UeXBlc10ueG1sUEsBAi0AFAAGAAgAAAAhADj9&#10;If/WAAAAlAEAAAsAAAAAAAAAAAAAAAAALwEAAF9yZWxzLy5yZWxzUEsBAi0AFAAGAAgAAAAhABKr&#10;gHdJAgAAYAQAAA4AAAAAAAAAAAAAAAAALgIAAGRycy9lMm9Eb2MueG1sUEsBAi0AFAAGAAgAAAAh&#10;AIICX0bgAAAACQEAAA8AAAAAAAAAAAAAAAAAowQAAGRycy9kb3ducmV2LnhtbFBLBQYAAAAABAAE&#10;APMAAACwBQAAAAA=&#10;" strokeweight=".5pt"/>
        </w:pict>
      </w:r>
      <w:r>
        <w:rPr>
          <w:noProof/>
          <w:lang w:eastAsia="cs-CZ"/>
        </w:rPr>
        <w:pict>
          <v:shape id="Přímá spojnice se šipkou 231" o:spid="_x0000_s1072" type="#_x0000_t32" style="position:absolute;left:0;text-align:left;margin-left:243.25pt;margin-top:160.35pt;width:18pt;height:2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UJbQgIAAFYEAAAOAAAAZHJzL2Uyb0RvYy54bWysVEtu2zAQ3RfoHQjtHX38iSNEDgrJ7iZt&#10;DSQ9AE1SFhuJQ5C0ZaPoQbrMAXKKIPfqkP60aTdFUS0oUjPz5s3Mo65vdl1LtsJYCaqI0oskIkIx&#10;4FKti+jz/WIwjYh1VHHaghJFtBc2upm9fXPd61xk0EDLhSEIomze6yJqnNN5HFvWiI7aC9BCobEG&#10;01GHR7OOuaE9ondtnCXJJO7BcG2ACWvxa3UwRrOAX9eCuU91bYUjbREhNxdWE9aVX+PZNc3XhupG&#10;siMN+g8sOioVJj1DVdRRsjHyD6hOMgMWanfBoIuhriUToQasJk1+q+auoVqEWrA5Vp/bZP8fLPu4&#10;XRoieRFlwzQiinY4pOXL9+en7vmRWA1fFDIkVpCXR6kfYEO8H3at1zbH4FItja+b7dSdvgX2YImC&#10;sqFqLQL7+71GwBARvwrxB6sx96r/ABx96MZBaOGuNp2HxOaQXZjU/jwpsXOE4ccsm04SnCdDUzYd&#10;X47DJGOan4K1se69gI74TRFZZ6hcN64EpVATYNKQim5vrcNiMPAU4DMrWMi2DdJoFemLaDLEBN5i&#10;oZXcG8PBrFdla8iWenGFx3cGwV65GdgoHsAaQfn8uHdUtoc9+rfK42FxSOe4O6jn61VyNZ/Op6PB&#10;KJvMB6OkqgbvFuVoMFmkl+NqWJVllX7z1NJR3kjOhfLsTkpOR3+nlOOdOmjwrOVzG+LX6KFEJHt6&#10;B9Jhun6gB2msgO+XxnfDDxrFG5yPF83fjl/Pwevn72D2AwAA//8DAFBLAwQUAAYACAAAACEARvri&#10;UOAAAAALAQAADwAAAGRycy9kb3ducmV2LnhtbEyPTU/DMAyG70j8h8hI3FhKod1Umk5ogMRpgoFA&#10;3LwmNBWNUzXpB/8ec4KjXz96/bjcLq4TkxlC60nB5SoBYaj2uqVGwevLw8UGRIhIGjtPRsG3CbCt&#10;Tk9KLLSf6dlMh9gILqFQoAIbY19IGWprHIaV7w3x7tMPDiOPQyP1gDOXu06mSZJLhy3xBYu92VlT&#10;fx1Gp8Dhox9Tu5v2b8vdk54/qN7fvyt1frbc3oCIZol/MPzqszpU7HT0I+kgOgXXmzxjVMFVmqxB&#10;MJGlKSdHTvJsDbIq5f8fqh8AAAD//wMAUEsBAi0AFAAGAAgAAAAhALaDOJL+AAAA4QEAABMAAAAA&#10;AAAAAAAAAAAAAAAAAFtDb250ZW50X1R5cGVzXS54bWxQSwECLQAUAAYACAAAACEAOP0h/9YAAACU&#10;AQAACwAAAAAAAAAAAAAAAAAvAQAAX3JlbHMvLnJlbHNQSwECLQAUAAYACAAAACEAvY1CW0ICAABW&#10;BAAADgAAAAAAAAAAAAAAAAAuAgAAZHJzL2Uyb0RvYy54bWxQSwECLQAUAAYACAAAACEARvriUOAA&#10;AAALAQAADwAAAAAAAAAAAAAAAACcBAAAZHJzL2Rvd25yZXYueG1sUEsFBgAAAAAEAAQA8wAAAKkF&#10;AAAAAA==&#10;" strokeweight=".5pt"/>
        </w:pict>
      </w:r>
      <w:r>
        <w:rPr>
          <w:noProof/>
          <w:lang w:eastAsia="cs-CZ"/>
        </w:rPr>
        <w:pict>
          <v:shape id="Přímá spojnice se šipkou 230" o:spid="_x0000_s1073" type="#_x0000_t32" style="position:absolute;left:0;text-align:left;margin-left:221.65pt;margin-top:160.35pt;width:0;height:60.3pt;z-index:2516797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B0OwIAAFEEAAAOAAAAZHJzL2Uyb0RvYy54bWysVEtu2zAQ3RfoHQjtHUn+xREsB4Vkd5O2&#10;BpIegCYpi43EIUjaslH0IF3mADlFkHt1SH/gtJuiqBf0kJx582bmUdPbXduQrTBWgsqj9CqJiFAM&#10;uFTrPPr6sOhNImIdVZw2oEQe7YWNbmfv3007nYk+1NBwYQiCKJt1Oo9q53QWx5bVoqX2CrRQeFmB&#10;aanDrVnH3NAO0dsm7ifJOO7AcG2ACWvxtDxcRrOAX1WCuS9VZYUjTR4hNxdWE9aVX+PZlGZrQ3Ut&#10;2ZEG/QcWLZUKk56hSuoo2Rj5B1QrmQELlbti0MZQVZKJUANWkya/VXNfUy1CLdgcq89tsv8Pln3e&#10;Lg2RPI/6A+yPoi0Oafn68+W5fXkiVsM3hQyJFeT1SepH2BDvh13rtM0wuFBL4+tmO3Wv74A9WqKg&#10;qKlai8D+Ya8RMPUR8ZsQv7Eac6+6T8DRh24chBbuKtN6SGwO2YVJ7c+TEjtH2OGQ4en1eDRJA52Y&#10;Zqc4baz7KKAl3sgj6wyV69oVoBTKAUwastDtnXWeFc1OAT6pgoVsmqCKRpEuj8aDURICLDSS+0vv&#10;Zs16VTSGbKnXVfiFEvHm0s3ARvEAVgvK50fbUdkcbEzeKI+HdSGdo3UQzveb5GY+mU+GvWF/PO8N&#10;k7LsfVgUw954kV6PykFZFGX6w1NLh1ktORfKszuJOB3+nUiOz+kgv7OMz22I36KHfiHZ038gHQbr&#10;Z3lQxQr4fmlOA0fdBufjG/MP43KP9uWXYPYLAAD//wMAUEsDBBQABgAIAAAAIQAB+nWb3gAAAAsB&#10;AAAPAAAAZHJzL2Rvd25yZXYueG1sTI9NS8NAEIbvgv9hGcGb3TQpKjGbIlXBU9EqLd6m2TEbzM6G&#10;7ObDf+8WD3qbj4d3ninWs23FSL1vHCtYLhIQxJXTDdcK3t+erm5B+ICssXVMCr7Jw7o8Pysw127i&#10;Vxp3oRYxhH2OCkwIXS6lrwxZ9AvXEcfdp+sthtj2tdQ9TjHctjJNkmtpseF4wWBHG0PV126wCiw+&#10;uyE1m3G7nx9e9PTB1fbxoNTlxXx/ByLQHP5gOOlHdSij09ENrL1oFaxWWRZRBVma3ICIxO/keCqW&#10;GciykP9/KH8AAAD//wMAUEsBAi0AFAAGAAgAAAAhALaDOJL+AAAA4QEAABMAAAAAAAAAAAAAAAAA&#10;AAAAAFtDb250ZW50X1R5cGVzXS54bWxQSwECLQAUAAYACAAAACEAOP0h/9YAAACUAQAACwAAAAAA&#10;AAAAAAAAAAAvAQAAX3JlbHMvLnJlbHNQSwECLQAUAAYACAAAACEA0cFAdDsCAABRBAAADgAAAAAA&#10;AAAAAAAAAAAuAgAAZHJzL2Uyb0RvYy54bWxQSwECLQAUAAYACAAAACEAAfp1m94AAAALAQAADwAA&#10;AAAAAAAAAAAAAACVBAAAZHJzL2Rvd25yZXYueG1sUEsFBgAAAAAEAAQA8wAAAKAFAAAAAA==&#10;" strokeweight=".5pt"/>
        </w:pict>
      </w:r>
      <w:r>
        <w:rPr>
          <w:noProof/>
          <w:lang w:eastAsia="cs-CZ"/>
        </w:rPr>
        <w:pict>
          <v:shape id="Přímá spojnice se šipkou 229" o:spid="_x0000_s1074" type="#_x0000_t32" style="position:absolute;left:0;text-align:left;margin-left:186.1pt;margin-top:160.35pt;width:18pt;height:22.5pt;flip:x;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4DRgIAAGAEAAAOAAAAZHJzL2Uyb0RvYy54bWysVEtu2zAQ3RfoHQjubX3iOI5gOSgku12k&#10;rYGkB6BJymJDkQRJWzaKHqTLHKCnCHKvDmnHTdJNUVQLaqjhvHkz86jp1a6TaMutE1qVOBumGHFF&#10;NRNqXeIvt4vBBCPniWJEasVLvOcOX83evpn2puC5brVk3CIAUa7oTYlb702RJI62vCNuqA1X4Gy0&#10;7YiHrV0nzJIe0DuZ5Gk6TnptmbGacufga31w4lnEbxpO/eemcdwjWWLg5uNq47oKazKbkmJtiWkF&#10;PdIg/8CiI0JB0hNUTTxBGyv+gOoEtdrpxg+p7hLdNILyWANUk6WvqrlpieGxFmiOM6c2uf8HSz9t&#10;lxYJVuI8v8RIkQ6GtHz88fCze7hHzuivChgix9HjvTB3eoPCOehab1wBwZVa2lA33akbc63pnUNK&#10;Vy1Rax7Z3+4NAGYhInkREjbOQO5V/1EzOEM2XscW7hrboUYK8yEEBnBoE9rFme1PM+M7jyh8zPPJ&#10;OIXJUnDlk/OL8zjThBQBJgQb6/x7rjsUjBI7b4lYt77SSoE6tD2kINtr5wPJ3wEhWOmFkDKKRCrU&#10;l3h8BgmCx2kpWHDGjV2vKmnRlgSZxSdW/OqY1RvFIljLCZsfbU+EPNiQXKqAB8UBnaN10NG3y/Ry&#10;PplPRoNRPp4PRmldD94tqtFgvMguzuuzuqrq7Huglo2KVjDGVWD3pOls9HeaOd6ugxpPqj61IXmJ&#10;HvsFZJ/ekXSccxjtQSQrzfZL+zR/kHE8fLxy4Z4834P9/Mcw+wUAAP//AwBQSwMEFAAGAAgAAAAh&#10;AKd9087gAAAACwEAAA8AAABkcnMvZG93bnJldi54bWxMj81OwzAQhO9IvIO1SFwQtQnQtCFOhUBI&#10;Fbf+HHp0kiWJsNdR7LaGp2c5wW13ZjT7bblKzooTTmHwpOFupkAgNb4dqNOw373dLkCEaKg11hNq&#10;+MIAq+ryojRF68+0wdM2doJLKBRGQx/jWEgZmh6dCTM/IrH34SdnIq9TJ9vJnLncWZkpNZfODMQX&#10;ejPiS4/N5/boNLymZVzfHL7Vxtq1Srs6hvduqfX1VXp+AhExxb8w/OIzOlTMVPsjtUFYDfd5lnGU&#10;h0zlIDjxoBas1KzMH3OQVSn//1D9AAAA//8DAFBLAQItABQABgAIAAAAIQC2gziS/gAAAOEBAAAT&#10;AAAAAAAAAAAAAAAAAAAAAABbQ29udGVudF9UeXBlc10ueG1sUEsBAi0AFAAGAAgAAAAhADj9If/W&#10;AAAAlAEAAAsAAAAAAAAAAAAAAAAALwEAAF9yZWxzLy5yZWxzUEsBAi0AFAAGAAgAAAAhAGlxLgNG&#10;AgAAYAQAAA4AAAAAAAAAAAAAAAAALgIAAGRycy9lMm9Eb2MueG1sUEsBAi0AFAAGAAgAAAAhAKd9&#10;087gAAAACwEAAA8AAAAAAAAAAAAAAAAAoAQAAGRycy9kb3ducmV2LnhtbFBLBQYAAAAABAAEAPMA&#10;AACtBQAAAAA=&#10;" strokeweight=".5pt"/>
        </w:pict>
      </w:r>
      <w:r>
        <w:rPr>
          <w:noProof/>
          <w:lang w:eastAsia="cs-CZ"/>
        </w:rPr>
        <w:pict>
          <v:shape id="Přímá spojnice se šipkou 228" o:spid="_x0000_s1075" type="#_x0000_t32" style="position:absolute;left:0;text-align:left;margin-left:74.05pt;margin-top:160.35pt;width:22.5pt;height:2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6hFPQIAAFYEAAAOAAAAZHJzL2Uyb0RvYy54bWysVEtu2zAQ3RfoHQjtHVmK7TiC5aCQ7G7S&#10;1kDSA9AkJbGROARJWzaKHqTLHKCnCHKvDulPm3RTFPWCnuHMvHnzoWY3u64lW2GsBJVHycUwIkIx&#10;4FLVefT5fjmYRsQ6qjhtQYk82gsb3czfvpn1OhMpNNByYQiCKJv1Oo8a53QWx5Y1oqP2ArRQaKzA&#10;dNShauqYG9ojetfG6XA4iXswXBtgwlq8LQ/GaB7wq0ow96mqrHCkzSPk5sJpwrn2Zzyf0aw2VDeS&#10;HWnQf2DRUakw6RmqpI6SjZF/QHWSGbBQuQsGXQxVJZkINWA1yfBVNXcN1SLUgs2x+twm+/9g2cft&#10;yhDJ8yhNcVSKdjik1fP3px/d0yOxGr4oZEisIM+PUj/Ahng/7FqvbYbBhVoZXzfbqTt9C+zBEgVF&#10;Q1UtAvv7vUbAxEfEL0K8YjXmXvcfgKMP3TgILdxVpvOQ2ByyC5Panycldo4wvEyn46sxzpOh6Sj7&#10;DDQ7BWtj3XsBHfFCHllnqKwbV4BSuBNgkpCKbm+tOwSeAnxmBUvZtnhPs1aRPo8ml5jMqxZayb0x&#10;KKZeF60hW+qXK/xCna/cDGwUD2CNoHxxlB2V7UFG1q3yeFgc0jlKh+35ej28XkwX09FglE4Wg9Gw&#10;LAfvlsVoMFkmV+PysiyKMvnmqSWjrJGcC+XZnTY5Gf3dphzf1GEHz7t8bkP8Ej00Gsme/gPpMF0/&#10;0MNqrIHvV8a31g8alzc4Hx+afx2/68Hr1+dg/hMAAP//AwBQSwMEFAAGAAgAAAAhAL4H8hjfAAAA&#10;CwEAAA8AAABkcnMvZG93bnJldi54bWxMj81OwzAQhO9IvIO1SNyo0xTaEuJUqIDEqYKCQNzceIkj&#10;4nUUOz+8fbcnOM7sp9mZfDO5RgzYhdqTgvksAYFUelNTpeD97elqDSJETUY3nlDBLwbYFOdnuc6M&#10;H+kVh32sBIdQyLQCG2ObSRlKi06HmW+R+PbtO6cjy66SptMjh7tGpkmylE7XxB+sbnFrsfzZ906B&#10;08++T+122H1MDy9m/KJy9/ip1OXFdH8HIuIU/2A41efqUHCng+/JBNGwvl7PGVWwSJMViBNxu2Dn&#10;wM7yZgWyyOX/DcURAAD//wMAUEsBAi0AFAAGAAgAAAAhALaDOJL+AAAA4QEAABMAAAAAAAAAAAAA&#10;AAAAAAAAAFtDb250ZW50X1R5cGVzXS54bWxQSwECLQAUAAYACAAAACEAOP0h/9YAAACUAQAACwAA&#10;AAAAAAAAAAAAAAAvAQAAX3JlbHMvLnJlbHNQSwECLQAUAAYACAAAACEABIeoRT0CAABWBAAADgAA&#10;AAAAAAAAAAAAAAAuAgAAZHJzL2Uyb0RvYy54bWxQSwECLQAUAAYACAAAACEAvgfyGN8AAAALAQAA&#10;DwAAAAAAAAAAAAAAAACXBAAAZHJzL2Rvd25yZXYueG1sUEsFBgAAAAAEAAQA8wAAAKMFAAAAAA==&#10;" strokeweight=".5pt"/>
        </w:pict>
      </w:r>
      <w:r>
        <w:rPr>
          <w:noProof/>
          <w:lang w:eastAsia="cs-CZ"/>
        </w:rPr>
        <w:pict>
          <v:shape id="Přímá spojnice se šipkou 227" o:spid="_x0000_s1076" type="#_x0000_t32" style="position:absolute;left:0;text-align:left;margin-left:20.5pt;margin-top:160.35pt;width:24.3pt;height:22.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P7RgIAAGAEAAAOAAAAZHJzL2Uyb0RvYy54bWysVEFu2zAQvBfoHwjeHUmO4zhC5KCQ7PaQ&#10;tgaSPoAmKYuNxCVI2rJR9CE95gF9RZB/dUk7bpJeiqI6UEstd3Z2d6jLq23Xko20ToEuaHaSUiI1&#10;B6H0qqBfbueDCSXOMy1YC1oWdCcdvZq+fXPZm1wOoYFWSEsQRLu8NwVtvDd5kjjeyI65EzBSo7MG&#10;2zGPW7tKhGU9ondtMkzTcdKDFcYCl87h12rvpNOIX9eS+8917aQnbUGRm4+rjesyrMn0kuUry0yj&#10;+IEG+wcWHVMakx6hKuYZWVv1B1SnuAUHtT/h0CVQ14rLWANWk6WvqrlpmJGxFmyOM8c2uf8Hyz9t&#10;FpYoUdDh8JwSzToc0uLxx8PP7uGeOANfNTIkTpLHe2XuYE3COexab1yOwaVe2FA33+obcw38zhEN&#10;ZcP0Skb2tzuDgFmISF6EhI0zmHvZfwSBZ9jaQ2zhtrYdqVtlPoTAAI5tIts4s91xZnLrCcePp+lk&#10;nOFkObqGk7PzszjThOUBJgQb6/x7CR0JRkGdt0ytGl+C1qgOsPsUbHPtfCD5OyAEa5irto0iaTXp&#10;Czo+xQTB46BVIjjjxq6WZWvJhgWZxSdW/OqYhbUWEayRTMwOtmeq3duYvNUBD4tDOgdrr6NvF+nF&#10;bDKbjAaj4Xg2GKVVNXg3L0eD8Tw7P6tOq7Kssu+BWjbKGyWE1IHdk6az0d9p5nC79mo8qvrYhuQl&#10;euwXkn16R9JxzmG0e5EsQewW9mn+KON4+HDlwj15vkf7+Y9h+gsAAP//AwBQSwMEFAAGAAgAAAAh&#10;AJXdYNfgAAAACQEAAA8AAABkcnMvZG93bnJldi54bWxMj81OwzAQhO9IvIO1SFwQtVsgbUKcCoGQ&#10;qt7acuDoxEsS4Z8o3raBp2c5wXF2RrPflOvJO3HCMfUxaJjPFAgMTbR9aDW8HV5vVyASmWCNiwE1&#10;fGGCdXV5UZrCxnPY4WlPreCSkAqjoSMaCilT06E3aRYHDOx9xNEbYjm20o7mzOXeyYVSmfSmD/yh&#10;MwM+d9h87o9ew8uU0+bm/VvtnNuo6VBT2ra51tdX09MjCMKJ/sLwi8/oUDFTHY/BJuE03M95Cmm4&#10;W6glCA6s8gxEzYfsYQmyKuX/BdUPAAAA//8DAFBLAQItABQABgAIAAAAIQC2gziS/gAAAOEBAAAT&#10;AAAAAAAAAAAAAAAAAAAAAABbQ29udGVudF9UeXBlc10ueG1sUEsBAi0AFAAGAAgAAAAhADj9If/W&#10;AAAAlAEAAAsAAAAAAAAAAAAAAAAALwEAAF9yZWxzLy5yZWxzUEsBAi0AFAAGAAgAAAAhAJyc8/tG&#10;AgAAYAQAAA4AAAAAAAAAAAAAAAAALgIAAGRycy9lMm9Eb2MueG1sUEsBAi0AFAAGAAgAAAAhAJXd&#10;YNfgAAAACQEAAA8AAAAAAAAAAAAAAAAAoAQAAGRycy9kb3ducmV2LnhtbFBLBQYAAAAABAAEAPMA&#10;AACtBQAAAAA=&#10;" strokeweight=".5pt"/>
        </w:pict>
      </w:r>
      <w:r>
        <w:rPr>
          <w:noProof/>
          <w:lang w:eastAsia="cs-CZ"/>
        </w:rPr>
        <w:pict>
          <v:roundrect id="Zaoblený obdélník 226" o:spid="_x0000_s1077" style="position:absolute;left:0;text-align:left;margin-left:173.05pt;margin-top:266.55pt;width:104.85pt;height:43.65pt;z-index:251670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FTbAIAALgEAAAOAAAAZHJzL2Uyb0RvYy54bWysVM1y0zAQvjPDO2h0p46TOG09cTqdljLM&#10;FOhQuHCTJfmHylohKXHCG3HgETj1xVjJTkjLjeHi2R/ttz/frpcX206RjbSuBV3Q9GRCidQcRKvr&#10;gn7+dPPqjBLnmRZMgZYF3UlHL1YvXyx7k8spNKCEtARBtMt7U9DGe5MnieON7Jg7ASM1OiuwHfOo&#10;2joRlvWI3qlkOpkskh6sMBa4dA6t14OTriJ+VUnuP1SVk56ogmJtPn5t/Jbhm6yWLK8tM03LxzLY&#10;P1TRsVZj0gPUNfOMrG37F1TXcgsOKn/CoUugqlouYw/YTTp51s19w4yMveBwnDmMyf0/WP5+c2dJ&#10;Kwo6nS4o0axDkr4wKJXUj78IlOLxh9KPPx9I8OO0euNyDLo3dzb068wt8AdHNFw1TNfy0lroG8kE&#10;1piG98mTgKA4DCVl/w4EpmJrD3Fw28p2ARBHQraRn92BH7n1hKMxnc3S7DyjhKMvy+azLIspWL6P&#10;Ntb5NxI6EoSCWlhr8RGXIKZgm1vnI0libJSJr5RUnULKN0yRdLFYnI6I4+OE5XvM2C6oVty0SkUl&#10;LKm8UpZgcEHLOo1p1LrD3gbbaTaZjEuGZlzFwRxNCB3XPCDgnFA7Blea9AU9z6ZZBH3ic7YuD2kx&#10;wZjjOUTsPi54IOS1FlH2rFWDjO+VHhkKpAzk+m25jQuRnu35LkHskDMLw/nguaPQgP1OSY+nU1D3&#10;bc2spES91cj7eTqfh1uLyjw7naJijz3lsYdpjlAF9ZQM4pUf7nNtbFs3mGkYq4ZL3JWq9fulGqoa&#10;68fziDMcTznc37EeX/354ax+AwAA//8DAFBLAwQUAAYACAAAACEAALKnBd4AAAALAQAADwAAAGRy&#10;cy9kb3ducmV2LnhtbEyPwU7DMAyG70i8Q+RJ3Fi6da2mUndCaBx2g8EDZI1pszVJlWRreXvMCW62&#10;/On399e72Q7iRiEa7xBWywwEudZr4zqEz4/Xxy2ImJTTavCOEL4pwq65v6tVpf3k3ul2TJ3gEBcr&#10;hdCnNFZSxrYnq+LSj+T49uWDVYnX0Ekd1MThdpDrLCulVcbxh16N9NJTezleLcJ8oO6tCyYdtiqc&#10;9dno/bRPiA+L+fkJRKI5/cHwq8/q0LDTyV+djmJAyDflilGEIs95YKIoCi5zQijX2QZkU8v/HZof&#10;AAAA//8DAFBLAQItABQABgAIAAAAIQC2gziS/gAAAOEBAAATAAAAAAAAAAAAAAAAAAAAAABbQ29u&#10;dGVudF9UeXBlc10ueG1sUEsBAi0AFAAGAAgAAAAhADj9If/WAAAAlAEAAAsAAAAAAAAAAAAAAAAA&#10;LwEAAF9yZWxzLy5yZWxzUEsBAi0AFAAGAAgAAAAhAB5RkVNsAgAAuAQAAA4AAAAAAAAAAAAAAAAA&#10;LgIAAGRycy9lMm9Eb2MueG1sUEsBAi0AFAAGAAgAAAAhAACypwXeAAAACwEAAA8AAAAAAAAAAAAA&#10;AAAAxgQAAGRycy9kb3ducmV2LnhtbFBLBQYAAAAABAAEAPMAAADRBQAAAAA=&#10;" fillcolor="#bfbfbf">
            <v:textbox>
              <w:txbxContent>
                <w:p w:rsidR="005A63D9" w:rsidRPr="00444CE5" w:rsidRDefault="005A63D9" w:rsidP="003E3A14">
                  <w:pPr>
                    <w:spacing w:after="144"/>
                    <w:jc w:val="center"/>
                    <w:rPr>
                      <w:i/>
                      <w:sz w:val="14"/>
                      <w:szCs w:val="14"/>
                    </w:rPr>
                  </w:pPr>
                  <w:r w:rsidRPr="00444CE5">
                    <w:rPr>
                      <w:i/>
                      <w:sz w:val="14"/>
                      <w:szCs w:val="14"/>
                    </w:rPr>
                    <w:t xml:space="preserve">5 odborů (departmentů) v působnosti jednotlivých zastupujících </w:t>
                  </w:r>
                  <w:r>
                    <w:rPr>
                      <w:i/>
                      <w:sz w:val="14"/>
                      <w:szCs w:val="14"/>
                    </w:rPr>
                    <w:t>tajemníků</w:t>
                  </w:r>
                </w:p>
                <w:p w:rsidR="005A63D9" w:rsidRDefault="005A63D9" w:rsidP="003E3A14">
                  <w:pPr>
                    <w:spacing w:after="144"/>
                  </w:pPr>
                </w:p>
              </w:txbxContent>
            </v:textbox>
          </v:roundrect>
        </w:pict>
      </w:r>
      <w:r>
        <w:rPr>
          <w:noProof/>
          <w:lang w:eastAsia="cs-CZ"/>
        </w:rPr>
        <w:pict>
          <v:shape id="Textové pole 225" o:spid="_x0000_s1078" type="#_x0000_t202" style="position:absolute;left:0;text-align:left;margin-left:183.85pt;margin-top:220.65pt;width:77.4pt;height:29.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yU0OAIAAGEEAAAOAAAAZHJzL2Uyb0RvYy54bWysVNuO0zAQfUfiHyy/01zo0jZqulq6FCEt&#10;F2mXD3AcJ7FwPMZ2myx/xHfwY4ydtlQLvCDyYHk84+OZc2ayvh57RQ7COgm6pNkspURoDrXUbUk/&#10;P+xeLClxnumaKdCipI/C0evN82frwRQihw5ULSxBEO2KwZS0894USeJ4J3rmZmCERmcDtmceTdsm&#10;tWUDovcqydP0VTKArY0FLpzD09vJSTcRv2kE9x+bxglPVEkxNx9XG9cqrMlmzYrWMtNJfkyD/UMW&#10;PZMaHz1D3TLPyN7K36B6yS04aPyMQ59A00guYg1YTZY+qea+Y0bEWpAcZ840uf8Hyz8cPlki65Lm&#10;+RUlmvUo0oMYPRx+fCcGlCDBgTQNxhUYfW8w3o+vYUS5Y8nO3AH/4oiGbcd0K26shaETrMY0s3Az&#10;ubg64bgAUg3vocbX2N5DBBob2wcOkRWC6CjX41kizIhwPFwt89USPRxdLxeLbBUlTFhxumys828F&#10;9CRsSmqxAyI4O9w5H5JhxSkkvOVAyXonlYqGbautsuTAsFt28Yv5PwlTmgxYWr5I04mAv2Kk8fsT&#10;Ri899r2SfUmX5yBWBNre6Dp2pWdSTXvMWekjj4G6iUQ/VmNULlud9KmgfkRmLUx9jnOJmw7sN0oG&#10;7PGSuq97ZgUl6p1GdVbZfB6GIhrzq0WOhr30VJcepjlCldRTMm23fhqkvbGy7fClqR803KCijYxs&#10;B+mnrI75Yx9HEY4zFwbl0o5Rv/4Mm58AAAD//wMAUEsDBBQABgAIAAAAIQAYm+Os5QAAAAsBAAAP&#10;AAAAZHJzL2Rvd25yZXYueG1sTI/LasMwEEX3hf6DmEI3JZHiPBxcy6G0CSWbQJNA6U6xFNvEGrmW&#10;7Dh/3+mq3c0whzvnpqvB1qw3ra8cSpiMBTCDudMVFhKOh81oCcwHhVrVDo2Em/Gwyu7vUpVod8UP&#10;0+9DwSgEfaIklCE0Cec+L41Vfuwag3Q7u9aqQGtbcN2qK4XbmkdCLLhVFdKHUjXmtTT5Zd9ZCbvb&#10;J36/d+Lcb5vl1/GyW79tntZSPj4ML8/AghnCHwy/+qQOGTmdXIfas1rCdBHHhEqYzSZTYETMo2gO&#10;7ESDEDHwLOX/O2Q/AAAA//8DAFBLAQItABQABgAIAAAAIQC2gziS/gAAAOEBAAATAAAAAAAAAAAA&#10;AAAAAAAAAABbQ29udGVudF9UeXBlc10ueG1sUEsBAi0AFAAGAAgAAAAhADj9If/WAAAAlAEAAAsA&#10;AAAAAAAAAAAAAAAALwEAAF9yZWxzLy5yZWxzUEsBAi0AFAAGAAgAAAAhADbnJTQ4AgAAYQQAAA4A&#10;AAAAAAAAAAAAAAAALgIAAGRycy9lMm9Eb2MueG1sUEsBAi0AFAAGAAgAAAAhABib46zlAAAACwEA&#10;AA8AAAAAAAAAAAAAAAAAkgQAAGRycy9kb3ducmV2LnhtbFBLBQYAAAAABAAEAPMAAACkBQAAAAA=&#10;" strokeweight="1pt">
            <v:textbox>
              <w:txbxContent>
                <w:p w:rsidR="005A63D9" w:rsidRPr="007B51F2" w:rsidRDefault="005A63D9" w:rsidP="003E3A14">
                  <w:pPr>
                    <w:spacing w:after="144"/>
                    <w:jc w:val="center"/>
                    <w:rPr>
                      <w:sz w:val="14"/>
                      <w:szCs w:val="14"/>
                    </w:rPr>
                  </w:pPr>
                  <w:r w:rsidRPr="007B51F2">
                    <w:rPr>
                      <w:sz w:val="14"/>
                      <w:szCs w:val="14"/>
                    </w:rPr>
                    <w:t>Podnikání a zelené technologie</w:t>
                  </w:r>
                </w:p>
                <w:p w:rsidR="005A63D9" w:rsidRDefault="005A63D9" w:rsidP="003E3A14">
                  <w:pPr>
                    <w:spacing w:after="144"/>
                  </w:pPr>
                </w:p>
              </w:txbxContent>
            </v:textbox>
          </v:shape>
        </w:pict>
      </w:r>
      <w:r>
        <w:rPr>
          <w:noProof/>
          <w:lang w:eastAsia="cs-CZ"/>
        </w:rPr>
        <w:pict>
          <v:shape id="Textové pole 224" o:spid="_x0000_s1079" type="#_x0000_t202" style="position:absolute;left:0;text-align:left;margin-left:326.05pt;margin-top:115.35pt;width:87.3pt;height: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y5kNgIAAGEEAAAOAAAAZHJzL2Uyb0RvYy54bWysVNuO0zAQfUfiHyy/01zU0m7UdLV0KUJa&#10;LtIuH+A4TmLheIztNil/xHfwY4ydbrda4AWRB8vTGZ+ZOWem6+uxV+QgrJOgS5rNUkqE5lBL3Zb0&#10;y8Pu1YoS55mumQItSnoUjl5vXr5YD6YQOXSgamEJgmhXDKaknfemSBLHO9EzNwMjNDobsD3zaNo2&#10;qS0bEL1XSZ6mr5MBbG0scOEc/no7Oekm4jeN4P5T0zjhiSop1ubjaeNZhTPZrFnRWmY6yU9lsH+o&#10;omdSY9Iz1C3zjOyt/A2ql9yCg8bPOPQJNI3kIvaA3WTps27uO2ZE7AXJceZMk/t/sPzj4bMlsi5p&#10;ns8p0axHkR7E6OHw8wcxoAQJDqRpMK7A6HuD8X58AyPKHVt25g74V0c0bDumW3FjLQydYDWWmYWX&#10;ycXTCccFkGr4ADVmY3sPEWhsbB84RFYIoqNcx7NEWBHhIWWWrpYZujj6FstskUYNE1Y8vjbW+XcC&#10;ehIuJbU4AhGdHe6cD9Ww4jEkJHOgZL2TSkXDttVWWXJgOC67+MUGnoUpTYaSXi3yxUTAXyHS+P0J&#10;opce517JvqSrcxArAm1vdR2n0jOppjuWrPSJx0DdRKIfq3FSLlIQSK6gPiKzFqY5x73ESwf2OyUD&#10;znhJ3bc9s4IS9V6jOlfZfB6WIhrzxTJHw156qksP0xyhSuopma5bPy3S3ljZdphpmgcNN6hoIyPZ&#10;T1Wd6sc5jhqcdi4syqUdo57+GTa/AAAA//8DAFBLAwQUAAYACAAAACEARI7pV+AAAAALAQAADwAA&#10;AGRycy9kb3ducmV2LnhtbEyPy07DMBBF90j8gzVIbBB16kAaQiYVQgLRHRQEWzd2kwg/gu2m4e8Z&#10;VrCbx9GdM/V6toZNOsTBO4TlIgOmXevV4DqEt9eHyxJYTNIpabzTCN86wro5PallpfzRvehpmzpG&#10;IS5WEqFPaaw4j22vrYwLP2pHu70PViZqQ8dVkEcKt4aLLCu4lYOjC70c9X2v28/twSKUV0/TR9zk&#10;z+9tsTc36WI1PX4FxPOz+e4WWNJz+oPhV5/UoSGnnT84FZlBKK7FklAEkWcrYESUoqBih5ALmvCm&#10;5v9/aH4AAAD//wMAUEsBAi0AFAAGAAgAAAAhALaDOJL+AAAA4QEAABMAAAAAAAAAAAAAAAAAAAAA&#10;AFtDb250ZW50X1R5cGVzXS54bWxQSwECLQAUAAYACAAAACEAOP0h/9YAAACUAQAACwAAAAAAAAAA&#10;AAAAAAAvAQAAX3JlbHMvLnJlbHNQSwECLQAUAAYACAAAACEANy8uZDYCAABhBAAADgAAAAAAAAAA&#10;AAAAAAAuAgAAZHJzL2Uyb0RvYy54bWxQSwECLQAUAAYACAAAACEARI7pV+AAAAALAQAADwAAAAAA&#10;AAAAAAAAAACQBAAAZHJzL2Rvd25yZXYueG1sUEsFBgAAAAAEAAQA8wAAAJ0FAAAAAA==&#10;">
            <v:textbox>
              <w:txbxContent>
                <w:p w:rsidR="005A63D9" w:rsidRPr="00130F30" w:rsidRDefault="005A63D9" w:rsidP="003E3A14">
                  <w:pPr>
                    <w:spacing w:after="144"/>
                    <w:jc w:val="center"/>
                    <w:rPr>
                      <w:sz w:val="18"/>
                      <w:szCs w:val="18"/>
                    </w:rPr>
                  </w:pPr>
                  <w:r>
                    <w:rPr>
                      <w:sz w:val="18"/>
                      <w:szCs w:val="18"/>
                    </w:rPr>
                    <w:t>Sekce příroda a </w:t>
                  </w:r>
                  <w:r w:rsidRPr="00130F30">
                    <w:rPr>
                      <w:sz w:val="18"/>
                      <w:szCs w:val="18"/>
                    </w:rPr>
                    <w:t>využívání půdy</w:t>
                  </w:r>
                </w:p>
              </w:txbxContent>
            </v:textbox>
          </v:shape>
        </w:pict>
      </w:r>
      <w:r>
        <w:rPr>
          <w:noProof/>
          <w:lang w:eastAsia="cs-CZ"/>
        </w:rPr>
        <w:pict>
          <v:shape id="Textové pole 223" o:spid="_x0000_s1080" type="#_x0000_t202" style="position:absolute;left:0;text-align:left;margin-left:380.05pt;margin-top:182.85pt;width:64.8pt;height:29.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wOnNgIAAGEEAAAOAAAAZHJzL2Uyb0RvYy54bWysVF1u2zAMfh+wOwh6X+y4WdMYcYouXYYB&#10;3Q/Q7gCyLMfCJFGTlNjZjXaOXWyUnKZBt70M84MgitSnjx9JL68HrcheOC/BVHQ6ySkRhkMjzbai&#10;Xx42r64o8YGZhikwoqIH4en16uWLZW9LUUAHqhGOIIjxZW8r2oVgyyzzvBOa+QlYYdDZgtMsoOm2&#10;WeNYj+haZUWeX2Y9uMY64MJ7PL0dnXSV8NtW8PCpbb0IRFUUuYW0urTWcc1WS1ZuHbOd5Eca7B9Y&#10;aCYNPnqCumWBkZ2Tv0FpyR14aMOEg86gbSUXKQfMZpo/y+a+Y1akXFAcb08y+f8Hyz/uPzsim4oW&#10;xQUlhmks0oMYAux//iAWlCDRgTL11pcYfW8xPgxvYMByp5S9vQP+1RMD646ZrbhxDvpOsAZpTuPN&#10;7OzqiOMjSN1/gAZfY7sACWhonY4aoioE0bFch1OJkBHheHhVFItL9HB0Xczn00UqYcbKx8vW+fBO&#10;gCZxU1GHHZDA2f7Oh0iGlY8h8S0PSjYbqVQy3LZeK0f2DLtlk77E/1mYMqTH1Ip5no8C/BUjT9+f&#10;MLQM2PdKakzpFMTKKNtb06SuDEyqcY+clTnqGKUbRQxDPYyVSypHkWtoDqisg7HPcS5x04H7TkmP&#10;PV5R/23HnKBEvTdYncV0NotDkYzZ63mBhjv31OceZjhCVTRQMm7XYRyknXVy2+FLYz8YuMGKtjKp&#10;/cTqyB/7OBXhOHNxUM7tFPX0Z1j9AgAA//8DAFBLAwQUAAYACAAAACEAfjTz/+UAAAALAQAADwAA&#10;AGRycy9kb3ducmV2LnhtbEyPwU7DMAyG70i8Q2QkLoglHawrpe6EYBPiMolt0sQta7K2WuOUJu26&#10;tyec4GbLn35/f7YYTcMG3bnaEkI0EcA0FVbVVCLstqv7BJjzkpRsLGmEi3awyK+vMpkqe6ZPPWx8&#10;yUIIuVQiVN63KeeuqLSRbmJbTeF2tJ2RPqxdyVUnzyHcNHwqRMyNrCl8qGSrXytdnDa9QVhf9vT9&#10;3ovj8NEmX7vTevm2ulsi3t6ML8/AvB79Hwy/+kEd8uB0sD0pxxqEeSyigCI8xLM5sEAkyVMYDgiP&#10;01kEPM/4/w75DwAAAP//AwBQSwECLQAUAAYACAAAACEAtoM4kv4AAADhAQAAEwAAAAAAAAAAAAAA&#10;AAAAAAAAW0NvbnRlbnRfVHlwZXNdLnhtbFBLAQItABQABgAIAAAAIQA4/SH/1gAAAJQBAAALAAAA&#10;AAAAAAAAAAAAAC8BAABfcmVscy8ucmVsc1BLAQItABQABgAIAAAAIQDPywOnNgIAAGEEAAAOAAAA&#10;AAAAAAAAAAAAAC4CAABkcnMvZTJvRG9jLnhtbFBLAQItABQABgAIAAAAIQB+NPP/5QAAAAsBAAAP&#10;AAAAAAAAAAAAAAAAAJAEAABkcnMvZG93bnJldi54bWxQSwUGAAAAAAQABADzAAAAogUAAAAA&#10;" strokeweight="1pt">
            <v:textbox>
              <w:txbxContent>
                <w:p w:rsidR="005A63D9" w:rsidRPr="007B51F2" w:rsidRDefault="005A63D9" w:rsidP="003E3A14">
                  <w:pPr>
                    <w:spacing w:after="144"/>
                    <w:jc w:val="center"/>
                    <w:rPr>
                      <w:sz w:val="14"/>
                      <w:szCs w:val="14"/>
                    </w:rPr>
                  </w:pPr>
                  <w:r w:rsidRPr="007B51F2">
                    <w:rPr>
                      <w:sz w:val="14"/>
                      <w:szCs w:val="14"/>
                    </w:rPr>
                    <w:t>Příroda a využití půdy</w:t>
                  </w:r>
                </w:p>
              </w:txbxContent>
            </v:textbox>
          </v:shape>
        </w:pict>
      </w:r>
      <w:r>
        <w:rPr>
          <w:noProof/>
          <w:lang w:eastAsia="cs-CZ"/>
        </w:rPr>
        <w:pict>
          <v:shape id="Textové pole 222" o:spid="_x0000_s1081" type="#_x0000_t202" style="position:absolute;left:0;text-align:left;margin-left:227.5pt;margin-top:182.85pt;width:64.8pt;height:29.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k2XNgIAAGEEAAAOAAAAZHJzL2Uyb0RvYy54bWysVF2O0zAQfkfiDpbfadJQttuo6WrpUoS0&#10;/Ei7HMBxnMbC9hjbbVJuxDm4GGOnLdUCL4g8WB7P+PPM981keTNoRfbCeQmmotNJTokwHBppthX9&#10;/Lh5cU2JD8w0TIERFT0IT29Wz58te1uKAjpQjXAEQYwve1vRLgRbZpnnndDMT8AKg84WnGYBTbfN&#10;Gsd6RNcqK/L8KuvBNdYBF97j6d3opKuE37aCh49t60UgqqKYW0irS2sd12y1ZOXWMdtJfkyD/UMW&#10;mkmDj56h7lhgZOfkb1Bacgce2jDhoDNoW8lFqgGrmeZPqnnomBWpFiTH2zNN/v/B8g/7T47IpqJF&#10;UVBimEaRHsUQYP/jO7GgBIkOpKm3vsToB4vxYXgNA8qdSvb2HvgXTwysO2a24tY56DvBGkxzGm9m&#10;F1dHHB9B6v49NPga2wVIQEPrdOQQWSGIjnIdzhJhRoTj4XVRLK7Qw9H1cj6fLpKEGStPl63z4a0A&#10;TeKmog47IIGz/b0PMRlWnkLiWx6UbDZSqWS4bb1WjuwZdssmfSn/J2HKkB5LK+Z5PhLwV4w8fX/C&#10;0DJg3yupsaRzECsjbW9Mk7oyMKnGPeaszJHHSN1IYhjq4ajcSZ8amgMy62Dsc5xL3HTgvlHSY49X&#10;1H/dMScoUe8MqrOYzmZxKJIxezUv0HCXnvrSwwxHqIoGSsbtOoyDtLNObjt8aewHA7eoaCsT21H6&#10;Matj/tjHSYTjzMVBubRT1K8/w+onAAAA//8DAFBLAwQUAAYACAAAACEAGkPaQuQAAAALAQAADwAA&#10;AGRycy9kb3ducmV2LnhtbEyPQUvDQBSE74L/YXmCF2k3rd0YYjZFtEV6KdgWxNs2u01Cs29jdpOm&#10;/97nSY/DDDPfZMvRNmwwna8dSphNI2AGC6drLCUc9utJAswHhVo1Do2Eq/GwzG9vMpVqd8EPM+xC&#10;yagEfaokVCG0Kee+qIxVfupag+SdXGdVINmVXHfqQuW24fMoirlVNdJCpVrzWpnivOuthO31E7/f&#10;++g0bNrk63Dert7WDysp7+/Gl2dgwYzhLwy/+IQOOTEdXY/as0bCQgj6EiQ8xuIJGCVEsoiBHcma&#10;ixnwPOP/P+Q/AAAA//8DAFBLAQItABQABgAIAAAAIQC2gziS/gAAAOEBAAATAAAAAAAAAAAAAAAA&#10;AAAAAABbQ29udGVudF9UeXBlc10ueG1sUEsBAi0AFAAGAAgAAAAhADj9If/WAAAAlAEAAAsAAAAA&#10;AAAAAAAAAAAALwEAAF9yZWxzLy5yZWxzUEsBAi0AFAAGAAgAAAAhAKm+TZc2AgAAYQQAAA4AAAAA&#10;AAAAAAAAAAAALgIAAGRycy9lMm9Eb2MueG1sUEsBAi0AFAAGAAgAAAAhABpD2kLkAAAACwEAAA8A&#10;AAAAAAAAAAAAAAAAkAQAAGRycy9kb3ducmV2LnhtbFBLBQYAAAAABAAEAPMAAAChBQAAAAA=&#10;" strokeweight="1pt">
            <v:textbox>
              <w:txbxContent>
                <w:p w:rsidR="005A63D9" w:rsidRDefault="005A63D9" w:rsidP="003E3A14">
                  <w:pPr>
                    <w:spacing w:after="144"/>
                    <w:jc w:val="center"/>
                  </w:pPr>
                  <w:r>
                    <w:rPr>
                      <w:sz w:val="14"/>
                      <w:szCs w:val="14"/>
                    </w:rPr>
                    <w:t>Veterinární záležitosti</w:t>
                  </w:r>
                </w:p>
                <w:p w:rsidR="005A63D9" w:rsidRDefault="005A63D9" w:rsidP="003E3A14">
                  <w:pPr>
                    <w:spacing w:after="144"/>
                  </w:pPr>
                </w:p>
              </w:txbxContent>
            </v:textbox>
          </v:shape>
        </w:pict>
      </w:r>
      <w:r>
        <w:rPr>
          <w:noProof/>
          <w:lang w:eastAsia="cs-CZ"/>
        </w:rPr>
        <w:pict>
          <v:shape id="Textové pole 221" o:spid="_x0000_s1082" type="#_x0000_t202" style="position:absolute;left:0;text-align:left;margin-left:151pt;margin-top:182.85pt;width:64.8pt;height:29.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6jCOQIAAGEEAAAOAAAAZHJzL2Uyb0RvYy54bWysVEtu2zAQ3RfoHQjua8mKG8eC5SB16qJA&#10;+gGSHoCmKIkoyWFJ2lJ6o5yjF+uQsl33tymqBcHhDB/fvJnR8nrQiuyF8xJMRaeTnBJhONTStBX9&#10;9LB5cUWJD8zUTIERFX0Unl6vnj9b9rYUBXSgauEIghhf9raiXQi2zDLPO6GZn4AVBp0NOM0Cmq7N&#10;asd6RNcqK/L8MuvB1dYBF97j6e3opKuE3zSChw9N40UgqqLILaTVpXUb12y1ZGXrmO0kP9Bg/8BC&#10;M2nw0RPULQuM7Jz8DUpL7sBDEyYcdAZNI7lIOWA20/yXbO47ZkXKBcXx9iST/3+w/P3+oyOyrmhR&#10;TCkxTGORHsQQYP/tiVhQgkQHytRbX2L0vcX4MLyCAcudUvb2DvhnTwysO2ZaceMc9J1gNdJMN7Oz&#10;qyOOjyDb/h3U+BrbBUhAQ+N01BBVIYiO5Xo8lQgZEY6HV0WxuEQPR9fFfD5dpBJmrDxets6HNwI0&#10;iZuKOuyABM72dz5gGhh6DIlveVCy3kilkuHa7Vo5smfYLZv0xczxyk9hypAeUyvmeT4K8FeMPH1/&#10;wtAyYN8rqTGlUxAro2yvTZ26MjCpxj0SUAZ5RB2jdKOIYdgOY+UujvXZQv2IyjoY+xznEjcduK+U&#10;9NjjFfVfdswJStRbg9VZTGezOBTJmL2cF2i4c8/23MMMR6iKBkrG7TqMg7SzTrYdvjT2g4EbrGgj&#10;k9qR8sjqwB/7OCl6mLk4KOd2ivrxZ1h9BwAA//8DAFBLAwQUAAYACAAAACEACoOBEOQAAAALAQAA&#10;DwAAAGRycy9kb3ducmV2LnhtbEyPwU7DMBBE70j8g7VIXFBrJ6WhCnEqBK1QL5VoKyFubuwmUeN1&#10;iJ00/XuWE9xmtKPZN9lytA0bTOdrhxKiqQBmsHC6xlLCYb+eLID5oFCrxqGRcDUelvntTaZS7S74&#10;YYZdKBmVoE+VhCqENuXcF5Wxyk9da5BuJ9dZFch2JdedulC5bXgsRMKtqpE+VKo1r5UpzrveSthe&#10;P/H7vRenYdMuvg7n7ept/bCS8v5ufHkGFswY/sLwi0/okBPT0fWoPWskzERMWwKJZP4EjBKPsygB&#10;diQRzyPgecb/b8h/AAAA//8DAFBLAQItABQABgAIAAAAIQC2gziS/gAAAOEBAAATAAAAAAAAAAAA&#10;AAAAAAAAAABbQ29udGVudF9UeXBlc10ueG1sUEsBAi0AFAAGAAgAAAAhADj9If/WAAAAlAEAAAsA&#10;AAAAAAAAAAAAAAAALwEAAF9yZWxzLy5yZWxzUEsBAi0AFAAGAAgAAAAhAAEXqMI5AgAAYQQAAA4A&#10;AAAAAAAAAAAAAAAALgIAAGRycy9lMm9Eb2MueG1sUEsBAi0AFAAGAAgAAAAhAAqDgRDkAAAACwEA&#10;AA8AAAAAAAAAAAAAAAAAkwQAAGRycy9kb3ducmV2LnhtbFBLBQYAAAAABAAEAPMAAACkBQAAAAA=&#10;" strokeweight="1pt">
            <v:textbox>
              <w:txbxContent>
                <w:p w:rsidR="005A63D9" w:rsidRDefault="005A63D9" w:rsidP="003E3A14">
                  <w:pPr>
                    <w:spacing w:after="144"/>
                    <w:jc w:val="center"/>
                  </w:pPr>
                  <w:r>
                    <w:rPr>
                      <w:sz w:val="14"/>
                      <w:szCs w:val="14"/>
                    </w:rPr>
                    <w:t>Potraviny a spotřebitelé</w:t>
                  </w:r>
                </w:p>
                <w:p w:rsidR="005A63D9" w:rsidRDefault="005A63D9" w:rsidP="003E3A14">
                  <w:pPr>
                    <w:spacing w:after="144"/>
                  </w:pPr>
                </w:p>
              </w:txbxContent>
            </v:textbox>
          </v:shape>
        </w:pict>
      </w:r>
      <w:r>
        <w:rPr>
          <w:noProof/>
          <w:lang w:eastAsia="cs-CZ"/>
        </w:rPr>
        <w:pict>
          <v:shape id="Textové pole 219" o:spid="_x0000_s1083" type="#_x0000_t202" style="position:absolute;left:0;text-align:left;margin-left:-13.25pt;margin-top:182.85pt;width:64.8pt;height:29.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SNgNgIAAGEEAAAOAAAAZHJzL2Uyb0RvYy54bWysVNuO0zAQfUfiHyy/01wo223UdLV0KUJa&#10;LtIuH+A4TmLheIztNil/xHfwY4ydtlQLvCDyYHk84+OZc2ayuhl7RfbCOgm6pNkspURoDrXUbUk/&#10;P25fXFPiPNM1U6BFSQ/C0Zv182erwRQihw5ULSxBEO2KwZS0894USeJ4J3rmZmCERmcDtmceTdsm&#10;tWUDovcqydP0KhnA1sYCF87h6d3kpOuI3zSC+49N44QnqqSYm4+rjWsV1mS9YkVrmekkP6bB/iGL&#10;nkmNj56h7phnZGflb1C95BYcNH7GoU+gaSQXsQasJkufVPPQMSNiLUiOM2ea3P+D5R/2nyyRdUnz&#10;bEmJZj2K9ChGD/sf34kBJUhwIE2DcQVGPxiM9+NrGFHuWLIz98C/OKJh0zHdiltrYegEqzHNLNxM&#10;Lq5OOC6AVMN7qPE1tvMQgcbG9oFDZIUgOsp1OEuEGRGOh9d5vrxCD0fXy8UiW0YJE1acLhvr/FsB&#10;PQmbklrsgAjO9vfOh2RYcQoJbzlQst5KpaJh22qjLNkz7JZt/GL+T8KUJgOWli/SdCLgrxhp/P6E&#10;0UuPfa9kjyWdg1gRaHuj69iVnkk17TFnpY88BuomEv1YjZNy85M+FdQHZNbC1Oc4l7jpwH6jZMAe&#10;L6n7umNWUKLeaVRnmc3nYSiiMX+1yNGwl57q0sM0R6iSekqm7cZPg7QzVrYdvjT1g4ZbVLSRke0g&#10;/ZTVMX/s4yjCcebCoFzaMerXn2H9EwAA//8DAFBLAwQUAAYACAAAACEA5PJcUeQAAAALAQAADwAA&#10;AGRycy9kb3ducmV2LnhtbEyPQWvCQBCF74X+h2UKvRTdJDZR0myktErxItQK0tuaHZNgdjbNbmL8&#10;911P7XF4H+99ky1H3bABO1sbEhBOA2BIhVE1lQL2X+vJAph1kpRsDKGAK1pY5vd3mUyVudAnDjtX&#10;Ml9CNpUCKufalHNbVKilnZoWyWcn02np/NmVXHXy4st1w6MgSLiWNfmFSrb4VmFx3vVawPZ6oJ+P&#10;PjgNm3bxvT9vV+/rp5UQjw/j6wswh6P7g+Gm79Uh905H05OyrBEwiZLYowJmSTwHdiOCWQjsKOA5&#10;ikPgecb//5D/AgAA//8DAFBLAQItABQABgAIAAAAIQC2gziS/gAAAOEBAAATAAAAAAAAAAAAAAAA&#10;AAAAAABbQ29udGVudF9UeXBlc10ueG1sUEsBAi0AFAAGAAgAAAAhADj9If/WAAAAlAEAAAsAAAAA&#10;AAAAAAAAAAAALwEAAF9yZWxzLy5yZWxzUEsBAi0AFAAGAAgAAAAhAAp1I2A2AgAAYQQAAA4AAAAA&#10;AAAAAAAAAAAALgIAAGRycy9lMm9Eb2MueG1sUEsBAi0AFAAGAAgAAAAhAOTyXFHkAAAACwEAAA8A&#10;AAAAAAAAAAAAAAAAkAQAAGRycy9kb3ducmV2LnhtbFBLBQYAAAAABAAEAPMAAAChBQAAAAA=&#10;" strokeweight="1pt">
            <v:textbox>
              <w:txbxContent>
                <w:p w:rsidR="005A63D9" w:rsidRDefault="005A63D9" w:rsidP="003E3A14">
                  <w:pPr>
                    <w:spacing w:after="144"/>
                    <w:jc w:val="center"/>
                  </w:pPr>
                  <w:r>
                    <w:rPr>
                      <w:sz w:val="14"/>
                      <w:szCs w:val="14"/>
                    </w:rPr>
                    <w:t>EU a ostatní zahraničí</w:t>
                  </w:r>
                </w:p>
                <w:p w:rsidR="005A63D9" w:rsidRDefault="005A63D9" w:rsidP="003E3A14">
                  <w:pPr>
                    <w:spacing w:after="144"/>
                  </w:pPr>
                </w:p>
              </w:txbxContent>
            </v:textbox>
          </v:shape>
        </w:pict>
      </w:r>
      <w:r>
        <w:rPr>
          <w:noProof/>
          <w:lang w:eastAsia="cs-CZ"/>
        </w:rPr>
        <w:pict>
          <v:shape id="Textové pole 218" o:spid="_x0000_s1084" type="#_x0000_t202" style="position:absolute;left:0;text-align:left;margin-left:186.1pt;margin-top:70.8pt;width:70.2pt;height:3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SNgIAAGAEAAAOAAAAZHJzL2Uyb0RvYy54bWysVNuO0zAQfUfiHyy/0zSlXdqo6WrpUoS0&#10;XKRdPsBxnMTC9hjbbbL8Ed/BjzF22lIt8ILIg2V7xsdnzhlnfT1oRQ7CeQmmpPlkSokwHGpp2pJ+&#10;fti9WFLiAzM1U2BESR+Fp9eb58/WvS3EDDpQtXAEQYwvelvSLgRbZJnnndDMT8AKg8EGnGYBl67N&#10;asd6RNcqm02nV1kPrrYOuPAed2/HIN0k/KYRPHxsGi8CUSVFbiGNLo1VHLPNmhWtY7aT/EiD/QML&#10;zaTBS89QtywwsnfyNygtuQMPTZhw0Bk0jeQi1YDV5NMn1dx3zIpUC4rj7Vkm//9g+YfDJ0dkXdJZ&#10;jlYZptGkBzEEOPz4TiwoQWIAZeqtLzD73mJ+GF7DgHankr29A/7FEwPbjplW3DgHfSdYjTTzeDK7&#10;ODri+AhS9e+hxtvYPkACGhqno4aoCkF0tOvxbBEyIhw3l6t8MccIx9DL5fJqlizMWHE6bJ0PbwVo&#10;EiclddgBCZwd7nyIZFhxSol3eVCy3kml0sK11VY5cmDYLbv0Jf5P0pQhfUlXi9lirP+vENP0/QlC&#10;y4Btr6TGis5JrIiqvTF1asrApBrnSFmZo4xRuVHDMFTDaNziZE8F9SMK62Bsc3yWOOnAfaOkxxYv&#10;qf+6Z05Qot4ZNGeVz6OUIS3mi1eoJXGXkeoywgxHqJIGSsbpNozvaG+dbDu8aWwHAzdoaCOT2NH5&#10;kdWRP7Zx8uD45OI7uVynrF8/hs1PAAAA//8DAFBLAwQUAAYACAAAACEAiD7xTOAAAAALAQAADwAA&#10;AGRycy9kb3ducmV2LnhtbEyPy07DMBBF90j8gzVIbBB14pY0hDgVQgLBDgqCrRtPkwg/gu2m4e8Z&#10;VrCb0T26c6bezNawCUMcvJOQLzJg6FqvB9dJeHu9vyyBxaScVsY7lPCNETbN6UmtKu2P7gWnbeoY&#10;lbhYKQl9SmPFeWx7tCou/IiOsr0PViVaQ8d1UEcqt4aLLCu4VYOjC70a8a7H9nN7sBLK1eP0EZ+W&#10;z+9tsTfX6WI9PXwFKc/P5tsbYAnn9AfDrz6pQ0NOO39wOjIjYbkWglAKVnkBjIirXNCwkyAyUQJv&#10;av7/h+YHAAD//wMAUEsBAi0AFAAGAAgAAAAhALaDOJL+AAAA4QEAABMAAAAAAAAAAAAAAAAAAAAA&#10;AFtDb250ZW50X1R5cGVzXS54bWxQSwECLQAUAAYACAAAACEAOP0h/9YAAACUAQAACwAAAAAAAAAA&#10;AAAAAAAvAQAAX3JlbHMvLnJlbHNQSwECLQAUAAYACAAAACEAaTQOEjYCAABgBAAADgAAAAAAAAAA&#10;AAAAAAAuAgAAZHJzL2Uyb0RvYy54bWxQSwECLQAUAAYACAAAACEAiD7xTOAAAAALAQAADwAAAAAA&#10;AAAAAAAAAACQBAAAZHJzL2Rvd25yZXYueG1sUEsFBgAAAAAEAAQA8wAAAJ0FAAAAAA==&#10;">
            <v:textbox>
              <w:txbxContent>
                <w:p w:rsidR="005A63D9" w:rsidRPr="00130F30" w:rsidRDefault="005A63D9" w:rsidP="003E3A14">
                  <w:pPr>
                    <w:spacing w:after="144"/>
                    <w:jc w:val="center"/>
                    <w:rPr>
                      <w:sz w:val="16"/>
                      <w:szCs w:val="16"/>
                    </w:rPr>
                  </w:pPr>
                  <w:r>
                    <w:rPr>
                      <w:sz w:val="16"/>
                      <w:szCs w:val="16"/>
                    </w:rPr>
                    <w:t>4 zastupující tajemníci</w:t>
                  </w:r>
                </w:p>
              </w:txbxContent>
            </v:textbox>
          </v:shape>
        </w:pict>
      </w:r>
      <w:r>
        <w:rPr>
          <w:noProof/>
          <w:lang w:eastAsia="cs-CZ"/>
        </w:rPr>
        <w:pict>
          <v:shape id="Textové pole 217" o:spid="_x0000_s1085" type="#_x0000_t202" style="position:absolute;left:0;text-align:left;margin-left:93.4pt;margin-top:29.85pt;width:59.85pt;height:27.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05NwIAAGEEAAAOAAAAZHJzL2Uyb0RvYy54bWysVEuO2zAM3RfoHQTtG9tpfmPEGUwzTVFg&#10;+gFmegBZlm2hsqhKSuz0Rj1HL1ZKzmTS36aoFwIpUo/kI+n19dApchDWSdAFzSYpJUJzqKRuCvrp&#10;YfdiRYnzTFdMgRYFPQpHrzfPn617k4sptKAqYQmCaJf3pqCt9yZPEsdb0TE3ASM0GmuwHfOo2iap&#10;LOsRvVPJNE0XSQ+2Mha4cA5vb0cj3UT8uhbcf6hrJzxRBcXcfDxtPMtwJps1yxvLTCv5KQ32D1l0&#10;TGoMeoa6ZZ6RvZW/QXWSW3BQ+wmHLoG6llzEGrCaLP2lmvuWGRFrQXKcOdPk/h8sf3/4aImsCjrN&#10;lpRo1mGTHsTg4fD9GzGgBAkGpKk3Lkfve4P+fngFA7Y7luzMHfDPjmjYtkw34sZa6FvBKkwzCy+T&#10;i6cjjgsgZf8OKozG9h4i0FDbLnCIrBBEx3Ydzy3CjAjHy+UiTa/mlHA0vZytFtk8RmD542NjnX8j&#10;oCNBKKjFCYjg7HDnfEiG5Y8uIZYDJaudVCoqtim3ypIDw2nZxe+E/pOb0qTH0qbLNB0J+CtGGr8/&#10;YXTS49wr2RV0dXZieaDtta7iVHom1ShjzkqfeAzUjST6oRzGzi1ChEByCdURmbUwzjnuJQot2K+U&#10;9DjjBXVf9swKStRbjd25ymazsBRRmc2XU1TspaW8tDDNEaqgnpJR3PpxkfbGyqbFSOM8aLjBjtYy&#10;sv2U1Sl/nOPYhNPOhUW51KPX059h8wMAAP//AwBQSwMEFAAGAAgAAAAhAK6v+LniAAAACgEAAA8A&#10;AABkcnMvZG93bnJldi54bWxMj0FLw0AUhO+C/2F5ghexm6pNY8ymiLaIl4JtQbxts69JaPZtzG7S&#10;9N/7POlxmGHmm2wx2kYM2PnakYLpJAKBVDhTU6lgt13dJiB80GR04wgVnNHDIr+8yHRq3Ik+cNiE&#10;UnAJ+VQrqEJoUyl9UaHVfuJaJPYOrrM6sOxKaTp94nLbyLsoiqXVNfFCpVt8qbA4bnqrYH3+pO+3&#10;PjoM723ytTuul6+rm6VS11fj8xOIgGP4C8MvPqNDzkx715PxomGdxIweFMwe5yA4cB/FMxB7dqYP&#10;Mcg8k/8v5D8AAAD//wMAUEsBAi0AFAAGAAgAAAAhALaDOJL+AAAA4QEAABMAAAAAAAAAAAAAAAAA&#10;AAAAAFtDb250ZW50X1R5cGVzXS54bWxQSwECLQAUAAYACAAAACEAOP0h/9YAAACUAQAACwAAAAAA&#10;AAAAAAAAAAAvAQAAX3JlbHMvLnJlbHNQSwECLQAUAAYACAAAACEArB9dOTcCAABhBAAADgAAAAAA&#10;AAAAAAAAAAAuAgAAZHJzL2Uyb0RvYy54bWxQSwECLQAUAAYACAAAACEArq/4ueIAAAAKAQAADwAA&#10;AAAAAAAAAAAAAACRBAAAZHJzL2Rvd25yZXYueG1sUEsFBgAAAAAEAAQA8wAAAKAFAAAAAA==&#10;" strokeweight="1pt">
            <v:textbox>
              <w:txbxContent>
                <w:p w:rsidR="005A63D9" w:rsidRPr="00130F30" w:rsidRDefault="005A63D9" w:rsidP="003E3A14">
                  <w:pPr>
                    <w:spacing w:after="144"/>
                    <w:jc w:val="center"/>
                    <w:rPr>
                      <w:sz w:val="16"/>
                      <w:szCs w:val="16"/>
                    </w:rPr>
                  </w:pPr>
                  <w:r>
                    <w:rPr>
                      <w:sz w:val="16"/>
                      <w:szCs w:val="16"/>
                    </w:rPr>
                    <w:t>Sekretariát ministra</w:t>
                  </w:r>
                </w:p>
              </w:txbxContent>
            </v:textbox>
          </v:shape>
        </w:pict>
      </w:r>
      <w:r>
        <w:rPr>
          <w:noProof/>
          <w:lang w:eastAsia="cs-CZ"/>
        </w:rPr>
        <w:pict>
          <v:shape id="Textové pole 216" o:spid="_x0000_s1086" type="#_x0000_t202" style="position:absolute;left:0;text-align:left;margin-left:281.95pt;margin-top:29.85pt;width:59.85pt;height:27.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YgLNwIAAGEEAAAOAAAAZHJzL2Uyb0RvYy54bWysVEuO2zAM3RfoHQTtG9tpfmPEGUwzTVFg&#10;+gFmegBZlm2hsqhKSuz0Rj1HL1ZKzmTS36aoFwIpUo/kI+n19dApchDWSdAFzSYpJUJzqKRuCvrp&#10;YfdiRYnzTFdMgRYFPQpHrzfPn617k4sptKAqYQmCaJf3pqCt9yZPEsdb0TE3ASM0GmuwHfOo2iap&#10;LOsRvVPJNE0XSQ+2Mha4cA5vb0cj3UT8uhbcf6hrJzxRBcXcfDxtPMtwJps1yxvLTCv5KQ32D1l0&#10;TGoMeoa6ZZ6RvZW/QXWSW3BQ+wmHLoG6llzEGrCaLP2lmvuWGRFrQXKcOdPk/h8sf3/4aImsCjrN&#10;FpRo1mGTHsTg4fD9GzGgBAkGpKk3Lkfve4P+fngFA7Y7luzMHfDPjmjYtkw34sZa6FvBKkwzCy+T&#10;i6cjjgsgZf8OKozG9h4i0FDbLnCIrBBEx3Ydzy3CjAjHy+UiTa/mlHA0vZytFtk8RmD542NjnX8j&#10;oCNBKKjFCYjg7HDnfEiG5Y8uIZYDJaudVCoqtim3ypIDw2nZxe+E/pOb0qTH0qbLNB0J+CtGGr8/&#10;YXTS49wr2RV0dXZieaDtta7iVHom1ShjzkqfeAzUjST6oRzGzi1DhEByCdURmbUwzjnuJQot2K+U&#10;9DjjBXVf9swKStRbjd25ymazsBRRmc2XU1TspaW8tDDNEaqgnpJR3PpxkfbGyqbFSOM8aLjBjtYy&#10;sv2U1Sl/nOPYhNPOhUW51KPX059h8wMAAP//AwBQSwMEFAAGAAgAAAAhAP9Ew93jAAAACgEAAA8A&#10;AABkcnMvZG93bnJldi54bWxMj8FKw0AQhu+C77CM4EXsplbXNGZTRFuKl4K1IN62yTQJzc7G7CZN&#10;397xpLcZ5uOf708Xo23EgJ2vHWmYTiIQSLkraio17D5WtzEIHwwVpnGEGs7oYZFdXqQmKdyJ3nHY&#10;hlJwCPnEaKhCaBMpfV6hNX7iWiS+HVxnTeC1K2XRmROH20beRZGS1tTEHyrT4kuF+XHbWw2b8yd9&#10;r/voMLy18dfuuFm+rm6WWl9fjc9PIAKO4Q+GX31Wh4yd9q6nwotGw4OazRnlYf4IggEVzxSIPZPT&#10;ewUyS+X/CtkPAAAA//8DAFBLAQItABQABgAIAAAAIQC2gziS/gAAAOEBAAATAAAAAAAAAAAAAAAA&#10;AAAAAABbQ29udGVudF9UeXBlc10ueG1sUEsBAi0AFAAGAAgAAAAhADj9If/WAAAAlAEAAAsAAAAA&#10;AAAAAAAAAAAALwEAAF9yZWxzLy5yZWxzUEsBAi0AFAAGAAgAAAAhAMvxiAs3AgAAYQQAAA4AAAAA&#10;AAAAAAAAAAAALgIAAGRycy9lMm9Eb2MueG1sUEsBAi0AFAAGAAgAAAAhAP9Ew93jAAAACgEAAA8A&#10;AAAAAAAAAAAAAAAAkQQAAGRycy9kb3ducmV2LnhtbFBLBQYAAAAABAAEAPMAAAChBQAAAAA=&#10;" strokeweight="1pt">
            <v:textbox>
              <w:txbxContent>
                <w:p w:rsidR="005A63D9" w:rsidRPr="00130F30" w:rsidRDefault="005A63D9" w:rsidP="003E3A14">
                  <w:pPr>
                    <w:spacing w:after="144"/>
                    <w:jc w:val="center"/>
                    <w:rPr>
                      <w:sz w:val="16"/>
                      <w:szCs w:val="16"/>
                    </w:rPr>
                  </w:pPr>
                  <w:r>
                    <w:rPr>
                      <w:sz w:val="16"/>
                      <w:szCs w:val="16"/>
                    </w:rPr>
                    <w:t>Tiskový odbor</w:t>
                  </w:r>
                </w:p>
              </w:txbxContent>
            </v:textbox>
          </v:shape>
        </w:pict>
      </w:r>
      <w:r>
        <w:rPr>
          <w:noProof/>
          <w:lang w:eastAsia="cs-CZ"/>
        </w:rPr>
        <w:pict>
          <v:shape id="Textové pole 215" o:spid="_x0000_s1087" type="#_x0000_t202" style="position:absolute;left:0;text-align:left;margin-left:186.1pt;margin-top:50.1pt;width:70.2pt;height:20.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j3kNgIAAGAEAAAOAAAAZHJzL2Uyb0RvYy54bWysVNuO2yAQfa/Uf0C8N46tZJtYcVbbbFNV&#10;2l6k3X4AwdhGBYYCib39o37H/lgHnKTRtn2p6gcEzHA4c87g1fWgFTkI5yWYiuaTKSXCcKilaSv6&#10;5WH7akGJD8zUTIERFX0Unl6vX75Y9bYUBXSgauEIghhf9raiXQi2zDLPO6GZn4AVBoMNOM0CLl2b&#10;1Y71iK5VVkynV1kPrrYOuPAed2/HIF0n/KYRPHxqGi8CURVFbiGNLo27OGbrFStbx2wn+ZEG+wcW&#10;mkmDl56hbllgZO/kb1BacgcemjDhoDNoGslFqgGryafPqrnvmBWpFhTH27NM/v/B8o+Hz47IuqJF&#10;PqfEMI0mPYghwOHpB7GgBIkBlKm3vsTse4v5YXgDA9qdSvb2DvhXTwxsOmZaceMc9J1gNdLM48ns&#10;4uiI4yPIrv8ANd7G9gES0NA4HTVEVQiio12PZ4uQEeG4uVjm8xlGOIaKq2KxTBZmrDwdts6HdwI0&#10;iZOKOuyABM4Odz5EMqw8pcS7PChZb6VSaeHa3UY5cmDYLdv0Jf7P0pQhfUWX82I+1v9XiGn6/gSh&#10;ZcC2V1JjReckVkbV3po6NWVgUo1zpKzMUcao3KhhGHbDaNziZM8O6kcU1sHY5vgscdKB+05Jjy1e&#10;Uf9tz5ygRL03aM4yn0UpQ1rM5q8LXLjLyO4ywgxHqIoGSsbpJozvaG+dbDu8aWwHAzdoaCOT2NH5&#10;kdWRP7Zx8uD45OI7uVynrF8/hvVPAAAA//8DAFBLAwQUAAYACAAAACEAl08qXuEAAAALAQAADwAA&#10;AGRycy9kb3ducmV2LnhtbEyPzU7DMBCE70i8g7VIXBC1k5a0hDgVQgLBDdoKrm68TSL8E2w3DW/P&#10;coLb7s5o9ptqPVnDRgyx905CNhPA0DVe966VsNs+Xq+AxaScVsY7lPCNEdb1+VmlSu1P7g3HTWoZ&#10;hbhYKgldSkPJeWw6tCrO/ICOtIMPViVaQ8t1UCcKt4bnQhTcqt7Rh04N+NBh87k5WgmrxfP4EV/m&#10;r+9NcTC36Wo5Pn0FKS8vpvs7YAmn9GeGX3xCh5qY9v7odGRGwnyZ52QlQQgayHGT5QWwPV0WWQG8&#10;rvj/DvUPAAAA//8DAFBLAQItABQABgAIAAAAIQC2gziS/gAAAOEBAAATAAAAAAAAAAAAAAAAAAAA&#10;AABbQ29udGVudF9UeXBlc10ueG1sUEsBAi0AFAAGAAgAAAAhADj9If/WAAAAlAEAAAsAAAAAAAAA&#10;AAAAAAAALwEAAF9yZWxzLy5yZWxzUEsBAi0AFAAGAAgAAAAhALDSPeQ2AgAAYAQAAA4AAAAAAAAA&#10;AAAAAAAALgIAAGRycy9lMm9Eb2MueG1sUEsBAi0AFAAGAAgAAAAhAJdPKl7hAAAACwEAAA8AAAAA&#10;AAAAAAAAAAAAkAQAAGRycy9kb3ducmV2LnhtbFBLBQYAAAAABAAEAPMAAACeBQAAAAA=&#10;">
            <v:textbox>
              <w:txbxContent>
                <w:p w:rsidR="005A63D9" w:rsidRPr="00130F30" w:rsidRDefault="005A63D9" w:rsidP="003E3A14">
                  <w:pPr>
                    <w:spacing w:after="144"/>
                    <w:jc w:val="center"/>
                    <w:rPr>
                      <w:sz w:val="18"/>
                      <w:szCs w:val="18"/>
                    </w:rPr>
                  </w:pPr>
                  <w:r w:rsidRPr="00FA7281">
                    <w:rPr>
                      <w:sz w:val="16"/>
                      <w:szCs w:val="16"/>
                    </w:rPr>
                    <w:t>Stálý</w:t>
                  </w:r>
                  <w:r>
                    <w:rPr>
                      <w:sz w:val="18"/>
                      <w:szCs w:val="18"/>
                    </w:rPr>
                    <w:t xml:space="preserve"> tajemník</w:t>
                  </w:r>
                </w:p>
              </w:txbxContent>
            </v:textbox>
          </v:shape>
        </w:pict>
      </w:r>
      <w:r>
        <w:rPr>
          <w:noProof/>
          <w:lang w:eastAsia="cs-CZ"/>
        </w:rPr>
        <w:pict>
          <v:shape id="Textové pole 214" o:spid="_x0000_s1088" type="#_x0000_t202" style="position:absolute;left:0;text-align:left;margin-left:177.55pt;margin-top:115.35pt;width:87.3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oRNgIAAGIEAAAOAAAAZHJzL2Uyb0RvYy54bWysVF2O0zAQfkfiDpbfaZKqpbtR09XSpQhp&#10;+ZF2OYDjOI2F7TG226TciHPsxRg7bakWxAMiD5anM/5m5vtmurwZtCJ74bwEU9FiklMiDIdGmm1F&#10;vzxuXl1R4gMzDVNgREUPwtOb1csXy96WYgodqEY4giDGl72taBeCLbPM805o5idghUFnC06zgKbb&#10;Zo1jPaJrlU3z/HXWg2usAy68x1/vRiddJfy2FTx8alsvAlEVxdpCOl0663hmqyUrt47ZTvJjGewf&#10;qtBMGkx6hrpjgZGdk79BackdeGjDhIPOoG0lF6kH7KbIn3Xz0DErUi9Ijrdnmvz/g+Uf958dkU1F&#10;p8WMEsM0ivQohgD7px/EghIkOpCm3voSox8sxofhDQwod2rZ23vgXz0xsO6Y2Ypb56DvBGuwzCK+&#10;zC6ejjg+gtT9B2gwG9sFSEBD63TkEFkhiI5yHc4SYUWEx5RFfrUo0MXRN18U8zxpmLHy9No6H94J&#10;0CReKupwBBI629/7EKth5SkkJvOgZLORSiXDbeu1cmTPcFw26UsNPAtThvRYynSByf+OkafvTxha&#10;Bhx8JXVFr85BrIy8vTVNGsvApBrvWLMyRyIjdyOLYaiHUbrrk0A1NAek1sE46LiYeOnAfaekxyGv&#10;qP+2Y05Qot4blOe6mM3iViRjNl9M0XCXnvrSwwxHqIoGSsbrOoybtLNObjvMNA6EgVuUtJWJ7aj9&#10;WNWxfhzkJMJx6eKmXNop6tdfw+onAAAA//8DAFBLAwQUAAYACAAAACEAxxbh+eMAAAALAQAADwAA&#10;AGRycy9kb3ducmV2LnhtbEyPQUvDQBCF74L/YRnBi9hNU6I1ZlNEW8RLwbZQvG2z0yQ0OxuzmzT9&#10;944nvc3Me7z5XrYYbSMG7HztSMF0EoFAKpypqVSw267u5yB80GR04wgVXNDDIr++ynRq3Jk+cdiE&#10;UnAI+VQrqEJoUyl9UaHVfuJaJNaOrrM68NqV0nT6zOG2kXEUPUira+IPlW7xtcLitOmtgvVlT9/v&#10;fXQcPtr51+60Xr6t7pZK3d6ML88gAo7hzwy/+IwOOTMdXE/Gi0bBLEmmbFUQz6JHEOxI4iceDizF&#10;fJF5Jv93yH8AAAD//wMAUEsBAi0AFAAGAAgAAAAhALaDOJL+AAAA4QEAABMAAAAAAAAAAAAAAAAA&#10;AAAAAFtDb250ZW50X1R5cGVzXS54bWxQSwECLQAUAAYACAAAACEAOP0h/9YAAACUAQAACwAAAAAA&#10;AAAAAAAAAAAvAQAAX3JlbHMvLnJlbHNQSwECLQAUAAYACAAAACEAMUnaETYCAABiBAAADgAAAAAA&#10;AAAAAAAAAAAuAgAAZHJzL2Uyb0RvYy54bWxQSwECLQAUAAYACAAAACEAxxbh+eMAAAALAQAADwAA&#10;AAAAAAAAAAAAAACQBAAAZHJzL2Rvd25yZXYueG1sUEsFBgAAAAAEAAQA8wAAAKAFAAAAAA==&#10;" strokeweight="1pt">
            <v:textbox>
              <w:txbxContent>
                <w:p w:rsidR="005A63D9" w:rsidRPr="00130F30" w:rsidRDefault="005A63D9" w:rsidP="003E3A14">
                  <w:pPr>
                    <w:spacing w:after="144"/>
                    <w:jc w:val="center"/>
                    <w:rPr>
                      <w:sz w:val="18"/>
                      <w:szCs w:val="18"/>
                    </w:rPr>
                  </w:pPr>
                  <w:r>
                    <w:rPr>
                      <w:sz w:val="18"/>
                      <w:szCs w:val="18"/>
                    </w:rPr>
                    <w:t>Sekce potraviny a podnikání</w:t>
                  </w:r>
                </w:p>
              </w:txbxContent>
            </v:textbox>
          </v:shape>
        </w:pict>
      </w:r>
      <w:r>
        <w:rPr>
          <w:noProof/>
          <w:lang w:eastAsia="cs-CZ"/>
        </w:rPr>
        <w:pict>
          <v:shape id="Textové pole 213" o:spid="_x0000_s1089" type="#_x0000_t202" style="position:absolute;left:0;text-align:left;margin-left:12.85pt;margin-top:115.35pt;width:87.3pt;height: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A4NgIAAGIEAAAOAAAAZHJzL2Uyb0RvYy54bWysVF1u2zAMfh+wOwh6X2ynyZIZcYouXYYB&#10;3Q/Q7gCKLNvCJFGTlNjdjXqOXWyUnKZBN+xhmB8EMaQ+fvxIZnU5aEUOwnkJpqLFJKdEGA61NG1F&#10;v95tXy0p8YGZmikwoqL3wtPL9csXq96WYgodqFo4giDGl72taBeCLbPM805o5idghUFnA06zgKZr&#10;s9qxHtG1yqZ5/jrrwdXWARfe46/Xo5OuE37TCB4+N40XgaiKIreQTpfOXTyz9YqVrWO2k/xIg/0D&#10;C82kwaQnqGsWGNk7+RuUltyBhyZMOOgMmkZykWrAaor8WTW3HbMi1YLieHuSyf8/WP7p8MURWVd0&#10;WlxQYpjGJt2JIcDh5wOxoASJDpSpt77E6FuL8WF4CwO2O5Xs7Q3wb54Y2HTMtOLKOeg7wWqkWcSX&#10;2dnTEcdHkF3/EWrMxvYBEtDQOB01RFUIomO77k8tQkaEx5RFvlwU6OLomy+KeZ56mLHy8bV1PrwX&#10;oEm8VNThCCR0drjxIbJh5WNITOZByXorlUqGa3cb5ciB4bhs05cKeBamDOmRynSByf+OkafvTxha&#10;Bhx8JXVFl6cgVkbd3pk6jWVgUo135KzMUcio3ahiGHZDat1F0iCqvIP6HqV1MA46LiZeOnA/KOlx&#10;yCvqv++ZE5SoDwbb86aYzeJWJGM2X0zRcOee3bmHGY5QFQ2UjNdNGDdpb51sO8w0DoSBK2xpI5Pa&#10;T6yO/HGQUxOOSxc35dxOUU9/DetfAAAA//8DAFBLAwQUAAYACAAAACEAP4LmreAAAAAKAQAADwAA&#10;AGRycy9kb3ducmV2LnhtbEyPT0vDQBDF74LfYRnBi9hdE9QSsymiLeKlYC2It212moRmZ2N2k6bf&#10;3ulJT/Pv8d5v8sXkWjFiHxpPGu5mCgRS6W1DlYbt5+p2DiJEQ9a0nlDDCQMsisuL3GTWH+kDx02s&#10;BJtQyIyGOsYukzKUNToTZr5D4tve985EHvtK2t4c2dy1MlHqQTrTECfUpsOXGsvDZnAa1qcv+nkb&#10;1H587+bf28N6+bq6WWp9fTU9P4GIOMU/MZzxGR0KZtr5gWwQrYbk/pGVXFPFDQs4LgWx05AmvJFF&#10;Lv+/UPwCAAD//wMAUEsBAi0AFAAGAAgAAAAhALaDOJL+AAAA4QEAABMAAAAAAAAAAAAAAAAAAAAA&#10;AFtDb250ZW50X1R5cGVzXS54bWxQSwECLQAUAAYACAAAACEAOP0h/9YAAACUAQAACwAAAAAAAAAA&#10;AAAAAAAvAQAAX3JlbHMvLnJlbHNQSwECLQAUAAYACAAAACEAKntgODYCAABiBAAADgAAAAAAAAAA&#10;AAAAAAAuAgAAZHJzL2Uyb0RvYy54bWxQSwECLQAUAAYACAAAACEAP4LmreAAAAAKAQAADwAAAAAA&#10;AAAAAAAAAACQBAAAZHJzL2Rvd25yZXYueG1sUEsFBgAAAAAEAAQA8wAAAJ0FAAAAAA==&#10;" strokeweight="1pt">
            <v:textbox>
              <w:txbxContent>
                <w:p w:rsidR="005A63D9" w:rsidRPr="00130F30" w:rsidRDefault="005A63D9" w:rsidP="003E3A14">
                  <w:pPr>
                    <w:spacing w:after="144"/>
                    <w:jc w:val="center"/>
                    <w:rPr>
                      <w:sz w:val="18"/>
                      <w:szCs w:val="18"/>
                    </w:rPr>
                  </w:pPr>
                  <w:r>
                    <w:rPr>
                      <w:sz w:val="18"/>
                      <w:szCs w:val="18"/>
                    </w:rPr>
                    <w:t>Sekce pro mezinárodní záležitosti</w:t>
                  </w:r>
                </w:p>
              </w:txbxContent>
            </v:textbox>
          </v:shape>
        </w:pict>
      </w:r>
      <w:r>
        <w:rPr>
          <w:noProof/>
          <w:lang w:eastAsia="cs-CZ"/>
        </w:rPr>
        <w:pict>
          <v:shape id="Textové pole 212" o:spid="_x0000_s1090" type="#_x0000_t202" style="position:absolute;left:0;text-align:left;margin-left:186.1pt;margin-top:4.65pt;width:70.2pt;height:32.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eaSNgIAAGEEAAAOAAAAZHJzL2Uyb0RvYy54bWysVEtu2zAQ3RfoHQjua31qN7FgOUiduiiQ&#10;foCkB6AoSiJKcViStuTeKOfoxTqkHMf9bYpqQXA4wzdv3gy1uhp7RfbCOgm6pNkspURoDrXUbUk/&#10;329fXFLiPNM1U6BFSQ/C0av182erwRQihw5ULSxBEO2KwZS0894USeJ4J3rmZmCERmcDtmceTdsm&#10;tWUDovcqydP0VTKArY0FLpzD05vJSdcRv2kE9x+bxglPVEmRm4+rjWsV1mS9YkVrmekkP9Jg/8Ci&#10;Z1Jj0hPUDfOM7Kz8DaqX3IKDxs849Ak0jeQi1oDVZOkv1dx1zIhYC4rjzEkm9/9g+Yf9J0tkXdI8&#10;yynRrMcm3YvRw/77AzGgBAkOlGkwrsDoO4PxfnwNI7Y7luzMLfAvjmjYdEy34tpaGDrBaqSZhZvJ&#10;2dUJxwWQangPNWZjOw8RaGxsHzREVQiiY7sOpxYhI8Lx8HKZLebo4eiaZxfZchEzsOLxsrHOvxXQ&#10;k7ApqcUJiOBsf+t8IMOKx5CQy4GS9VYqFQ3bVhtlyZ7htGzjd0T/KUxpMmBp+UWaTgL8FSON358w&#10;eulx7pXssaRTECuCbG90HafSM6mmPXJW+qhjkG4S0Y/VGDv3MqocRK6gPqCyFqY5x3eJmw7sN0oG&#10;nPGSuq87ZgUl6p3G7iyzedDSR2O+uMjRsOee6tzDNEeoknpKpu3GTw9pZ6xsO8w0zYOGa+xoI6Pa&#10;T6yO/HGOYxOOby48lHM7Rj39GdY/AAAA//8DAFBLAwQUAAYACAAAACEAygiu1+IAAAAIAQAADwAA&#10;AGRycy9kb3ducmV2LnhtbEyPT0vDQBTE74LfYXmCF7G7TekfY16KaIt4KdgWirdt8pqEZt/G7CZN&#10;v73rSY/DDDO/SZaDqUVPrassI4xHCgRxZvOKC4T9bv24AOG85lzXlgnhSg6W6e1NouPcXviT+q0v&#10;RChhF2uE0vsmltJlJRntRrYhDt7Jtkb7INtC5q2+hHJTy0ipmTS64rBQ6oZeS8rO284gbK4H/n7v&#10;1Kn/aBZf+/Nm9bZ+WCHe3w0vzyA8Df4vDL/4AR3SwHS0HedO1AiTeRSFKMLTBETwp+NoBuKIMJ8q&#10;kGki/x9IfwAAAP//AwBQSwECLQAUAAYACAAAACEAtoM4kv4AAADhAQAAEwAAAAAAAAAAAAAAAAAA&#10;AAAAW0NvbnRlbnRfVHlwZXNdLnhtbFBLAQItABQABgAIAAAAIQA4/SH/1gAAAJQBAAALAAAAAAAA&#10;AAAAAAAAAC8BAABfcmVscy8ucmVsc1BLAQItABQABgAIAAAAIQBJ9eaSNgIAAGEEAAAOAAAAAAAA&#10;AAAAAAAAAC4CAABkcnMvZTJvRG9jLnhtbFBLAQItABQABgAIAAAAIQDKCK7X4gAAAAgBAAAPAAAA&#10;AAAAAAAAAAAAAJAEAABkcnMvZG93bnJldi54bWxQSwUGAAAAAAQABADzAAAAnwUAAAAA&#10;" strokeweight="1pt">
            <v:textbox>
              <w:txbxContent>
                <w:p w:rsidR="005A63D9" w:rsidRPr="00130F30" w:rsidRDefault="005A63D9" w:rsidP="003E3A14">
                  <w:pPr>
                    <w:spacing w:after="144"/>
                    <w:jc w:val="center"/>
                    <w:rPr>
                      <w:sz w:val="18"/>
                      <w:szCs w:val="18"/>
                    </w:rPr>
                  </w:pPr>
                  <w:r>
                    <w:rPr>
                      <w:sz w:val="18"/>
                      <w:szCs w:val="18"/>
                    </w:rPr>
                    <w:t>Ministr</w:t>
                  </w:r>
                </w:p>
              </w:txbxContent>
            </v:textbox>
          </v:shape>
        </w:pict>
      </w: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r>
        <w:rPr>
          <w:noProof/>
          <w:lang w:eastAsia="cs-CZ"/>
        </w:rPr>
        <w:pict>
          <v:shape id="Textové pole 239" o:spid="_x0000_s1091" type="#_x0000_t202" style="position:absolute;margin-left:302.2pt;margin-top:.7pt;width:70.65pt;height:37.8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WDOAIAAGEEAAAOAAAAZHJzL2Uyb0RvYy54bWysVF2O0zAQfkfiDpbfadJsy7ZR09XSpQhp&#10;+ZF2OYDjOImF4zG226TcaM/BxRg7bakWeEHkwfJ4xp9nvm8mq5uhU2QvrJOgCzqdpJQIzaGSuino&#10;l8ftqwUlzjNdMQVaFPQgHL1Zv3yx6k0uMmhBVcISBNEu701BW+9NniSOt6JjbgJGaHTWYDvm0bRN&#10;UlnWI3qnkixNXyc92MpY4MI5PL0bnXQd8etacP+prp3wRBUUc/NxtXEtw5qsVyxvLDOt5Mc02D9k&#10;0TGp8dEz1B3zjOys/A2qk9yCg9pPOHQJ1LXkItaA1UzTZ9U8tMyIWAuS48yZJvf/YPnH/WdLZFXQ&#10;7GpJiWYdivQoBg/7H0/EgBIkOJCm3rgcox8MxvvhDQwodyzZmXvgXx3RsGmZbsSttdC3glWY5jTc&#10;TC6ujjgugJT9B6jwNbbzEIGG2naBQ2SFIDrKdThLhBkRjoeL5XU2n1PC0TVbYANECROWny4b6/w7&#10;AR0Jm4Ja7IAIzvb3zodkWH4KCW85ULLaSqWiYZtyoyzZM+yWbfxi/s/ClCY9lpZdp+lIwF8x0vj9&#10;CaOTHvteyQ5LOgexPND2VlexKz2TatxjzkofeQzUjST6oRyiclfZSZ8SqgMya2Hsc5xL3LRgv1PS&#10;Y48X1H3bMSsoUe81qrOczmZhKKIxm19naNhLT3npYZojVEE9JeN248dB2hkrmxZfGvtBwy0qWsvI&#10;dpB+zOqYP/ZxFOE4c2FQLu0Y9evPsP4JAAD//wMAUEsDBBQABgAIAAAAIQBJ4iyJ4AAAAAgBAAAP&#10;AAAAZHJzL2Rvd25yZXYueG1sTI9BS8NAEIXvgv9hGcGL2F0lNiVmU0RbxEvBWhBv2+w0Cc3Oxuwm&#10;Tf+940lPM8N7vPlevpxcK0bsQ+NJw91MgUAqvW2o0rD7WN8uQIRoyJrWE2o4Y4BlcXmRm8z6E73j&#10;uI2V4BAKmdFQx9hlUoayRmfCzHdIrB1870zks6+k7c2Jw10r75WaS2ca4g+16fC5xvK4HZyGzfmT&#10;vl8HdRjfusXX7rhZvaxvVlpfX01PjyAiTvHPDL/4jA4FM+39QDaIVsNcJQlbWeDBepo8pCD2vKQK&#10;ZJHL/wWKHwAAAP//AwBQSwECLQAUAAYACAAAACEAtoM4kv4AAADhAQAAEwAAAAAAAAAAAAAAAAAA&#10;AAAAW0NvbnRlbnRfVHlwZXNdLnhtbFBLAQItABQABgAIAAAAIQA4/SH/1gAAAJQBAAALAAAAAAAA&#10;AAAAAAAAAC8BAABfcmVscy8ucmVsc1BLAQItABQABgAIAAAAIQDxTQWDOAIAAGEEAAAOAAAAAAAA&#10;AAAAAAAAAC4CAABkcnMvZTJvRG9jLnhtbFBLAQItABQABgAIAAAAIQBJ4iyJ4AAAAAgBAAAPAAAA&#10;AAAAAAAAAAAAAJIEAABkcnMvZG93bnJldi54bWxQSwUGAAAAAAQABADzAAAAnwUAAAAA&#10;" strokeweight="1pt">
            <v:textbox>
              <w:txbxContent>
                <w:p w:rsidR="005A63D9" w:rsidRPr="007B51F2" w:rsidRDefault="005A63D9" w:rsidP="003E3A14">
                  <w:pPr>
                    <w:spacing w:after="144"/>
                    <w:jc w:val="center"/>
                    <w:rPr>
                      <w:sz w:val="14"/>
                      <w:szCs w:val="14"/>
                    </w:rPr>
                  </w:pPr>
                  <w:r>
                    <w:rPr>
                      <w:sz w:val="14"/>
                      <w:szCs w:val="14"/>
                    </w:rPr>
                    <w:t>Agrikultura a </w:t>
                  </w:r>
                  <w:r w:rsidRPr="007B51F2">
                    <w:rPr>
                      <w:sz w:val="14"/>
                      <w:szCs w:val="14"/>
                    </w:rPr>
                    <w:t>životní prostředí</w:t>
                  </w:r>
                </w:p>
              </w:txbxContent>
            </v:textbox>
          </v:shape>
        </w:pict>
      </w:r>
      <w:r>
        <w:rPr>
          <w:noProof/>
          <w:lang w:eastAsia="cs-CZ"/>
        </w:rPr>
        <w:pict>
          <v:shape id="Textové pole 220" o:spid="_x0000_s1092" type="#_x0000_t202" style="position:absolute;margin-left:64.6pt;margin-top:2.1pt;width:64.8pt;height:36.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NkKNwIAAGEEAAAOAAAAZHJzL2Uyb0RvYy54bWysVF1u2zAMfh+wOwh6X+y4WZoacYouXYYB&#10;3Q/Q7gCyLMfCJFGTlNjdjXqOXWyUnGRBt70M84MgidTHjx9JL68HrcheOC/BVHQ6ySkRhkMjzbai&#10;Xx42rxaU+MBMwxQYUdFH4en16uWLZW9LUUAHqhGOIIjxZW8r2oVgyyzzvBOa+QlYYdDYgtMs4NFt&#10;s8axHtG1yoo8n2c9uMY64MJ7vL0djXSV8NtW8PCpbb0IRFUUuYW0urTWcc1WS1ZuHbOd5Aca7B9Y&#10;aCYNBj1B3bLAyM7J36C05A48tGHCQWfQtpKLlANmM82fZXPfMStSLiiOtyeZ/P+D5R/3nx2RTUWL&#10;AvUxTGORHsQQYP/jiVhQgkQDytRbX6L3vUX/MLyBAcudUvb2DvhXTwysO2a24sY56DvBGqQ5jS+z&#10;s6cjjo8gdf8BGozGdgES0NA6HTVEVQiiI53HU4mQEeF4uSiKqzlaOJpm86JYJG4ZK4+PrfPhnQBN&#10;4qaiDjsggbP9nQ+RDCuPLjGWByWbjVQqHdy2XitH9gy7ZZO+xP+ZmzKkx9SKyzwfBfgrRp6+P2Fo&#10;GbDvldSY0smJlVG2t6ZJXRmYVOMeOStz0DFKN4oYhnpIlbu4ONanhuYRlXUw9jnOJW46cN8p6bHH&#10;K+q/7ZgTlKj3BqtzNZ3N4lCkw+z1ZewAd26pzy3McISqaKBk3K7DOEg76+S2w0hjPxi4wYq2Mqkd&#10;Sz+yOvDHPk5FOMxcHJTzc/L69WdY/QQAAP//AwBQSwMEFAAGAAgAAAAhABUtwGPgAAAACAEAAA8A&#10;AABkcnMvZG93bnJldi54bWxMj0FLw0AQhe+C/2EZwYvYXYPaGLMpoi3ipWAtiLdtdpqEZmdjdpOm&#10;/97xpKfh8R5vvpcvJteKEfvQeNJwM1MgkEpvG6o0bD9W1ymIEA1Z03pCDScMsCjOz3KTWX+kdxw3&#10;sRJcQiEzGuoYu0zKUNboTJj5Dom9ve+diSz7StreHLnctTJR6l460xB/qE2HzzWWh83gNKxPn/T9&#10;Oqj9+NalX9vDevmyulpqfXkxPT2CiDjFvzD84jM6FMy08wPZIFrWyUPCUQ23fNhP7lKestMwnyuQ&#10;RS7/Dyh+AAAA//8DAFBLAQItABQABgAIAAAAIQC2gziS/gAAAOEBAAATAAAAAAAAAAAAAAAAAAAA&#10;AABbQ29udGVudF9UeXBlc10ueG1sUEsBAi0AFAAGAAgAAAAhADj9If/WAAAAlAEAAAsAAAAAAAAA&#10;AAAAAAAALwEAAF9yZWxzLy5yZWxzUEsBAi0AFAAGAAgAAAAhAEnQ2Qo3AgAAYQQAAA4AAAAAAAAA&#10;AAAAAAAALgIAAGRycy9lMm9Eb2MueG1sUEsBAi0AFAAGAAgAAAAhABUtwGPgAAAACAEAAA8AAAAA&#10;AAAAAAAAAAAAkQQAAGRycy9kb3ducmV2LnhtbFBLBQYAAAAABAAEAPMAAACeBQAAAAA=&#10;" strokeweight="1pt">
            <v:textbox>
              <w:txbxContent>
                <w:p w:rsidR="005A63D9" w:rsidRDefault="005A63D9" w:rsidP="003E3A14">
                  <w:pPr>
                    <w:spacing w:after="144"/>
                    <w:jc w:val="center"/>
                  </w:pPr>
                  <w:r>
                    <w:rPr>
                      <w:sz w:val="14"/>
                      <w:szCs w:val="14"/>
                    </w:rPr>
                    <w:t>EU – agrikultura a rybářství</w:t>
                  </w:r>
                </w:p>
                <w:p w:rsidR="005A63D9" w:rsidRDefault="005A63D9" w:rsidP="003E3A14">
                  <w:pPr>
                    <w:spacing w:after="144"/>
                  </w:pPr>
                </w:p>
              </w:txbxContent>
            </v:textbox>
          </v:shape>
        </w:pict>
      </w: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Pr="00F95CD1" w:rsidRDefault="005A63D9" w:rsidP="003E3A14">
      <w:pPr>
        <w:spacing w:after="144"/>
      </w:pP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Default="005A63D9" w:rsidP="003E3A14">
      <w:pPr>
        <w:spacing w:after="144"/>
      </w:pPr>
    </w:p>
    <w:p w:rsidR="005A63D9" w:rsidRPr="00946055" w:rsidRDefault="005A63D9" w:rsidP="00946055">
      <w:pPr>
        <w:pStyle w:val="ZDROJovan"/>
        <w:spacing w:after="144"/>
        <w:rPr>
          <w:i w:val="0"/>
        </w:rPr>
      </w:pPr>
      <w:r w:rsidRPr="00946055">
        <w:t xml:space="preserve">Zdroj: </w:t>
      </w:r>
      <w:r w:rsidRPr="002A0959">
        <w:t xml:space="preserve">web ministerstva – </w:t>
      </w:r>
      <w:r w:rsidRPr="00946055">
        <w:t>www.mfvm.dk</w:t>
      </w:r>
    </w:p>
    <w:p w:rsidR="005A63D9" w:rsidRDefault="005A63D9">
      <w:pPr>
        <w:spacing w:afterLines="0" w:line="259" w:lineRule="auto"/>
        <w:contextualSpacing w:val="0"/>
        <w:rPr>
          <w:i/>
          <w:sz w:val="18"/>
          <w:szCs w:val="20"/>
        </w:rPr>
      </w:pPr>
      <w:r>
        <w:rPr>
          <w:i/>
          <w:sz w:val="18"/>
          <w:szCs w:val="20"/>
        </w:rPr>
        <w:br w:type="page"/>
      </w:r>
    </w:p>
    <w:p w:rsidR="005A63D9" w:rsidRPr="004B4699" w:rsidRDefault="005A63D9" w:rsidP="004B4699">
      <w:pPr>
        <w:pStyle w:val="Heading3"/>
        <w:keepNext/>
        <w:keepLines/>
        <w:spacing w:before="240" w:afterLines="0" w:line="240" w:lineRule="auto"/>
        <w:contextualSpacing w:val="0"/>
        <w:rPr>
          <w:bCs/>
          <w:shd w:val="clear" w:color="auto" w:fill="FFFFFF"/>
          <w:lang/>
        </w:rPr>
      </w:pPr>
      <w:bookmarkStart w:id="223" w:name="_Toc440897461"/>
      <w:bookmarkStart w:id="224" w:name="_Toc441760863"/>
      <w:bookmarkStart w:id="225" w:name="_Toc441849526"/>
      <w:r w:rsidRPr="004B4699">
        <w:rPr>
          <w:bCs/>
          <w:shd w:val="clear" w:color="auto" w:fill="FFFFFF"/>
          <w:lang/>
        </w:rPr>
        <w:t>Schéma základní úpravy dánského systému podpory VaVaI</w:t>
      </w:r>
      <w:bookmarkEnd w:id="223"/>
      <w:bookmarkEnd w:id="224"/>
      <w:bookmarkEnd w:id="225"/>
    </w:p>
    <w:p w:rsidR="005A63D9" w:rsidRPr="00401A39" w:rsidRDefault="005A63D9" w:rsidP="00401A39">
      <w:pPr>
        <w:autoSpaceDE w:val="0"/>
        <w:autoSpaceDN w:val="0"/>
        <w:adjustRightInd w:val="0"/>
        <w:spacing w:after="144"/>
        <w:jc w:val="both"/>
        <w:rPr>
          <w:b/>
        </w:rPr>
      </w:pPr>
    </w:p>
    <w:p w:rsidR="005A63D9" w:rsidRPr="00401A39" w:rsidRDefault="005A63D9" w:rsidP="00401A39">
      <w:pPr>
        <w:autoSpaceDE w:val="0"/>
        <w:autoSpaceDN w:val="0"/>
        <w:adjustRightInd w:val="0"/>
        <w:spacing w:after="144"/>
        <w:jc w:val="both"/>
        <w:rPr>
          <w:b/>
        </w:rPr>
      </w:pPr>
    </w:p>
    <w:p w:rsidR="005A63D9" w:rsidRPr="00401A39" w:rsidRDefault="005A63D9" w:rsidP="00401A39">
      <w:pPr>
        <w:autoSpaceDE w:val="0"/>
        <w:autoSpaceDN w:val="0"/>
        <w:adjustRightInd w:val="0"/>
        <w:spacing w:after="144"/>
        <w:jc w:val="both"/>
        <w:rPr>
          <w:sz w:val="20"/>
          <w:szCs w:val="20"/>
        </w:rPr>
      </w:pPr>
      <w:r>
        <w:rPr>
          <w:noProof/>
          <w:lang w:eastAsia="cs-CZ"/>
        </w:rPr>
        <w:pict>
          <v:shape id="Textové pole 246" o:spid="_x0000_s1093" type="#_x0000_t202" style="position:absolute;left:0;text-align:left;margin-left:47.95pt;margin-top:61.35pt;width:103.5pt;height:4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DaUwIAAM4EAAAOAAAAZHJzL2Uyb0RvYy54bWysVNtuGyEQfa/Uf0C812s7duKsso5Sp6kq&#10;pRcp6QewLOtFBYYC9q77R/mO/lgHsF23kfoQ9QUBw54zM+fMXl0PWpGtcF6CqehkNKZEGA6NNOuK&#10;fn28e7OgxAdmGqbAiIruhKfXy9evrnpbiil0oBrhCIIYX/a2ol0ItiwKzzuhmR+BFQaDLTjNAh7d&#10;umgc6xFdq2I6Hp8XPbjGOuDCe7y9zUG6TPhtK3j43LZeBKIqirmFtLq01nEtllesXDtmO8n3abAX&#10;ZKGZNEh6hLplgZGNk8+gtOQOPLRhxEEX0LaSi1QDVjMZ/1XNQ8esSLVgc7w9tsn/P1j+afvFEdlU&#10;dDo7p8QwjSI9iiHA9ucTsaAEiQFsU299ia8fLL4Pw1sYUO5Usrf3wL95YmDVMbMWN85B3wnWYJqT&#10;+GVx8mnG8RGk7j9Cg2xsEyABDa3TsYfYFYLoKNfuKBFmRHikPJvMZnMMcYzNLybzcdKwYOXha+t8&#10;eC9Ak7ipqEMLJHS2vfchZsPKw5NI5kHJ5k4qlQ7RdmKlHNkyNEy9zhWqjcZU890CGfe2wWs0V74+&#10;ZJGMGxES0R/gypC+opfz6Ty37R/EYXhOPEHeFzJrGXDIlNQVXZygRI3emSaNQGBS5T32R5m9aFGn&#10;rFgY6iHZ5Gx2MEMNzQ5ldJCHCn8CuOnA/aCkx4GqqP++YU5Qoj4YtMIlChcnMB1m84spHtxppD6N&#10;MMMRqqKBkrxdhTy1G+vkukOm3CEDN2ifViZlo89yVvv8cWiSDvsBj1N5ek6vfv+Glr8AAAD//wMA&#10;UEsDBBQABgAIAAAAIQAwcjB13wAAAAoBAAAPAAAAZHJzL2Rvd25yZXYueG1sTI/LTsMwEEX3SPyD&#10;NUjsqFOjtjTEqSrES2IDpQuWbjx5iHgcxc6jf8+wguWcubpzJtvNrhUj9qHxpGG5SEAgFd42VGk4&#10;fj7d3IEI0ZA1rSfUcMYAu/zyIjOp9RN94HiIleASCqnRUMfYpVKGokZnwsJ3SLwrfe9M5LGvpO3N&#10;xOWulSpJ1tKZhvhCbTp8qLH4PgxOQ7cqx/fn1+P6cV82L5th+pLnN6/19dW8vwcRcY5/YfjVZ3XI&#10;2enkB7JBtBq2qy0nmSu1AcGB20QxOWlQSyYyz+T/F/IfAAAA//8DAFBLAQItABQABgAIAAAAIQC2&#10;gziS/gAAAOEBAAATAAAAAAAAAAAAAAAAAAAAAABbQ29udGVudF9UeXBlc10ueG1sUEsBAi0AFAAG&#10;AAgAAAAhADj9If/WAAAAlAEAAAsAAAAAAAAAAAAAAAAALwEAAF9yZWxzLy5yZWxzUEsBAi0AFAAG&#10;AAgAAAAhAIcq0NpTAgAAzgQAAA4AAAAAAAAAAAAAAAAALgIAAGRycy9lMm9Eb2MueG1sUEsBAi0A&#10;FAAGAAgAAAAhADByMHXfAAAACgEAAA8AAAAAAAAAAAAAAAAArQQAAGRycy9kb3ducmV2LnhtbFBL&#10;BQYAAAAABAAEAPMAAAC5BQAAAAA=&#10;" fillcolor="#d8d8d8">
            <v:textbox>
              <w:txbxContent>
                <w:p w:rsidR="005A63D9" w:rsidRPr="008B7936" w:rsidRDefault="005A63D9" w:rsidP="00401A39">
                  <w:pPr>
                    <w:spacing w:after="144" w:line="240" w:lineRule="auto"/>
                    <w:jc w:val="center"/>
                    <w:rPr>
                      <w:b/>
                      <w:sz w:val="16"/>
                      <w:szCs w:val="16"/>
                    </w:rPr>
                  </w:pPr>
                  <w:r w:rsidRPr="008B7936">
                    <w:rPr>
                      <w:b/>
                      <w:sz w:val="16"/>
                      <w:szCs w:val="16"/>
                    </w:rPr>
                    <w:t>Dánská rada pro technologie a inovace</w:t>
                  </w:r>
                </w:p>
                <w:p w:rsidR="005A63D9" w:rsidRPr="008B7936" w:rsidRDefault="005A63D9" w:rsidP="00401A39">
                  <w:pPr>
                    <w:spacing w:after="144" w:line="240" w:lineRule="auto"/>
                    <w:jc w:val="center"/>
                    <w:rPr>
                      <w:sz w:val="12"/>
                      <w:szCs w:val="12"/>
                    </w:rPr>
                  </w:pPr>
                  <w:r>
                    <w:rPr>
                      <w:sz w:val="12"/>
                      <w:szCs w:val="12"/>
                    </w:rPr>
                    <w:t>(Danisch council for Technology and Innovation)</w:t>
                  </w:r>
                </w:p>
                <w:p w:rsidR="005A63D9" w:rsidRPr="008B7936" w:rsidRDefault="005A63D9" w:rsidP="00401A39">
                  <w:pPr>
                    <w:spacing w:after="144"/>
                    <w:rPr>
                      <w:sz w:val="16"/>
                      <w:szCs w:val="16"/>
                    </w:rPr>
                  </w:pPr>
                </w:p>
              </w:txbxContent>
            </v:textbox>
          </v:shape>
        </w:pict>
      </w:r>
      <w:r>
        <w:rPr>
          <w:noProof/>
          <w:lang w:eastAsia="cs-CZ"/>
        </w:rPr>
        <w:pict>
          <v:shape id="Textové pole 247" o:spid="_x0000_s1094" type="#_x0000_t202" style="position:absolute;left:0;text-align:left;margin-left:47.95pt;margin-top:4.2pt;width:103.5pt;height:4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rVQIAAJcEAAAOAAAAZHJzL2Uyb0RvYy54bWysVFtu2zAQ/C/QOxD8b2Q7VpMIkYPUaYoC&#10;6QNIegCKoiSiJJclaUvpjXqOXqxL0nbt9q/oj0ByyZnZ2V1d30xaka1wXoKp6fxsRokwHFpp+pp+&#10;ebp/dUmJD8y0TIERNX0Wnt6sXr64Hm0lFjCAaoUjCGJ8NdqaDiHYqig8H4Rm/gysMBjswGkWcOv6&#10;onVsRHStisVs9roYwbXWARfe4+ldDtJVwu86wcOnrvMiEFVT1BbS16VvE7/F6ppVvWN2kHwng/2D&#10;Cs2kQdID1B0LjGyc/AtKS+7AQxfOOOgCuk5ykXLAbOazP7J5HJgVKRc0x9uDTf7/wfKP28+OyLam&#10;i+UFJYZpLNKTmAJsf/4gFpQgMYA2jdZXePvR4v0wvYEJy51S9vYB+FdPDKwHZnpx6xyMg2AtypzH&#10;l8XR04zjI0gzfoAW2dgmQAKaOqejh+gKQXQs1/OhRKiI8Eh5Pl8uSwxxjJUX83KWaliwav/aOh/e&#10;CdAkLmrqsAUSOts++BDVsGp/JZJ5ULK9l0qlTWw7sVaObBk2TNPnDNVGo9R8domMu7bBY2yufLxX&#10;kRo3IiSiE3BlyFjTq3JRZttOiF3fHGiRYMeBWk8gtAw4LUrqml4eLrEqmv3WtKmXA5Mqr/GxMjv3&#10;o+HZ+jA1U6r3ebmvagPtM9bDQZ4OnGZcDOC+UzLiZNTUf9swJyhR7w3W9AorEEcpbZblxQI37jjS&#10;HEeY4QhV00BJXq5DHr+NdbIfkCl7bOAW+6CTqUSxYbKqnX7s/mToblLjeB3v063f/5PVLwAAAP//&#10;AwBQSwMEFAAGAAgAAAAhABIDx4TcAAAABwEAAA8AAABkcnMvZG93bnJldi54bWxMjstOwzAQRfdI&#10;/IM1SGwq6qRAHyFOVSF1BaogoIilEw9JRDyObLcNf8+wguV96N6Tbyc7iBP60DtSkM4TEEiNMz21&#10;Ct7f9jdrECFqMnpwhAq+McC2uLzIdWbcmV7xVMZW8AiFTCvoYhwzKUPTodVh7kYkzj6dtzqy9K00&#10;Xp953A5ykSRLaXVP/NDpER87bL7Ko1VQP6+elrt9tWrMx8zPyio9VC+pUtdX0+4BRMQp/pXhF5/R&#10;oWCm2h3JBDEo2NxvuKlgfQeC49tkwbpmnw1Z5PI/f/EDAAD//wMAUEsBAi0AFAAGAAgAAAAhALaD&#10;OJL+AAAA4QEAABMAAAAAAAAAAAAAAAAAAAAAAFtDb250ZW50X1R5cGVzXS54bWxQSwECLQAUAAYA&#10;CAAAACEAOP0h/9YAAACUAQAACwAAAAAAAAAAAAAAAAAvAQAAX3JlbHMvLnJlbHNQSwECLQAUAAYA&#10;CAAAACEAlvx4a1UCAACXBAAADgAAAAAAAAAAAAAAAAAuAgAAZHJzL2Uyb0RvYy54bWxQSwECLQAU&#10;AAYACAAAACEAEgPHhNwAAAAHAQAADwAAAAAAAAAAAAAAAACvBAAAZHJzL2Rvd25yZXYueG1sUEsF&#10;BgAAAAAEAAQA8wAAALgFAAAAAA==&#10;" fillcolor="#d8d8d8">
            <v:textbox>
              <w:txbxContent>
                <w:p w:rsidR="005A63D9" w:rsidRPr="008B7936" w:rsidRDefault="005A63D9" w:rsidP="00401A39">
                  <w:pPr>
                    <w:spacing w:after="144" w:line="240" w:lineRule="auto"/>
                    <w:jc w:val="center"/>
                    <w:rPr>
                      <w:b/>
                      <w:sz w:val="16"/>
                      <w:szCs w:val="16"/>
                    </w:rPr>
                  </w:pPr>
                  <w:r w:rsidRPr="008B7936">
                    <w:rPr>
                      <w:b/>
                      <w:sz w:val="16"/>
                      <w:szCs w:val="16"/>
                    </w:rPr>
                    <w:t>Dánská rada pro strategický výzkum</w:t>
                  </w:r>
                </w:p>
                <w:p w:rsidR="005A63D9" w:rsidRPr="008B7936" w:rsidRDefault="005A63D9" w:rsidP="00401A39">
                  <w:pPr>
                    <w:spacing w:after="144" w:line="240" w:lineRule="auto"/>
                    <w:jc w:val="center"/>
                    <w:rPr>
                      <w:sz w:val="12"/>
                      <w:szCs w:val="12"/>
                    </w:rPr>
                  </w:pPr>
                  <w:r>
                    <w:rPr>
                      <w:sz w:val="12"/>
                      <w:szCs w:val="12"/>
                    </w:rPr>
                    <w:t>(Danisch Council for Strategic Research)</w:t>
                  </w:r>
                </w:p>
                <w:p w:rsidR="005A63D9" w:rsidRDefault="005A63D9" w:rsidP="00401A39">
                  <w:pPr>
                    <w:spacing w:after="144"/>
                  </w:pPr>
                </w:p>
              </w:txbxContent>
            </v:textbox>
          </v:shape>
        </w:pict>
      </w: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r>
        <w:rPr>
          <w:noProof/>
          <w:lang w:eastAsia="cs-CZ"/>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48" o:spid="_x0000_s1095" type="#_x0000_t13" style="position:absolute;left:0;text-align:left;margin-left:165.2pt;margin-top:6.75pt;width:50.85pt;height:9.45pt;rotation:1522781fd;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ygVgIAAKoEAAAOAAAAZHJzL2Uyb0RvYy54bWysVF1u1DAQfkfiDpbfaTZpUrpRs1XVUoRU&#10;oFLhALO2szF1bGN7N1tO08twL8ZO2GbhDZEHy+OZ+ebnm8nF5b5XZCecl0Y3ND9ZUCI0M1zqTUO/&#10;frl9c06JD6A5KKNFQ5+Ep5er168uBluLwnRGceEIgmhfD7ahXQi2zjLPOtGDPzFWaFS2xvUQUHSb&#10;jDsYEL1XWbFYnGWDcdw6w4T3+HozKukq4betYOFz23oRiGoo5hbS6dK5jme2uoB648B2kk1pwD9k&#10;0YPUGPQAdQMByNbJv6B6yZzxpg0nzPSZaVvJRKoBq8kXf1Tz0IEVqRZsjreHNvn/B8s+7e4dkbyh&#10;RYlUaeiRpJ/P0j4C4cY62AGJGuzTYH2N5g/23sVKvb0z7NETba470Btx5ZwZOgEcs8ujfXbkEAWP&#10;rmQ9fDQcg8A2mNSyfet64gxSk58uyxyDRXhsDdknnp4OPIl9IAwfz8rq7bKihKEqxynIqxQP6ggV&#10;na3z4b0wPYmXhjq56ULKL0HD7s6HRBafCgb+Laek7RVyvwNFqgV+02zMbIq5TX5aVkU5BZ4gs5fQ&#10;qUVGSX4rlUqC26yvlSOI39Db9E3Ofm6mNBkauqyKKuV6pPNziJjimCRGPTLrZcCdUrJv6PnBCOrI&#10;zTvN08QHkGq8o7PSE1mRn5HnteFPyFViBdcGFxzb2Bn3g5IBl6Wh/vsWnKBEfdDI9zIvy7hdSUBy&#10;ChTcXLOea0AzhGpooGS8XodxI7c2MRXnJ3ZMmyuckVaG38M0ZjUliwuBt6ONm8vJ6uUXs/oFAAD/&#10;/wMAUEsDBBQABgAIAAAAIQAyDkZl3QAAAAkBAAAPAAAAZHJzL2Rvd25yZXYueG1sTI/LTsMwEEX3&#10;SPyDNUjsqFMnIJTGqRASXbCjFImlGzuv2uModlrD1zOsYDk6V/eeqbbJWXY2cxg8SlivMmAGG68H&#10;7CQc3l/uHoGFqFAr69FI+DIBtvX1VaVK7S/4Zs772DEqwVAqCX2MU8l5aHrjVFj5ySCx1s9ORTrn&#10;jutZXajcWS6y7IE7NSAt9Goyz71pTvvFSUiv7YddXGrF2OndZzt+O7Ebpby9SU8bYNGk+BeGX31S&#10;h5qcjn5BHZiVkOdZQVEC+T0wChS5WAM7EhEF8Lri/z+ofwAAAP//AwBQSwECLQAUAAYACAAAACEA&#10;toM4kv4AAADhAQAAEwAAAAAAAAAAAAAAAAAAAAAAW0NvbnRlbnRfVHlwZXNdLnhtbFBLAQItABQA&#10;BgAIAAAAIQA4/SH/1gAAAJQBAAALAAAAAAAAAAAAAAAAAC8BAABfcmVscy8ucmVsc1BLAQItABQA&#10;BgAIAAAAIQChL+ygVgIAAKoEAAAOAAAAAAAAAAAAAAAAAC4CAABkcnMvZTJvRG9jLnhtbFBLAQIt&#10;ABQABgAIAAAAIQAyDkZl3QAAAAkBAAAPAAAAAAAAAAAAAAAAALAEAABkcnMvZG93bnJldi54bWxQ&#10;SwUGAAAAAAQABADzAAAAugUAAAAA&#10;"/>
        </w:pict>
      </w:r>
    </w:p>
    <w:p w:rsidR="005A63D9" w:rsidRPr="00401A39" w:rsidRDefault="005A63D9" w:rsidP="00401A39">
      <w:pPr>
        <w:autoSpaceDE w:val="0"/>
        <w:autoSpaceDN w:val="0"/>
        <w:adjustRightInd w:val="0"/>
        <w:spacing w:after="144"/>
        <w:jc w:val="both"/>
        <w:rPr>
          <w:sz w:val="20"/>
          <w:szCs w:val="20"/>
        </w:rPr>
      </w:pPr>
      <w:r>
        <w:rPr>
          <w:noProof/>
          <w:lang w:eastAsia="cs-CZ"/>
        </w:rPr>
        <w:pict>
          <v:shape id="Textové pole 249" o:spid="_x0000_s1096" type="#_x0000_t202" style="position:absolute;left:0;text-align:left;margin-left:226.15pt;margin-top:7.65pt;width:71.55pt;height:93.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oCOgIAAGEEAAAOAAAAZHJzL2Uyb0RvYy54bWysVF2O0zAQfkfiDpbfaZLSdtuo6WrpUoS0&#10;/Ei7HMBxnMTC8RjbbbLcaM/BxRg7bakWeEHkwfJ4xp9nvm8m6+uhU+QgrJOgC5pNUkqE5lBJ3RT0&#10;y8Pu1ZIS55mumAItCvooHL3evHyx7k0uptCCqoQlCKJd3puCtt6bPEkcb0XH3ASM0OiswXbMo2mb&#10;pLKsR/ROJdM0XSQ92MpY4MI5PL0dnXQT8etacP+prp3wRBUUc/NxtXEtw5ps1ixvLDOt5Mc02D9k&#10;0TGp8dEz1C3zjOyt/A2qk9yCg9pPOHQJ1LXkItaA1WTps2ruW2ZErAXJceZMk/t/sPzj4bMlsiro&#10;dLaiRLMORXoQg4fDjydiQAkSHEhTb1yO0fcG4/3wBgaUO5bszB3wr45o2LZMN+LGWuhbwSpMMws3&#10;k4urI44LIGX/ASp8je09RKChtl3gEFkhiI5yPZ4lwowIx8NVulws55RwdGXZ8mo2jxomLD/dNtb5&#10;dwI6EjYFtdgCEZ0d7pwP2bD8FBIec6BktZNKRcM25VZZcmDYLrv4xQKehSlNekxlPp2PBPwVIo3f&#10;nyA66bHvlewKujwHsTzQ9lZXsSs9k2rcY8pKH3kM1I0k+qEconKvFyd9SqgekVkLY5/jXOKmBfud&#10;kh57vKDu255ZQYl6r1GdVTabhaGIxmx+NUXDXnrKSw/THKEK6ikZt1s/DtLeWNm0+NLYDxpuUNFa&#10;RrKD9GNWx/yxj6MGx5kLg3Jpx6hff4bNTwAAAP//AwBQSwMEFAAGAAgAAAAhAOGmryzfAAAACgEA&#10;AA8AAABkcnMvZG93bnJldi54bWxMj8FOwzAMhu9IvENkJC6IpXTt2ErTCSGB4AbbBNes9dqKxClJ&#10;1pW3x5zgZFnfr9+fy/VkjRjRh96RgptZAgKpdk1PrYLd9vF6CSJETY02jlDBNwZYV+dnpS4ad6I3&#10;HDexFVxCodAKuhiHQspQd2h1mLkBidnBeasjr76VjdcnLrdGpkmykFb3xBc6PeBDh/Xn5mgVLLPn&#10;8SO8zF/f68XBrOLV7fj05ZW6vJju70BEnOJfGH71WR0qdtq7IzVBGAVZns45yiDnyYF8lWcg9grS&#10;hImsSvn/heoHAAD//wMAUEsBAi0AFAAGAAgAAAAhALaDOJL+AAAA4QEAABMAAAAAAAAAAAAAAAAA&#10;AAAAAFtDb250ZW50X1R5cGVzXS54bWxQSwECLQAUAAYACAAAACEAOP0h/9YAAACUAQAACwAAAAAA&#10;AAAAAAAAAAAvAQAAX3JlbHMvLnJlbHNQSwECLQAUAAYACAAAACEAmwZ6AjoCAABhBAAADgAAAAAA&#10;AAAAAAAAAAAuAgAAZHJzL2Uyb0RvYy54bWxQSwECLQAUAAYACAAAACEA4aavLN8AAAAKAQAADwAA&#10;AAAAAAAAAAAAAACUBAAAZHJzL2Rvd25yZXYueG1sUEsFBgAAAAAEAAQA8wAAAKAFAAAAAA==&#10;">
            <v:textbox>
              <w:txbxContent>
                <w:p w:rsidR="005A63D9" w:rsidRDefault="005A63D9" w:rsidP="00401A39">
                  <w:pPr>
                    <w:spacing w:after="144" w:line="240" w:lineRule="auto"/>
                    <w:jc w:val="center"/>
                    <w:rPr>
                      <w:b/>
                      <w:sz w:val="18"/>
                      <w:szCs w:val="18"/>
                    </w:rPr>
                  </w:pPr>
                  <w:r>
                    <w:rPr>
                      <w:b/>
                      <w:sz w:val="18"/>
                      <w:szCs w:val="18"/>
                    </w:rPr>
                    <w:t>Dánský inovační fond</w:t>
                  </w:r>
                </w:p>
                <w:p w:rsidR="005A63D9" w:rsidRDefault="005A63D9" w:rsidP="00401A39">
                  <w:pPr>
                    <w:spacing w:after="144" w:line="240" w:lineRule="auto"/>
                    <w:jc w:val="center"/>
                    <w:rPr>
                      <w:b/>
                      <w:sz w:val="18"/>
                      <w:szCs w:val="18"/>
                    </w:rPr>
                  </w:pPr>
                </w:p>
                <w:p w:rsidR="005A63D9" w:rsidRDefault="005A63D9" w:rsidP="00401A39">
                  <w:pPr>
                    <w:spacing w:after="144" w:line="240" w:lineRule="auto"/>
                    <w:jc w:val="center"/>
                    <w:rPr>
                      <w:b/>
                      <w:sz w:val="18"/>
                      <w:szCs w:val="18"/>
                    </w:rPr>
                  </w:pPr>
                </w:p>
                <w:p w:rsidR="005A63D9" w:rsidRPr="008B7936" w:rsidRDefault="005A63D9" w:rsidP="00401A39">
                  <w:pPr>
                    <w:spacing w:after="144" w:line="240" w:lineRule="auto"/>
                    <w:jc w:val="center"/>
                    <w:rPr>
                      <w:b/>
                      <w:sz w:val="18"/>
                      <w:szCs w:val="18"/>
                    </w:rPr>
                  </w:pPr>
                  <w:r>
                    <w:rPr>
                      <w:b/>
                      <w:sz w:val="18"/>
                      <w:szCs w:val="18"/>
                    </w:rPr>
                    <w:t>Innovation Fund Denmark</w:t>
                  </w:r>
                </w:p>
              </w:txbxContent>
            </v:textbox>
          </v:shape>
        </w:pict>
      </w: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r>
        <w:rPr>
          <w:noProof/>
          <w:lang w:eastAsia="cs-CZ"/>
        </w:rPr>
        <w:pict>
          <v:shape id="Šipka doprava 250" o:spid="_x0000_s1097" type="#_x0000_t13" style="position:absolute;left:0;text-align:left;margin-left:163.6pt;margin-top:7.55pt;width:52pt;height:12.3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btwTgIAAJwEAAAOAAAAZHJzL2Uyb0RvYy54bWysVF2O0zAQfkfiDpbfaX5ISjfadLXqsghp&#10;gZUWDjC1ncasYxvbbbqchstwLyZOtqTwhsiD5fGMv/lmPk8ur46dIgfhvDS6ptkipURoZrjUu5p+&#10;+Xz7akWJD6A5KKNFTZ+Ep1frly8ue1uJ3LRGceEIgmhf9bambQi2ShLPWtGBXxgrNDob4zoIaLpd&#10;wh30iN6pJE/TZdIbx60zTHiPpzejk64jftMIFj41jReBqJoitxBXF9ftsCbrS6h2Dmwr2UQD/oFF&#10;B1Jj0hPUDQQgeyf/guokc8abJiyY6RLTNJKJWANWk6V/VPPQghWxFmyOt6c2+f8Hyz4e7h2RvKZ5&#10;if3R0KFIP39I+wiEG+vgAGTwYJ966ysMf7D3bqjU2zvDHj3RZtOC3olr50zfCuDILhvik7MLg+Hx&#10;Ktn2HwzHJLAPJrbs2LhuAMRmkGNU5umkjDgGwvBwuUyLFPkxdGXlclWUMQNUz5et8+GdMB0ZNjV1&#10;cteGyCimgMOdD1EePpUI/GtGSdMpVPsAipQpftNrmMXk85jsdVHmxZR4gkygek4dm2KU5LdSqWi4&#10;3XajHEH8mt7Gb7rs52FKk76mF2VeRq5nPj+HGCiOJDHrWVgnA06Rkl1NV6cgqAY13moe33gAqcY9&#10;XlZ6kmdQZFR2a/gTquPMOCI40rhpjftOSY/jUVP/bQ9OUKLea1T4IiuKYZ6iUZRvcjTc3LOde0Az&#10;hKppoGTcbsI4g3sblRpezNAxba7xVTQyPD+fkdVEFkcAd2czNrdj1O+fyvoXAAAA//8DAFBLAwQU&#10;AAYACAAAACEA0OILId8AAAAJAQAADwAAAGRycy9kb3ducmV2LnhtbEyPTU/DMAyG70j8h8hI3Fj6&#10;McZWmk4ICSQOaKJj45o1pq1onKrJ2vLvMSc42s+r14/z7Ww7MeLgW0cK4kUEAqlypqVawfv+6WYN&#10;wgdNRneOUME3etgWlxe5zoyb6A3HMtSCS8hnWkETQp9J6asGrfYL1yMx+3SD1YHHoZZm0BOX204m&#10;UbSSVrfEFxrd42OD1Vd5tgoO08YvP3bR8blMh9HvrWlXL69KXV/ND/cgAs7hLwy/+qwOBTud3JmM&#10;F52CNLlLOMrgNgbBgWUa8+LEZLMGWeTy/wfFDwAAAP//AwBQSwECLQAUAAYACAAAACEAtoM4kv4A&#10;AADhAQAAEwAAAAAAAAAAAAAAAAAAAAAAW0NvbnRlbnRfVHlwZXNdLnhtbFBLAQItABQABgAIAAAA&#10;IQA4/SH/1gAAAJQBAAALAAAAAAAAAAAAAAAAAC8BAABfcmVscy8ucmVsc1BLAQItABQABgAIAAAA&#10;IQAl0btwTgIAAJwEAAAOAAAAAAAAAAAAAAAAAC4CAABkcnMvZTJvRG9jLnhtbFBLAQItABQABgAI&#10;AAAAIQDQ4gsh3wAAAAkBAAAPAAAAAAAAAAAAAAAAAKgEAABkcnMvZG93bnJldi54bWxQSwUGAAAA&#10;AAQABADzAAAAtAUAAAAA&#10;" adj="14699"/>
        </w:pict>
      </w: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r>
        <w:rPr>
          <w:noProof/>
          <w:lang w:eastAsia="cs-CZ"/>
        </w:rPr>
        <w:pict>
          <v:shape id="Textové pole 251" o:spid="_x0000_s1098" type="#_x0000_t202" style="position:absolute;left:0;text-align:left;margin-left:48.85pt;margin-top:6.4pt;width:103.5pt;height:4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OqmVQIAAJcEAAAOAAAAZHJzL2Uyb0RvYy54bWysVF1u2zAMfh+wOwh6X52k8doacYouXYcB&#10;3Q/Q7gCyLNvCJFGTlNjdjXaOXWyUlGTp9jbsxRBF6uPHj6RX15NWZCecl2BqOj+bUSIMh1aavqZf&#10;Hu9eXVLiAzMtU2BETZ+Ep9frly9Wo63EAgZQrXAEQYyvRlvTIQRbFYXng9DMn4EVBp0dOM0Cmq4v&#10;WsdGRNeqWMxmr4sRXGsdcOE93t5mJ10n/K4TPHzqOi8CUTVFbiF9Xfo28VusV6zqHbOD5Hsa7B9Y&#10;aCYNJj1C3bLAyNbJv6C05A48dOGMgy6g6yQXqQasZj77o5qHgVmRakFxvD3K5P8fLP+4++yIbGu6&#10;KOeUGKaxSY9iCrD7+YNYUIJEB8o0Wl9h9IPF+DC9gQnbnUr29h74V08MbAZmenHjHIyDYC3STC+L&#10;k6cZx0eQZvwALWZj2wAJaOqcjhqiKgTRsV1PxxYhI8JjyvP5clmii6OvvJiXs9TDglWH19b58E6A&#10;JvFQU4cjkNDZ7t4HrANDDyExmQcl2zupVDLi2ImNcmTHcGCaPleothqp5rtLzLgfG7zG4crXBxZp&#10;cCNCSvQMXBky1vSqXJRZtmeJXd8c02KCfQ7k+gxCy4DboqSu6eUxiFVR7LemTbMcmFT5jI+VQRpR&#10;/Sh4lj5MzZT6fX5x6GoD7RP2w0HeDtxmPAzgvlMy4mbU1H/bMicoUe8N9vQKOxBXKRnL8mKBhjv1&#10;NKceZjhC1TRQko+bkNdva53sB8yUNTZwg3PQydSiSDmz2vPH6U+C7jc1rtepnaJ+/0/WvwAAAP//&#10;AwBQSwMEFAAGAAgAAAAhAKFRuOveAAAACQEAAA8AAABkcnMvZG93bnJldi54bWxMj8FOwzAQRO9I&#10;/IO1SFwq6qSgpoQ4VYXUEwhBQFGPTrwkEfE6st02/D3LCY77ZjQ7U2xnO4oT+jA4UpAuExBIrTMD&#10;dQo+3vc3GxAhajJ6dIQKvjHAtry8KHRu3Jne8FTFTnAIhVwr6GOccilD26PVYekmJNY+nbc68uk7&#10;abw+c7gd5SpJ1tLqgfhDryd87LH9qo5WQfOcPa13+zprzWHhF1WdvtSvqVLXV/PuAUTEOf6Z4bc+&#10;V4eSOzXuSCaIUcF9lrGT+YoXsH6b3DFoGCRMZFnI/wvKHwAAAP//AwBQSwECLQAUAAYACAAAACEA&#10;toM4kv4AAADhAQAAEwAAAAAAAAAAAAAAAAAAAAAAW0NvbnRlbnRfVHlwZXNdLnhtbFBLAQItABQA&#10;BgAIAAAAIQA4/SH/1gAAAJQBAAALAAAAAAAAAAAAAAAAAC8BAABfcmVscy8ucmVsc1BLAQItABQA&#10;BgAIAAAAIQC9pOqmVQIAAJcEAAAOAAAAAAAAAAAAAAAAAC4CAABkcnMvZTJvRG9jLnhtbFBLAQIt&#10;ABQABgAIAAAAIQChUbjr3gAAAAkBAAAPAAAAAAAAAAAAAAAAAK8EAABkcnMvZG93bnJldi54bWxQ&#10;SwUGAAAAAAQABADzAAAAugUAAAAA&#10;" fillcolor="#d8d8d8">
            <v:textbox>
              <w:txbxContent>
                <w:p w:rsidR="005A63D9" w:rsidRPr="00401A39" w:rsidRDefault="005A63D9" w:rsidP="00401A39">
                  <w:pPr>
                    <w:spacing w:after="144" w:line="240" w:lineRule="auto"/>
                    <w:jc w:val="center"/>
                    <w:rPr>
                      <w:b/>
                      <w:sz w:val="14"/>
                      <w:szCs w:val="16"/>
                    </w:rPr>
                  </w:pPr>
                  <w:r w:rsidRPr="00401A39">
                    <w:rPr>
                      <w:b/>
                      <w:sz w:val="14"/>
                      <w:szCs w:val="16"/>
                    </w:rPr>
                    <w:t>Dánský národní fond pro pokročilé technologie</w:t>
                  </w:r>
                </w:p>
                <w:p w:rsidR="005A63D9" w:rsidRPr="00401A39" w:rsidRDefault="005A63D9" w:rsidP="00401A39">
                  <w:pPr>
                    <w:spacing w:after="144" w:line="240" w:lineRule="auto"/>
                    <w:jc w:val="center"/>
                    <w:rPr>
                      <w:sz w:val="12"/>
                      <w:szCs w:val="12"/>
                    </w:rPr>
                  </w:pPr>
                  <w:r w:rsidRPr="00401A39">
                    <w:rPr>
                      <w:sz w:val="12"/>
                      <w:szCs w:val="12"/>
                    </w:rPr>
                    <w:t>(Danisch National Advanced Technology Foundation))</w:t>
                  </w:r>
                </w:p>
                <w:p w:rsidR="005A63D9" w:rsidRDefault="005A63D9" w:rsidP="00401A39">
                  <w:pPr>
                    <w:spacing w:after="144"/>
                  </w:pPr>
                </w:p>
              </w:txbxContent>
            </v:textbox>
          </v:shape>
        </w:pict>
      </w:r>
    </w:p>
    <w:p w:rsidR="005A63D9" w:rsidRPr="00401A39" w:rsidRDefault="005A63D9" w:rsidP="00401A39">
      <w:pPr>
        <w:autoSpaceDE w:val="0"/>
        <w:autoSpaceDN w:val="0"/>
        <w:adjustRightInd w:val="0"/>
        <w:spacing w:after="144"/>
        <w:jc w:val="both"/>
        <w:rPr>
          <w:sz w:val="20"/>
          <w:szCs w:val="20"/>
        </w:rPr>
      </w:pPr>
      <w:r>
        <w:rPr>
          <w:noProof/>
          <w:lang w:eastAsia="cs-CZ"/>
        </w:rPr>
        <w:pict>
          <v:shape id="Šipka doprava 252" o:spid="_x0000_s1099" type="#_x0000_t13" style="position:absolute;left:0;text-align:left;margin-left:164.05pt;margin-top:4.55pt;width:50.85pt;height:9.45pt;rotation:-1403779fd;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fXWQIAAKsEAAAOAAAAZHJzL2Uyb0RvYy54bWysVEtu2zAQ3RfoHQjuE1mqldpC5CBImqJA&#10;PwHSHmBMUhYb/krSltPT9DK9V4eU6tjtrqgWBIczfPNmHkeXV3utyE74IK1paXk+o0QYZrk0m5Z+&#10;+Xx3tqAkRDAclDWipU8i0KvVyxeXg2tEZXuruPAEQUxoBtfSPkbXFEVgvdAQzq0TBp2d9Roimn5T&#10;cA8DomtVVLPZRTFYz523TISAp7ejk64yftcJFj91XRCRqJYit5hXn9d1WovVJTQbD66XbKIB/8BC&#10;gzSY9AB1CxHI1su/oLRk3gbbxXNmdWG7TjKRa8Bqytkf1Tz04ESuBZsT3KFN4f/Bso+7e08kb2lV&#10;V5QY0CjSzx/SPQLh1nnYAUke7NPgQoPhD+7ep0qDe2/ZYyDG3vRgNuLaezv0AjiyK1N8cXIhGQGv&#10;kvXwwXJMAttoc8v2ndfEW5TmrKwWdblc5GPsDdlnoZ4OQol9JAwPL+b162VNCUNXic+grHNCaBJW&#10;Iud8iG+F1SRtWurlpo+ZYIaG3fsQs1p8qhj415KSTisUfweK1DP8psdxFIMdeo4pX83raj4lniCL&#10;59S5R1ZJfieVyobfrG+UJ4jf0rv8TZfDcZgyZGjpsq7qzPXEF44hEsWRJGY9CdMy4lApqVu6OARB&#10;k8R5Y3h+8hGkGvd4WZlJrSTQKPTa8icUK8uCc4MTjm3srf9OyYDT0tLwbQteUKLeGRR8Wc7nabyy&#10;geJUaPhjz/rYA4YhVEsjJeP2Jo4juXVZqfSAUseMvcZH0sn4+zWNrCayOBG4Oxm5YztHPf9jVr8A&#10;AAD//wMAUEsDBBQABgAIAAAAIQAsnLDx3gAAAAgBAAAPAAAAZHJzL2Rvd25yZXYueG1sTI/BTsMw&#10;EETvSPyDtUhcEHUaopCGOBWqxA0hkRbObrxNAvE6st02/XuWE5xWoxnNvqnWsx3FCX0YHClYLhIQ&#10;SK0zA3UKdtuX+wJEiJqMHh2hggsGWNfXV5UujTvTO56a2AkuoVBqBX2MUyllaHu0OizchMTewXmr&#10;I0vfSeP1mcvtKNMkyaXVA/GHXk+46bH9bo5WQfP4mm+/5N3h8+3yETOfNxnuNkrd3szPTyAizvEv&#10;DL/4jA41M+3dkUwQo4KHtFhyVMGKD/tZuuIpewVpkYCsK/l/QP0DAAD//wMAUEsBAi0AFAAGAAgA&#10;AAAhALaDOJL+AAAA4QEAABMAAAAAAAAAAAAAAAAAAAAAAFtDb250ZW50X1R5cGVzXS54bWxQSwEC&#10;LQAUAAYACAAAACEAOP0h/9YAAACUAQAACwAAAAAAAAAAAAAAAAAvAQAAX3JlbHMvLnJlbHNQSwEC&#10;LQAUAAYACAAAACEASjiX11kCAACrBAAADgAAAAAAAAAAAAAAAAAuAgAAZHJzL2Uyb0RvYy54bWxQ&#10;SwECLQAUAAYACAAAACEALJyw8d4AAAAIAQAADwAAAAAAAAAAAAAAAACzBAAAZHJzL2Rvd25yZXYu&#10;eG1sUEsFBgAAAAAEAAQA8wAAAL4FAAAAAA==&#10;"/>
        </w:pict>
      </w: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p>
    <w:p w:rsidR="005A63D9" w:rsidRPr="00401A39" w:rsidRDefault="005A63D9" w:rsidP="00401A39">
      <w:pPr>
        <w:autoSpaceDE w:val="0"/>
        <w:autoSpaceDN w:val="0"/>
        <w:adjustRightInd w:val="0"/>
        <w:spacing w:after="144"/>
        <w:jc w:val="both"/>
        <w:rPr>
          <w:sz w:val="20"/>
          <w:szCs w:val="20"/>
        </w:rPr>
      </w:pPr>
    </w:p>
    <w:p w:rsidR="005A63D9" w:rsidRPr="002A0959" w:rsidRDefault="005A63D9" w:rsidP="00946055">
      <w:pPr>
        <w:pStyle w:val="ZDROJovan"/>
        <w:spacing w:after="144"/>
      </w:pPr>
      <w:r w:rsidRPr="002A0959">
        <w:t>Zdroj: Innovation fund Denmark, Annual Report 2014</w:t>
      </w:r>
    </w:p>
    <w:p w:rsidR="005A63D9" w:rsidRPr="003E3A14" w:rsidRDefault="005A63D9" w:rsidP="003E3A14">
      <w:pPr>
        <w:spacing w:after="144"/>
        <w:rPr>
          <w:i/>
          <w:sz w:val="18"/>
          <w:szCs w:val="20"/>
        </w:rPr>
      </w:pPr>
    </w:p>
    <w:p w:rsidR="005A63D9" w:rsidRDefault="005A63D9">
      <w:pPr>
        <w:spacing w:afterLines="0" w:line="259" w:lineRule="auto"/>
        <w:contextualSpacing w:val="0"/>
      </w:pPr>
      <w:r>
        <w:br w:type="page"/>
      </w:r>
    </w:p>
    <w:p w:rsidR="005A63D9" w:rsidRPr="0094169D" w:rsidRDefault="005A63D9" w:rsidP="0094169D">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26" w:name="_Toc440897462"/>
      <w:bookmarkStart w:id="227" w:name="_Toc441760864"/>
      <w:bookmarkStart w:id="228" w:name="_Toc441849527"/>
      <w:r>
        <w:rPr>
          <w:rFonts w:cs="Arial"/>
          <w:bCs/>
          <w:iCs/>
          <w:color w:val="000000"/>
          <w:shd w:val="clear" w:color="auto" w:fill="FFFFFF"/>
          <w:lang/>
        </w:rPr>
        <w:t xml:space="preserve">7.2. </w:t>
      </w:r>
      <w:r w:rsidRPr="0094169D">
        <w:rPr>
          <w:rFonts w:cs="Arial"/>
          <w:bCs/>
          <w:iCs/>
          <w:color w:val="000000"/>
          <w:shd w:val="clear" w:color="auto" w:fill="FFFFFF"/>
          <w:lang/>
        </w:rPr>
        <w:t>Dodatek 2 (Rakousko)</w:t>
      </w:r>
      <w:bookmarkEnd w:id="226"/>
      <w:bookmarkEnd w:id="227"/>
      <w:bookmarkEnd w:id="228"/>
    </w:p>
    <w:p w:rsidR="005A63D9" w:rsidRPr="0094169D" w:rsidRDefault="005A63D9" w:rsidP="0094169D">
      <w:pPr>
        <w:pStyle w:val="Heading3"/>
        <w:keepNext/>
        <w:keepLines/>
        <w:spacing w:before="240" w:afterLines="0" w:line="240" w:lineRule="auto"/>
        <w:contextualSpacing w:val="0"/>
        <w:rPr>
          <w:bCs/>
          <w:shd w:val="clear" w:color="auto" w:fill="FFFFFF"/>
          <w:lang/>
        </w:rPr>
      </w:pPr>
      <w:bookmarkStart w:id="229" w:name="_Toc440897463"/>
      <w:bookmarkStart w:id="230" w:name="_Toc441760865"/>
      <w:bookmarkStart w:id="231" w:name="_Toc441849528"/>
      <w:r w:rsidRPr="0094169D">
        <w:rPr>
          <w:bCs/>
          <w:shd w:val="clear" w:color="auto" w:fill="FFFFFF"/>
          <w:lang/>
        </w:rPr>
        <w:t>Překlad části o VaVaI v oblasti životního prostředí ze Strategie výzkumu, technologií a inovací spolkové vlády</w:t>
      </w:r>
      <w:bookmarkEnd w:id="229"/>
      <w:bookmarkEnd w:id="230"/>
      <w:bookmarkEnd w:id="231"/>
    </w:p>
    <w:p w:rsidR="005A63D9" w:rsidRPr="002F342F" w:rsidRDefault="005A63D9" w:rsidP="00F2207D">
      <w:pPr>
        <w:pStyle w:val="Default"/>
        <w:spacing w:line="276" w:lineRule="auto"/>
        <w:rPr>
          <w:rFonts w:ascii="Calibri" w:hAnsi="Calibri"/>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5A63D9" w:rsidRPr="00E27ED8" w:rsidTr="00E27ED8">
        <w:tc>
          <w:tcPr>
            <w:tcW w:w="9212" w:type="dxa"/>
            <w:tcBorders>
              <w:top w:val="single" w:sz="12" w:space="0" w:color="auto"/>
              <w:left w:val="single" w:sz="12" w:space="0" w:color="auto"/>
              <w:bottom w:val="single" w:sz="12" w:space="0" w:color="auto"/>
              <w:right w:val="single" w:sz="12" w:space="0" w:color="auto"/>
            </w:tcBorders>
          </w:tcPr>
          <w:p w:rsidR="005A63D9" w:rsidRPr="00E27ED8" w:rsidRDefault="005A63D9" w:rsidP="00E27ED8">
            <w:pPr>
              <w:widowControl w:val="0"/>
              <w:adjustRightInd w:val="0"/>
              <w:spacing w:afterLines="0"/>
              <w:contextualSpacing w:val="0"/>
              <w:jc w:val="both"/>
              <w:textAlignment w:val="baseline"/>
              <w:rPr>
                <w:b/>
                <w:color w:val="000000"/>
                <w:shd w:val="clear" w:color="auto" w:fill="FFFFFF"/>
                <w:lang w:eastAsia="cs-CZ"/>
              </w:rPr>
            </w:pPr>
            <w:r w:rsidRPr="00E27ED8">
              <w:rPr>
                <w:b/>
                <w:color w:val="000000"/>
                <w:shd w:val="clear" w:color="auto" w:fill="FFFFFF"/>
                <w:lang w:eastAsia="cs-CZ"/>
              </w:rPr>
              <w:t>Grand Challenges – Velké výzvy</w:t>
            </w:r>
          </w:p>
          <w:p w:rsidR="005A63D9" w:rsidRPr="00E27ED8" w:rsidRDefault="005A63D9" w:rsidP="00E27ED8">
            <w:pPr>
              <w:widowControl w:val="0"/>
              <w:adjustRightInd w:val="0"/>
              <w:spacing w:afterLines="0"/>
              <w:contextualSpacing w:val="0"/>
              <w:jc w:val="both"/>
              <w:textAlignment w:val="baseline"/>
              <w:rPr>
                <w:color w:val="000000"/>
                <w:shd w:val="clear" w:color="auto" w:fill="FFFFFF"/>
                <w:lang w:eastAsia="cs-CZ"/>
              </w:rPr>
            </w:pPr>
            <w:r w:rsidRPr="00E27ED8">
              <w:rPr>
                <w:color w:val="000000"/>
                <w:shd w:val="clear" w:color="auto" w:fill="FFFFFF"/>
                <w:lang w:eastAsia="cs-CZ"/>
              </w:rPr>
              <w:t>Naléhavost nového přístupu k prosazování priorit vyplývá zejména z Grand Challenges, velkých společenských výzev budoucnosti. Tyto výzvy musí být adresovány do systémově komplexního prostředí. Výzvy vyžadují nové formy spolupráce ministerstev, agentur a Stakeholders.</w:t>
            </w:r>
          </w:p>
          <w:p w:rsidR="005A63D9" w:rsidRPr="00E27ED8" w:rsidRDefault="005A63D9" w:rsidP="00E27ED8">
            <w:pPr>
              <w:widowControl w:val="0"/>
              <w:adjustRightInd w:val="0"/>
              <w:spacing w:afterLines="0"/>
              <w:contextualSpacing w:val="0"/>
              <w:jc w:val="both"/>
              <w:textAlignment w:val="baseline"/>
              <w:rPr>
                <w:color w:val="000000"/>
                <w:shd w:val="clear" w:color="auto" w:fill="FFFFFF"/>
                <w:lang w:eastAsia="cs-CZ"/>
              </w:rPr>
            </w:pPr>
            <w:r w:rsidRPr="00E27ED8">
              <w:rPr>
                <w:color w:val="000000"/>
                <w:shd w:val="clear" w:color="auto" w:fill="FFFFFF"/>
                <w:lang w:eastAsia="cs-CZ"/>
              </w:rPr>
              <w:t>Změny klimatu vyžadují vývoj a využití zcela nových technologií pro využívání energie zcela zásadním zvýšením energetické efektivnosti v budovách, dopravě (např. alternativní pohony, elektromobilita) a inteligentních výrobních systémů. Současně je nutné vyvíjet strategie vypořádání se s nevratnými změnami klimatu. V popředí jsou otázky dopadů ekologických změn na zdraví a zabezpečování potravin. Jde o jak technologický, tak i o výzkum systémů a výzkum společenský, který bude podpořen analýzami, studiemi dopadů (impaktů), tvorbou scénářů a modelů, monitorováním zemského životního prostředí i prostředí v blízkém vesmíru.</w:t>
            </w:r>
          </w:p>
          <w:p w:rsidR="005A63D9" w:rsidRPr="00E27ED8" w:rsidRDefault="005A63D9" w:rsidP="00E27ED8">
            <w:pPr>
              <w:widowControl w:val="0"/>
              <w:adjustRightInd w:val="0"/>
              <w:spacing w:afterLines="0"/>
              <w:contextualSpacing w:val="0"/>
              <w:jc w:val="both"/>
              <w:textAlignment w:val="baseline"/>
              <w:rPr>
                <w:color w:val="000000"/>
                <w:shd w:val="clear" w:color="auto" w:fill="FFFFFF"/>
                <w:lang w:eastAsia="cs-CZ"/>
              </w:rPr>
            </w:pPr>
            <w:r w:rsidRPr="00E27ED8">
              <w:rPr>
                <w:color w:val="000000"/>
                <w:shd w:val="clear" w:color="auto" w:fill="FFFFFF"/>
                <w:lang w:eastAsia="cs-CZ"/>
              </w:rPr>
              <w:t>Globální nedostatek energetických a přírodních zdrojů a strategických surovin zvyšuje nároky na obnovitelné zdroje. To klade na společnost nejen technologické požadavky, ale požadavek odpovídajícím způsobem adaptovat využívání krajiny a zemědělské půdy. Udržitelné zabezpečování produkce biogenních surovin a energie (jako na příklad bioenergie, solární energie, fotovoltaiky a geotermální energie) a jejich rozdělování prostřednictvím inteligentních a spolehlivých infrastruktur předpokládá komplexní, regionálně diferencované poznatky přírodních, ekologických, ekonomických a sociálních podmínek. Tyto poznatky budou získávány interdisciplinárním, orientovaným základním výzkumem. K tomu budou nezbytná data, metody a modely pro kontinuální monitorování. Monitoring bude muset průběžně zachycovat dopady změněné produkce a využívání zdrojů.</w:t>
            </w:r>
          </w:p>
        </w:tc>
      </w:tr>
    </w:tbl>
    <w:p w:rsidR="005A63D9" w:rsidRPr="00F6678E" w:rsidRDefault="005A63D9" w:rsidP="00946055">
      <w:pPr>
        <w:pStyle w:val="ZDROJovan"/>
        <w:spacing w:after="144"/>
        <w:rPr>
          <w:i w:val="0"/>
        </w:rPr>
      </w:pPr>
      <w:r w:rsidRPr="000A5E0F">
        <w:t>Zdroj: (FTI-Strategie der Bundesregierung)</w:t>
      </w:r>
    </w:p>
    <w:p w:rsidR="005A63D9" w:rsidRDefault="005A63D9">
      <w:pPr>
        <w:spacing w:afterLines="0" w:line="259" w:lineRule="auto"/>
        <w:contextualSpacing w:val="0"/>
        <w:rPr>
          <w:i/>
          <w:sz w:val="18"/>
          <w:szCs w:val="18"/>
        </w:rPr>
      </w:pPr>
      <w:r>
        <w:rPr>
          <w:i/>
          <w:sz w:val="18"/>
          <w:szCs w:val="18"/>
        </w:rPr>
        <w:br w:type="page"/>
      </w:r>
    </w:p>
    <w:p w:rsidR="005A63D9" w:rsidRPr="0094169D" w:rsidRDefault="005A63D9" w:rsidP="0094169D">
      <w:pPr>
        <w:pStyle w:val="Heading3"/>
        <w:keepNext/>
        <w:keepLines/>
        <w:spacing w:before="240" w:afterLines="0" w:line="240" w:lineRule="auto"/>
        <w:contextualSpacing w:val="0"/>
        <w:rPr>
          <w:bCs/>
          <w:shd w:val="clear" w:color="auto" w:fill="FFFFFF"/>
          <w:lang/>
        </w:rPr>
      </w:pPr>
      <w:bookmarkStart w:id="232" w:name="_Toc440897464"/>
      <w:bookmarkStart w:id="233" w:name="_Toc441760866"/>
      <w:bookmarkStart w:id="234" w:name="_Toc441849529"/>
      <w:r w:rsidRPr="0094169D">
        <w:rPr>
          <w:bCs/>
          <w:shd w:val="clear" w:color="auto" w:fill="FFFFFF"/>
          <w:lang/>
        </w:rPr>
        <w:t>Obsah Programu výzkumu a výv</w:t>
      </w:r>
      <w:r>
        <w:rPr>
          <w:bCs/>
          <w:shd w:val="clear" w:color="auto" w:fill="FFFFFF"/>
          <w:lang/>
        </w:rPr>
        <w:t>oje Spolkového ministerstva pro </w:t>
      </w:r>
      <w:r w:rsidRPr="0094169D">
        <w:rPr>
          <w:bCs/>
          <w:shd w:val="clear" w:color="auto" w:fill="FFFFFF"/>
          <w:lang/>
        </w:rPr>
        <w:t>zemědělství, lesnictví, životní pros</w:t>
      </w:r>
      <w:r>
        <w:rPr>
          <w:bCs/>
          <w:shd w:val="clear" w:color="auto" w:fill="FFFFFF"/>
          <w:lang/>
        </w:rPr>
        <w:t>tředí a vodní hospodářství na </w:t>
      </w:r>
      <w:r w:rsidRPr="0094169D">
        <w:rPr>
          <w:bCs/>
          <w:shd w:val="clear" w:color="auto" w:fill="FFFFFF"/>
          <w:lang/>
        </w:rPr>
        <w:t>období 2011–2015</w:t>
      </w:r>
      <w:bookmarkEnd w:id="232"/>
      <w:r>
        <w:rPr>
          <w:bCs/>
          <w:shd w:val="clear" w:color="auto" w:fill="FFFFFF"/>
          <w:lang/>
        </w:rPr>
        <w:t xml:space="preserve"> (PFEIL)</w:t>
      </w:r>
      <w:bookmarkEnd w:id="233"/>
      <w:bookmarkEnd w:id="234"/>
    </w:p>
    <w:p w:rsidR="005A63D9" w:rsidRDefault="005A63D9" w:rsidP="00F2207D">
      <w:pPr>
        <w:spacing w:after="144"/>
        <w:rPr>
          <w:b/>
        </w:rPr>
      </w:pPr>
    </w:p>
    <w:p w:rsidR="005A63D9" w:rsidRPr="00F2207D" w:rsidRDefault="005A63D9" w:rsidP="0094169D">
      <w:pPr>
        <w:spacing w:afterLines="0"/>
        <w:rPr>
          <w:b/>
        </w:rPr>
      </w:pPr>
      <w:r w:rsidRPr="00F2207D">
        <w:rPr>
          <w:b/>
        </w:rPr>
        <w:t>OBECNÁ ČÁST</w:t>
      </w:r>
    </w:p>
    <w:p w:rsidR="005A63D9" w:rsidRPr="00F2207D" w:rsidRDefault="005A63D9" w:rsidP="0094169D">
      <w:pPr>
        <w:pStyle w:val="ListParagraph"/>
        <w:numPr>
          <w:ilvl w:val="0"/>
          <w:numId w:val="14"/>
        </w:numPr>
        <w:spacing w:afterLines="0"/>
      </w:pPr>
      <w:r w:rsidRPr="00F2207D">
        <w:t>Výchozí stav a oblast platnosti PFEIL15</w:t>
      </w:r>
    </w:p>
    <w:p w:rsidR="005A63D9" w:rsidRPr="00F2207D" w:rsidRDefault="005A63D9" w:rsidP="0094169D">
      <w:pPr>
        <w:pStyle w:val="ListParagraph"/>
        <w:numPr>
          <w:ilvl w:val="1"/>
          <w:numId w:val="14"/>
        </w:numPr>
        <w:spacing w:afterLines="0"/>
      </w:pPr>
      <w:r w:rsidRPr="00F2207D">
        <w:t>Interní výzkum resortních výzkumných pracovišť</w:t>
      </w:r>
    </w:p>
    <w:p w:rsidR="005A63D9" w:rsidRPr="00F2207D" w:rsidRDefault="005A63D9" w:rsidP="0094169D">
      <w:pPr>
        <w:pStyle w:val="ListParagraph"/>
        <w:numPr>
          <w:ilvl w:val="1"/>
          <w:numId w:val="14"/>
        </w:numPr>
        <w:spacing w:afterLines="0"/>
      </w:pPr>
      <w:r w:rsidRPr="00F2207D">
        <w:t>Externí výzkum na základě zakázek a podpory výzkumu</w:t>
      </w:r>
    </w:p>
    <w:p w:rsidR="005A63D9" w:rsidRPr="00F2207D" w:rsidRDefault="005A63D9" w:rsidP="0094169D">
      <w:pPr>
        <w:pStyle w:val="ListParagraph"/>
        <w:numPr>
          <w:ilvl w:val="0"/>
          <w:numId w:val="14"/>
        </w:numPr>
        <w:spacing w:afterLines="0"/>
      </w:pPr>
      <w:r w:rsidRPr="00F2207D">
        <w:t>Rámcové podmínky</w:t>
      </w:r>
    </w:p>
    <w:p w:rsidR="005A63D9" w:rsidRPr="00F2207D" w:rsidRDefault="005A63D9" w:rsidP="0094169D">
      <w:pPr>
        <w:pStyle w:val="ListParagraph"/>
        <w:numPr>
          <w:ilvl w:val="1"/>
          <w:numId w:val="14"/>
        </w:numPr>
        <w:spacing w:afterLines="0"/>
      </w:pPr>
      <w:r w:rsidRPr="00F2207D">
        <w:t>Národní výzkum</w:t>
      </w:r>
    </w:p>
    <w:p w:rsidR="005A63D9" w:rsidRPr="00F2207D" w:rsidRDefault="005A63D9" w:rsidP="0094169D">
      <w:pPr>
        <w:pStyle w:val="ListParagraph"/>
        <w:numPr>
          <w:ilvl w:val="2"/>
          <w:numId w:val="14"/>
        </w:numPr>
        <w:spacing w:afterLines="0"/>
        <w:ind w:left="1418" w:hanging="698"/>
      </w:pPr>
      <w:r w:rsidRPr="00F2207D">
        <w:t>Energetický výzkum a výzkum klimatu</w:t>
      </w:r>
    </w:p>
    <w:p w:rsidR="005A63D9" w:rsidRPr="00F2207D" w:rsidRDefault="005A63D9" w:rsidP="0094169D">
      <w:pPr>
        <w:pStyle w:val="ListParagraph"/>
        <w:numPr>
          <w:ilvl w:val="2"/>
          <w:numId w:val="14"/>
        </w:numPr>
        <w:spacing w:afterLines="0"/>
        <w:ind w:left="1418" w:hanging="698"/>
      </w:pPr>
      <w:r w:rsidRPr="00F2207D">
        <w:t>Zákon o podpoře životního prostředí</w:t>
      </w:r>
    </w:p>
    <w:p w:rsidR="005A63D9" w:rsidRPr="00F2207D" w:rsidRDefault="005A63D9" w:rsidP="0094169D">
      <w:pPr>
        <w:pStyle w:val="ListParagraph"/>
        <w:numPr>
          <w:ilvl w:val="2"/>
          <w:numId w:val="14"/>
        </w:numPr>
        <w:spacing w:afterLines="0"/>
        <w:ind w:left="1418" w:hanging="698"/>
      </w:pPr>
      <w:r w:rsidRPr="00F2207D">
        <w:t>FORNE</w:t>
      </w:r>
      <w:r w:rsidRPr="00F2207D">
        <w:rPr>
          <w:rStyle w:val="FootnoteReference"/>
          <w:rFonts w:cs="Arial"/>
        </w:rPr>
        <w:footnoteReference w:id="37"/>
      </w:r>
    </w:p>
    <w:p w:rsidR="005A63D9" w:rsidRPr="00F2207D" w:rsidRDefault="005A63D9" w:rsidP="0094169D">
      <w:pPr>
        <w:pStyle w:val="ListParagraph"/>
        <w:numPr>
          <w:ilvl w:val="2"/>
          <w:numId w:val="14"/>
        </w:numPr>
        <w:spacing w:afterLines="0"/>
        <w:ind w:left="1418" w:hanging="698"/>
      </w:pPr>
      <w:r w:rsidRPr="00F2207D">
        <w:t>Zadávání projektů a společné financování se Spolkovým ministerstvem zdravotnictví</w:t>
      </w:r>
    </w:p>
    <w:p w:rsidR="005A63D9" w:rsidRPr="00F2207D" w:rsidRDefault="005A63D9" w:rsidP="0094169D">
      <w:pPr>
        <w:pStyle w:val="ListParagraph"/>
        <w:numPr>
          <w:ilvl w:val="2"/>
          <w:numId w:val="14"/>
        </w:numPr>
        <w:spacing w:afterLines="0"/>
        <w:ind w:left="1418" w:hanging="698"/>
      </w:pPr>
      <w:r w:rsidRPr="00F2207D">
        <w:t>Výzkumná spolupráce státu a spolkových zemí</w:t>
      </w:r>
    </w:p>
    <w:p w:rsidR="005A63D9" w:rsidRPr="00F2207D" w:rsidRDefault="005A63D9" w:rsidP="0094169D">
      <w:pPr>
        <w:pStyle w:val="ListParagraph"/>
        <w:numPr>
          <w:ilvl w:val="2"/>
          <w:numId w:val="14"/>
        </w:numPr>
        <w:spacing w:afterLines="0"/>
        <w:ind w:left="1418" w:hanging="698"/>
      </w:pPr>
      <w:r w:rsidRPr="00F2207D">
        <w:t>Inovace v resortních výzkumných pracovištích</w:t>
      </w:r>
    </w:p>
    <w:p w:rsidR="005A63D9" w:rsidRPr="00F2207D" w:rsidRDefault="005A63D9" w:rsidP="0094169D">
      <w:pPr>
        <w:pStyle w:val="ListParagraph"/>
        <w:numPr>
          <w:ilvl w:val="1"/>
          <w:numId w:val="14"/>
        </w:numPr>
        <w:spacing w:afterLines="0"/>
      </w:pPr>
      <w:r w:rsidRPr="00F2207D">
        <w:t>Evropský a mezinárodní výzkum</w:t>
      </w:r>
    </w:p>
    <w:p w:rsidR="005A63D9" w:rsidRPr="00F2207D" w:rsidRDefault="005A63D9" w:rsidP="0094169D">
      <w:pPr>
        <w:pStyle w:val="ListParagraph"/>
        <w:numPr>
          <w:ilvl w:val="2"/>
          <w:numId w:val="14"/>
        </w:numPr>
        <w:spacing w:afterLines="0"/>
        <w:ind w:left="1418" w:hanging="698"/>
      </w:pPr>
      <w:r w:rsidRPr="00F2207D">
        <w:t>Účast v ERA-Nets</w:t>
      </w:r>
    </w:p>
    <w:p w:rsidR="005A63D9" w:rsidRPr="00F2207D" w:rsidRDefault="005A63D9" w:rsidP="0094169D">
      <w:pPr>
        <w:pStyle w:val="ListParagraph"/>
        <w:numPr>
          <w:ilvl w:val="2"/>
          <w:numId w:val="14"/>
        </w:numPr>
        <w:spacing w:afterLines="0"/>
        <w:ind w:left="1418" w:hanging="698"/>
      </w:pPr>
      <w:r w:rsidRPr="00F2207D">
        <w:t>SCAR</w:t>
      </w:r>
      <w:r w:rsidRPr="00F2207D">
        <w:rPr>
          <w:rStyle w:val="FootnoteReference"/>
          <w:rFonts w:cs="Arial"/>
        </w:rPr>
        <w:footnoteReference w:id="38"/>
      </w:r>
    </w:p>
    <w:p w:rsidR="005A63D9" w:rsidRPr="00F2207D" w:rsidRDefault="005A63D9" w:rsidP="0094169D">
      <w:pPr>
        <w:pStyle w:val="ListParagraph"/>
        <w:numPr>
          <w:ilvl w:val="2"/>
          <w:numId w:val="14"/>
        </w:numPr>
        <w:spacing w:afterLines="0"/>
        <w:ind w:left="1418" w:hanging="698"/>
      </w:pPr>
      <w:r w:rsidRPr="00F2207D">
        <w:t>Joint Programming Initiative JPI</w:t>
      </w:r>
    </w:p>
    <w:p w:rsidR="005A63D9" w:rsidRPr="00F2207D" w:rsidRDefault="005A63D9" w:rsidP="0094169D">
      <w:pPr>
        <w:pStyle w:val="ListParagraph"/>
        <w:numPr>
          <w:ilvl w:val="2"/>
          <w:numId w:val="14"/>
        </w:numPr>
        <w:spacing w:afterLines="0"/>
        <w:ind w:left="1418" w:hanging="698"/>
      </w:pPr>
      <w:r w:rsidRPr="00F2207D">
        <w:t>7. Rámcový program EU</w:t>
      </w:r>
    </w:p>
    <w:p w:rsidR="005A63D9" w:rsidRPr="00F2207D" w:rsidRDefault="005A63D9" w:rsidP="0094169D">
      <w:pPr>
        <w:pStyle w:val="ListParagraph"/>
        <w:numPr>
          <w:ilvl w:val="2"/>
          <w:numId w:val="14"/>
        </w:numPr>
        <w:spacing w:afterLines="0"/>
        <w:ind w:left="1418" w:hanging="698"/>
      </w:pPr>
      <w:r w:rsidRPr="00F2207D">
        <w:t>COST</w:t>
      </w:r>
    </w:p>
    <w:p w:rsidR="005A63D9" w:rsidRPr="00F2207D" w:rsidRDefault="005A63D9" w:rsidP="0094169D">
      <w:pPr>
        <w:pStyle w:val="ListParagraph"/>
        <w:numPr>
          <w:ilvl w:val="1"/>
          <w:numId w:val="14"/>
        </w:numPr>
        <w:spacing w:afterLines="0"/>
      </w:pPr>
      <w:r w:rsidRPr="00F2207D">
        <w:t>Strategické úvahy o výzkumu</w:t>
      </w:r>
    </w:p>
    <w:p w:rsidR="005A63D9" w:rsidRPr="00F2207D" w:rsidRDefault="005A63D9" w:rsidP="0094169D">
      <w:pPr>
        <w:pStyle w:val="ListParagraph"/>
        <w:numPr>
          <w:ilvl w:val="0"/>
          <w:numId w:val="14"/>
        </w:numPr>
        <w:spacing w:afterLines="0"/>
      </w:pPr>
      <w:r w:rsidRPr="00F2207D">
        <w:t>Výzkumné úkoly ministerstva a finanční prostředky pro PFEIL15</w:t>
      </w:r>
    </w:p>
    <w:p w:rsidR="005A63D9" w:rsidRPr="00F2207D" w:rsidRDefault="005A63D9" w:rsidP="0094169D">
      <w:pPr>
        <w:pStyle w:val="ListParagraph"/>
        <w:numPr>
          <w:ilvl w:val="0"/>
          <w:numId w:val="14"/>
        </w:numPr>
        <w:spacing w:afterLines="0"/>
      </w:pPr>
      <w:r w:rsidRPr="00F2207D">
        <w:t>Realizace PFEIL15</w:t>
      </w:r>
    </w:p>
    <w:p w:rsidR="005A63D9" w:rsidRPr="00F2207D" w:rsidRDefault="005A63D9" w:rsidP="0094169D">
      <w:pPr>
        <w:pStyle w:val="ListParagraph"/>
        <w:numPr>
          <w:ilvl w:val="1"/>
          <w:numId w:val="14"/>
        </w:numPr>
        <w:spacing w:afterLines="0"/>
      </w:pPr>
      <w:r w:rsidRPr="00F2207D">
        <w:t>Právní základy</w:t>
      </w:r>
    </w:p>
    <w:p w:rsidR="005A63D9" w:rsidRPr="00F2207D" w:rsidRDefault="005A63D9" w:rsidP="0094169D">
      <w:pPr>
        <w:pStyle w:val="ListParagraph"/>
        <w:numPr>
          <w:ilvl w:val="1"/>
          <w:numId w:val="14"/>
        </w:numPr>
        <w:spacing w:afterLines="0"/>
      </w:pPr>
      <w:r w:rsidRPr="00F2207D">
        <w:t>Předkládání návrhů projektů a výběr pro podporu</w:t>
      </w:r>
    </w:p>
    <w:p w:rsidR="005A63D9" w:rsidRPr="00F2207D" w:rsidRDefault="005A63D9" w:rsidP="0094169D">
      <w:pPr>
        <w:pStyle w:val="ListParagraph"/>
        <w:numPr>
          <w:ilvl w:val="1"/>
          <w:numId w:val="14"/>
        </w:numPr>
        <w:spacing w:afterLines="0"/>
      </w:pPr>
      <w:r w:rsidRPr="00F2207D">
        <w:t>Časový plám</w:t>
      </w:r>
    </w:p>
    <w:p w:rsidR="005A63D9" w:rsidRPr="00F2207D" w:rsidRDefault="005A63D9" w:rsidP="0094169D">
      <w:pPr>
        <w:pStyle w:val="ListParagraph"/>
        <w:numPr>
          <w:ilvl w:val="0"/>
          <w:numId w:val="14"/>
        </w:numPr>
        <w:spacing w:afterLines="0"/>
      </w:pPr>
      <w:r w:rsidRPr="00F2207D">
        <w:t>Management poznatků</w:t>
      </w:r>
    </w:p>
    <w:p w:rsidR="005A63D9" w:rsidRPr="00F2207D" w:rsidRDefault="005A63D9" w:rsidP="0094169D">
      <w:pPr>
        <w:pStyle w:val="ListParagraph"/>
        <w:numPr>
          <w:ilvl w:val="1"/>
          <w:numId w:val="14"/>
        </w:numPr>
        <w:spacing w:afterLines="0"/>
      </w:pPr>
      <w:r w:rsidRPr="00F2207D">
        <w:t>INSPIRE</w:t>
      </w:r>
      <w:r w:rsidRPr="00F2207D">
        <w:rPr>
          <w:rStyle w:val="FootnoteReference"/>
          <w:rFonts w:cs="Arial"/>
        </w:rPr>
        <w:footnoteReference w:id="39"/>
      </w:r>
    </w:p>
    <w:p w:rsidR="005A63D9" w:rsidRPr="00F2207D" w:rsidRDefault="005A63D9" w:rsidP="0094169D">
      <w:pPr>
        <w:pStyle w:val="ListParagraph"/>
        <w:numPr>
          <w:ilvl w:val="1"/>
          <w:numId w:val="14"/>
        </w:numPr>
        <w:spacing w:afterLines="0"/>
      </w:pPr>
      <w:r w:rsidRPr="00F2207D">
        <w:t>Management poznatků zjišťováním srovnatelných dat</w:t>
      </w:r>
    </w:p>
    <w:p w:rsidR="005A63D9" w:rsidRPr="00F2207D" w:rsidRDefault="005A63D9" w:rsidP="0094169D">
      <w:pPr>
        <w:pStyle w:val="ListParagraph"/>
        <w:numPr>
          <w:ilvl w:val="1"/>
          <w:numId w:val="14"/>
        </w:numPr>
        <w:spacing w:afterLines="0"/>
      </w:pPr>
      <w:r w:rsidRPr="00F2207D">
        <w:t>Resortní koncepce Geografického informačního systému (GIS)</w:t>
      </w:r>
    </w:p>
    <w:p w:rsidR="005A63D9" w:rsidRPr="00F2207D" w:rsidRDefault="005A63D9" w:rsidP="0094169D">
      <w:pPr>
        <w:spacing w:afterLines="0"/>
      </w:pPr>
      <w:r w:rsidRPr="00F2207D">
        <w:t>SPECIÁLNÍ ČÁST</w:t>
      </w:r>
    </w:p>
    <w:p w:rsidR="005A63D9" w:rsidRPr="00F2207D" w:rsidRDefault="005A63D9" w:rsidP="0094169D">
      <w:pPr>
        <w:pStyle w:val="ListParagraph"/>
        <w:numPr>
          <w:ilvl w:val="0"/>
          <w:numId w:val="14"/>
        </w:numPr>
        <w:spacing w:afterLines="0"/>
      </w:pPr>
      <w:r w:rsidRPr="00F2207D">
        <w:t>Přizpůsobení se klimatickým změnám</w:t>
      </w:r>
    </w:p>
    <w:p w:rsidR="005A63D9" w:rsidRPr="00F2207D" w:rsidRDefault="005A63D9" w:rsidP="0094169D">
      <w:pPr>
        <w:pStyle w:val="ListParagraph"/>
        <w:numPr>
          <w:ilvl w:val="1"/>
          <w:numId w:val="14"/>
        </w:numPr>
        <w:spacing w:afterLines="0"/>
      </w:pPr>
      <w:r w:rsidRPr="00F2207D">
        <w:t>Indikátory změn klimatu</w:t>
      </w:r>
    </w:p>
    <w:p w:rsidR="005A63D9" w:rsidRPr="00F2207D" w:rsidRDefault="005A63D9" w:rsidP="0094169D">
      <w:pPr>
        <w:pStyle w:val="ListParagraph"/>
        <w:numPr>
          <w:ilvl w:val="1"/>
          <w:numId w:val="14"/>
        </w:numPr>
        <w:spacing w:afterLines="0"/>
      </w:pPr>
      <w:r w:rsidRPr="00F2207D">
        <w:t>Intenzivnější analýzy změn klimatu a hlavních změn v energetice</w:t>
      </w:r>
    </w:p>
    <w:p w:rsidR="005A63D9" w:rsidRPr="00F2207D" w:rsidRDefault="005A63D9" w:rsidP="0094169D">
      <w:pPr>
        <w:pStyle w:val="ListParagraph"/>
        <w:numPr>
          <w:ilvl w:val="1"/>
          <w:numId w:val="14"/>
        </w:numPr>
        <w:spacing w:afterLines="0"/>
      </w:pPr>
      <w:r w:rsidRPr="00F2207D">
        <w:t>Klimatické prognózy pro regiony</w:t>
      </w:r>
    </w:p>
    <w:p w:rsidR="005A63D9" w:rsidRPr="00F2207D" w:rsidRDefault="005A63D9" w:rsidP="0094169D">
      <w:pPr>
        <w:pStyle w:val="ListParagraph"/>
        <w:numPr>
          <w:ilvl w:val="1"/>
          <w:numId w:val="14"/>
        </w:numPr>
        <w:spacing w:afterLines="0"/>
      </w:pPr>
      <w:r w:rsidRPr="00F2207D">
        <w:t>Dopady změn klimatu na životní prostředí a produkci</w:t>
      </w:r>
    </w:p>
    <w:p w:rsidR="005A63D9" w:rsidRPr="00F2207D" w:rsidRDefault="005A63D9" w:rsidP="0094169D">
      <w:pPr>
        <w:pStyle w:val="ListParagraph"/>
        <w:numPr>
          <w:ilvl w:val="0"/>
          <w:numId w:val="14"/>
        </w:numPr>
        <w:spacing w:afterLines="0"/>
      </w:pPr>
      <w:r w:rsidRPr="00F2207D">
        <w:t>Ekosystém půdy a udržitelný management půdy</w:t>
      </w:r>
    </w:p>
    <w:p w:rsidR="005A63D9" w:rsidRPr="00F2207D" w:rsidRDefault="005A63D9" w:rsidP="0094169D">
      <w:pPr>
        <w:pStyle w:val="ListParagraph"/>
        <w:numPr>
          <w:ilvl w:val="1"/>
          <w:numId w:val="14"/>
        </w:numPr>
        <w:spacing w:afterLines="0"/>
      </w:pPr>
      <w:r w:rsidRPr="00F2207D">
        <w:t>Funkcionalita půdy</w:t>
      </w:r>
    </w:p>
    <w:p w:rsidR="005A63D9" w:rsidRPr="00F2207D" w:rsidRDefault="005A63D9" w:rsidP="0094169D">
      <w:pPr>
        <w:pStyle w:val="ListParagraph"/>
        <w:numPr>
          <w:ilvl w:val="1"/>
          <w:numId w:val="14"/>
        </w:numPr>
        <w:spacing w:afterLines="0"/>
      </w:pPr>
      <w:r w:rsidRPr="00F2207D">
        <w:t>Monitoring půdy</w:t>
      </w:r>
    </w:p>
    <w:p w:rsidR="005A63D9" w:rsidRPr="00F2207D" w:rsidRDefault="005A63D9" w:rsidP="0094169D">
      <w:pPr>
        <w:pStyle w:val="ListParagraph"/>
        <w:numPr>
          <w:ilvl w:val="0"/>
          <w:numId w:val="14"/>
        </w:numPr>
        <w:spacing w:afterLines="0"/>
      </w:pPr>
      <w:r w:rsidRPr="00F2207D">
        <w:t>Management zdroje voda</w:t>
      </w:r>
    </w:p>
    <w:p w:rsidR="005A63D9" w:rsidRPr="00F2207D" w:rsidRDefault="005A63D9" w:rsidP="0094169D">
      <w:pPr>
        <w:pStyle w:val="ListParagraph"/>
        <w:numPr>
          <w:ilvl w:val="1"/>
          <w:numId w:val="14"/>
        </w:numPr>
        <w:spacing w:afterLines="0"/>
      </w:pPr>
      <w:r w:rsidRPr="00F2207D">
        <w:t>Management vody</w:t>
      </w:r>
    </w:p>
    <w:p w:rsidR="005A63D9" w:rsidRPr="00F2207D" w:rsidRDefault="005A63D9" w:rsidP="0094169D">
      <w:pPr>
        <w:pStyle w:val="ListParagraph"/>
        <w:numPr>
          <w:ilvl w:val="1"/>
          <w:numId w:val="14"/>
        </w:numPr>
        <w:spacing w:afterLines="0"/>
      </w:pPr>
      <w:r w:rsidRPr="00F2207D">
        <w:t>Ekologie vody</w:t>
      </w:r>
    </w:p>
    <w:p w:rsidR="005A63D9" w:rsidRPr="00F2207D" w:rsidRDefault="005A63D9" w:rsidP="0094169D">
      <w:pPr>
        <w:pStyle w:val="ListParagraph"/>
        <w:numPr>
          <w:ilvl w:val="0"/>
          <w:numId w:val="14"/>
        </w:numPr>
        <w:spacing w:afterLines="0"/>
      </w:pPr>
      <w:r w:rsidRPr="00F2207D">
        <w:t>Obnovitelné zdroje energie a dorůstající suroviny</w:t>
      </w:r>
    </w:p>
    <w:p w:rsidR="005A63D9" w:rsidRPr="00F2207D" w:rsidRDefault="005A63D9" w:rsidP="0094169D">
      <w:pPr>
        <w:pStyle w:val="ListParagraph"/>
        <w:numPr>
          <w:ilvl w:val="1"/>
          <w:numId w:val="14"/>
        </w:numPr>
        <w:spacing w:afterLines="0"/>
      </w:pPr>
      <w:r w:rsidRPr="00F2207D">
        <w:t>Biogenní pohonné hmoty</w:t>
      </w:r>
    </w:p>
    <w:p w:rsidR="005A63D9" w:rsidRPr="00F2207D" w:rsidRDefault="005A63D9" w:rsidP="0094169D">
      <w:pPr>
        <w:pStyle w:val="ListParagraph"/>
        <w:numPr>
          <w:ilvl w:val="1"/>
          <w:numId w:val="14"/>
        </w:numPr>
        <w:spacing w:afterLines="0"/>
      </w:pPr>
      <w:r w:rsidRPr="00F2207D">
        <w:t>Biogenní látky pro kombinovanou výrobu elektřiny a tepla</w:t>
      </w:r>
    </w:p>
    <w:p w:rsidR="005A63D9" w:rsidRPr="00F2207D" w:rsidRDefault="005A63D9" w:rsidP="0094169D">
      <w:pPr>
        <w:pStyle w:val="ListParagraph"/>
        <w:numPr>
          <w:ilvl w:val="1"/>
          <w:numId w:val="14"/>
        </w:numPr>
        <w:spacing w:afterLines="0"/>
      </w:pPr>
      <w:r w:rsidRPr="00F2207D">
        <w:t>Další způsoby využití biomasy</w:t>
      </w:r>
    </w:p>
    <w:p w:rsidR="005A63D9" w:rsidRPr="00F2207D" w:rsidRDefault="005A63D9" w:rsidP="0094169D">
      <w:pPr>
        <w:pStyle w:val="ListParagraph"/>
        <w:numPr>
          <w:ilvl w:val="1"/>
          <w:numId w:val="14"/>
        </w:numPr>
        <w:spacing w:afterLines="0"/>
      </w:pPr>
      <w:r w:rsidRPr="00F2207D">
        <w:t>Fotovoltaika, vítr a vodní energie</w:t>
      </w:r>
    </w:p>
    <w:p w:rsidR="005A63D9" w:rsidRPr="00F2207D" w:rsidRDefault="005A63D9" w:rsidP="0094169D">
      <w:pPr>
        <w:pStyle w:val="ListParagraph"/>
        <w:numPr>
          <w:ilvl w:val="0"/>
          <w:numId w:val="14"/>
        </w:numPr>
        <w:spacing w:afterLines="0"/>
      </w:pPr>
      <w:r w:rsidRPr="00F2207D">
        <w:t>Udržitelný rozvoj</w:t>
      </w:r>
    </w:p>
    <w:p w:rsidR="005A63D9" w:rsidRPr="00F2207D" w:rsidRDefault="005A63D9" w:rsidP="0094169D">
      <w:pPr>
        <w:pStyle w:val="ListParagraph"/>
        <w:numPr>
          <w:ilvl w:val="1"/>
          <w:numId w:val="14"/>
        </w:numPr>
        <w:tabs>
          <w:tab w:val="left" w:pos="851"/>
        </w:tabs>
        <w:spacing w:afterLines="0"/>
      </w:pPr>
      <w:r w:rsidRPr="00F2207D">
        <w:t>Hodnocení strategií, procesů a opatření</w:t>
      </w:r>
    </w:p>
    <w:p w:rsidR="005A63D9" w:rsidRPr="00F2207D" w:rsidRDefault="005A63D9" w:rsidP="0094169D">
      <w:pPr>
        <w:pStyle w:val="ListParagraph"/>
        <w:numPr>
          <w:ilvl w:val="1"/>
          <w:numId w:val="14"/>
        </w:numPr>
        <w:tabs>
          <w:tab w:val="left" w:pos="851"/>
        </w:tabs>
        <w:spacing w:afterLines="0"/>
      </w:pPr>
      <w:r w:rsidRPr="00F2207D">
        <w:t>Udržitelný management zdrojů</w:t>
      </w:r>
    </w:p>
    <w:p w:rsidR="005A63D9" w:rsidRPr="00F2207D" w:rsidRDefault="005A63D9" w:rsidP="0094169D">
      <w:pPr>
        <w:pStyle w:val="ListParagraph"/>
        <w:numPr>
          <w:ilvl w:val="1"/>
          <w:numId w:val="14"/>
        </w:numPr>
        <w:tabs>
          <w:tab w:val="left" w:pos="851"/>
        </w:tabs>
        <w:spacing w:afterLines="0"/>
      </w:pPr>
      <w:r w:rsidRPr="00F2207D">
        <w:t>Udržitelné odpadové hospodářství</w:t>
      </w:r>
    </w:p>
    <w:p w:rsidR="005A63D9" w:rsidRPr="00F2207D" w:rsidRDefault="005A63D9" w:rsidP="0094169D">
      <w:pPr>
        <w:pStyle w:val="ListParagraph"/>
        <w:numPr>
          <w:ilvl w:val="1"/>
          <w:numId w:val="14"/>
        </w:numPr>
        <w:tabs>
          <w:tab w:val="left" w:pos="851"/>
        </w:tabs>
        <w:spacing w:afterLines="0"/>
      </w:pPr>
      <w:r w:rsidRPr="00F2207D">
        <w:t>Vzdělávání pro udržitelný rozvoj</w:t>
      </w:r>
    </w:p>
    <w:p w:rsidR="005A63D9" w:rsidRPr="00F2207D" w:rsidRDefault="005A63D9" w:rsidP="0094169D">
      <w:pPr>
        <w:pStyle w:val="ListParagraph"/>
        <w:numPr>
          <w:ilvl w:val="0"/>
          <w:numId w:val="14"/>
        </w:numPr>
        <w:tabs>
          <w:tab w:val="left" w:pos="851"/>
        </w:tabs>
        <w:spacing w:afterLines="0"/>
      </w:pPr>
      <w:r w:rsidRPr="00F2207D">
        <w:t>Procesní inženýrství</w:t>
      </w:r>
    </w:p>
    <w:p w:rsidR="005A63D9" w:rsidRPr="00F2207D" w:rsidRDefault="005A63D9" w:rsidP="0094169D">
      <w:pPr>
        <w:pStyle w:val="ListParagraph"/>
        <w:numPr>
          <w:ilvl w:val="1"/>
          <w:numId w:val="14"/>
        </w:numPr>
        <w:tabs>
          <w:tab w:val="left" w:pos="851"/>
        </w:tabs>
        <w:spacing w:afterLines="0"/>
      </w:pPr>
      <w:r w:rsidRPr="00F2207D">
        <w:t>Produkty a technologie</w:t>
      </w:r>
    </w:p>
    <w:p w:rsidR="005A63D9" w:rsidRPr="00F2207D" w:rsidRDefault="005A63D9" w:rsidP="0094169D">
      <w:pPr>
        <w:pStyle w:val="ListParagraph"/>
        <w:numPr>
          <w:ilvl w:val="1"/>
          <w:numId w:val="14"/>
        </w:numPr>
        <w:tabs>
          <w:tab w:val="left" w:pos="851"/>
        </w:tabs>
        <w:spacing w:afterLines="0"/>
      </w:pPr>
      <w:r w:rsidRPr="00F2207D">
        <w:t>Procesy</w:t>
      </w:r>
    </w:p>
    <w:p w:rsidR="005A63D9" w:rsidRPr="00F2207D" w:rsidRDefault="005A63D9" w:rsidP="0094169D">
      <w:pPr>
        <w:pStyle w:val="ListParagraph"/>
        <w:numPr>
          <w:ilvl w:val="0"/>
          <w:numId w:val="14"/>
        </w:numPr>
        <w:tabs>
          <w:tab w:val="left" w:pos="851"/>
        </w:tabs>
        <w:spacing w:afterLines="0"/>
      </w:pPr>
      <w:r w:rsidRPr="00F2207D">
        <w:t>Biodiverzita a genetické zdroje</w:t>
      </w:r>
    </w:p>
    <w:p w:rsidR="005A63D9" w:rsidRPr="00F2207D" w:rsidRDefault="005A63D9" w:rsidP="0094169D">
      <w:pPr>
        <w:pStyle w:val="ListParagraph"/>
        <w:numPr>
          <w:ilvl w:val="1"/>
          <w:numId w:val="14"/>
        </w:numPr>
        <w:tabs>
          <w:tab w:val="left" w:pos="851"/>
        </w:tabs>
        <w:spacing w:afterLines="0"/>
      </w:pPr>
      <w:r w:rsidRPr="00F2207D">
        <w:t>Genetická rozmanitost</w:t>
      </w:r>
    </w:p>
    <w:p w:rsidR="005A63D9" w:rsidRPr="00F2207D" w:rsidRDefault="005A63D9" w:rsidP="0094169D">
      <w:pPr>
        <w:pStyle w:val="ListParagraph"/>
        <w:numPr>
          <w:ilvl w:val="1"/>
          <w:numId w:val="14"/>
        </w:numPr>
        <w:tabs>
          <w:tab w:val="left" w:pos="851"/>
        </w:tabs>
        <w:spacing w:afterLines="0"/>
      </w:pPr>
      <w:r w:rsidRPr="00F2207D">
        <w:t>Zacházení s biotypy</w:t>
      </w:r>
    </w:p>
    <w:p w:rsidR="005A63D9" w:rsidRPr="00F2207D" w:rsidRDefault="005A63D9" w:rsidP="0094169D">
      <w:pPr>
        <w:pStyle w:val="ListParagraph"/>
        <w:numPr>
          <w:ilvl w:val="1"/>
          <w:numId w:val="14"/>
        </w:numPr>
        <w:tabs>
          <w:tab w:val="left" w:pos="851"/>
        </w:tabs>
        <w:spacing w:afterLines="0"/>
      </w:pPr>
      <w:r w:rsidRPr="00F2207D">
        <w:t>Monitoring</w:t>
      </w:r>
    </w:p>
    <w:p w:rsidR="005A63D9" w:rsidRPr="00F2207D" w:rsidRDefault="005A63D9" w:rsidP="0094169D">
      <w:pPr>
        <w:pStyle w:val="ListParagraph"/>
        <w:numPr>
          <w:ilvl w:val="1"/>
          <w:numId w:val="14"/>
        </w:numPr>
        <w:tabs>
          <w:tab w:val="left" w:pos="851"/>
        </w:tabs>
        <w:spacing w:afterLines="0"/>
      </w:pPr>
      <w:r w:rsidRPr="00F2207D">
        <w:t>Ekologie měst a městské zahradnictví</w:t>
      </w:r>
    </w:p>
    <w:p w:rsidR="005A63D9" w:rsidRPr="00F2207D" w:rsidRDefault="005A63D9" w:rsidP="0094169D">
      <w:pPr>
        <w:pStyle w:val="ListParagraph"/>
        <w:numPr>
          <w:ilvl w:val="0"/>
          <w:numId w:val="14"/>
        </w:numPr>
        <w:tabs>
          <w:tab w:val="left" w:pos="851"/>
        </w:tabs>
        <w:spacing w:afterLines="0"/>
      </w:pPr>
      <w:r w:rsidRPr="00F2207D">
        <w:t>Mezinárodní a evropské rámcové podmínky a vývoj</w:t>
      </w:r>
    </w:p>
    <w:p w:rsidR="005A63D9" w:rsidRPr="00F2207D" w:rsidRDefault="005A63D9" w:rsidP="0094169D">
      <w:pPr>
        <w:pStyle w:val="ListParagraph"/>
        <w:numPr>
          <w:ilvl w:val="1"/>
          <w:numId w:val="14"/>
        </w:numPr>
        <w:tabs>
          <w:tab w:val="left" w:pos="851"/>
        </w:tabs>
        <w:spacing w:afterLines="0"/>
      </w:pPr>
      <w:r w:rsidRPr="00F2207D">
        <w:t>Globální výzvy a mezinárodní vztahy</w:t>
      </w:r>
    </w:p>
    <w:p w:rsidR="005A63D9" w:rsidRPr="00F2207D" w:rsidRDefault="005A63D9" w:rsidP="0094169D">
      <w:pPr>
        <w:pStyle w:val="ListParagraph"/>
        <w:numPr>
          <w:ilvl w:val="1"/>
          <w:numId w:val="14"/>
        </w:numPr>
        <w:tabs>
          <w:tab w:val="left" w:pos="851"/>
        </w:tabs>
        <w:spacing w:afterLines="0"/>
      </w:pPr>
      <w:r w:rsidRPr="00F2207D">
        <w:t>Dopady na úroveň jednotlivých států</w:t>
      </w:r>
    </w:p>
    <w:p w:rsidR="005A63D9" w:rsidRPr="00F2207D" w:rsidRDefault="005A63D9" w:rsidP="0094169D">
      <w:pPr>
        <w:pStyle w:val="ListParagraph"/>
        <w:numPr>
          <w:ilvl w:val="0"/>
          <w:numId w:val="14"/>
        </w:numPr>
        <w:tabs>
          <w:tab w:val="left" w:pos="851"/>
        </w:tabs>
        <w:spacing w:afterLines="0"/>
      </w:pPr>
      <w:r w:rsidRPr="00F2207D">
        <w:t>Venkov (venkovské oblasti) a jeho rozvoj</w:t>
      </w:r>
    </w:p>
    <w:p w:rsidR="005A63D9" w:rsidRPr="00F2207D" w:rsidRDefault="005A63D9" w:rsidP="0094169D">
      <w:pPr>
        <w:pStyle w:val="ListParagraph"/>
        <w:numPr>
          <w:ilvl w:val="1"/>
          <w:numId w:val="14"/>
        </w:numPr>
        <w:tabs>
          <w:tab w:val="left" w:pos="851"/>
        </w:tabs>
        <w:spacing w:afterLines="0"/>
      </w:pPr>
      <w:r w:rsidRPr="00F2207D">
        <w:t>Inovační potenciály síťové orientace politických opatření</w:t>
      </w:r>
    </w:p>
    <w:p w:rsidR="005A63D9" w:rsidRPr="00F2207D" w:rsidRDefault="005A63D9" w:rsidP="0094169D">
      <w:pPr>
        <w:pStyle w:val="ListParagraph"/>
        <w:numPr>
          <w:ilvl w:val="1"/>
          <w:numId w:val="14"/>
        </w:numPr>
        <w:tabs>
          <w:tab w:val="left" w:pos="851"/>
        </w:tabs>
        <w:spacing w:afterLines="0"/>
      </w:pPr>
      <w:r w:rsidRPr="00F2207D">
        <w:t>Kvalita života</w:t>
      </w:r>
    </w:p>
    <w:p w:rsidR="005A63D9" w:rsidRPr="00F2207D" w:rsidRDefault="005A63D9" w:rsidP="0094169D">
      <w:pPr>
        <w:pStyle w:val="ListParagraph"/>
        <w:numPr>
          <w:ilvl w:val="1"/>
          <w:numId w:val="14"/>
        </w:numPr>
        <w:tabs>
          <w:tab w:val="left" w:pos="851"/>
        </w:tabs>
        <w:spacing w:afterLines="0"/>
      </w:pPr>
      <w:r w:rsidRPr="00F2207D">
        <w:t>Opatření pro rozvoj venkova a regionální plánování</w:t>
      </w:r>
    </w:p>
    <w:p w:rsidR="005A63D9" w:rsidRPr="00F2207D" w:rsidRDefault="005A63D9" w:rsidP="0094169D">
      <w:pPr>
        <w:pStyle w:val="ListParagraph"/>
        <w:numPr>
          <w:ilvl w:val="1"/>
          <w:numId w:val="14"/>
        </w:numPr>
        <w:tabs>
          <w:tab w:val="left" w:pos="851"/>
        </w:tabs>
        <w:spacing w:afterLines="0"/>
      </w:pPr>
      <w:r w:rsidRPr="00F2207D">
        <w:t>Digitální agenda a venkov</w:t>
      </w:r>
    </w:p>
    <w:p w:rsidR="005A63D9" w:rsidRPr="00F2207D" w:rsidRDefault="005A63D9" w:rsidP="0094169D">
      <w:pPr>
        <w:pStyle w:val="ListParagraph"/>
        <w:numPr>
          <w:ilvl w:val="1"/>
          <w:numId w:val="14"/>
        </w:numPr>
        <w:tabs>
          <w:tab w:val="left" w:pos="851"/>
        </w:tabs>
        <w:spacing w:afterLines="0"/>
      </w:pPr>
      <w:r w:rsidRPr="00F2207D">
        <w:t>Socio-kulturní změny venkova</w:t>
      </w:r>
    </w:p>
    <w:p w:rsidR="005A63D9" w:rsidRPr="00F2207D" w:rsidRDefault="005A63D9" w:rsidP="0094169D">
      <w:pPr>
        <w:pStyle w:val="ListParagraph"/>
        <w:numPr>
          <w:ilvl w:val="0"/>
          <w:numId w:val="14"/>
        </w:numPr>
        <w:tabs>
          <w:tab w:val="left" w:pos="851"/>
        </w:tabs>
        <w:spacing w:afterLines="0"/>
      </w:pPr>
      <w:r w:rsidRPr="00F2207D">
        <w:t xml:space="preserve">Horské oblasti </w:t>
      </w:r>
      <w:r>
        <w:t xml:space="preserve">a oblasti </w:t>
      </w:r>
      <w:r w:rsidRPr="00F2207D">
        <w:t>s nimi sousedící</w:t>
      </w:r>
    </w:p>
    <w:p w:rsidR="005A63D9" w:rsidRPr="00F2207D" w:rsidRDefault="005A63D9" w:rsidP="0094169D">
      <w:pPr>
        <w:pStyle w:val="ListParagraph"/>
        <w:numPr>
          <w:ilvl w:val="1"/>
          <w:numId w:val="14"/>
        </w:numPr>
        <w:tabs>
          <w:tab w:val="left" w:pos="851"/>
        </w:tabs>
        <w:spacing w:afterLines="0"/>
      </w:pPr>
      <w:r w:rsidRPr="00F2207D">
        <w:t>Politická podpora</w:t>
      </w:r>
    </w:p>
    <w:p w:rsidR="005A63D9" w:rsidRPr="00F2207D" w:rsidRDefault="005A63D9" w:rsidP="0094169D">
      <w:pPr>
        <w:pStyle w:val="ListParagraph"/>
        <w:numPr>
          <w:ilvl w:val="1"/>
          <w:numId w:val="14"/>
        </w:numPr>
        <w:tabs>
          <w:tab w:val="left" w:pos="851"/>
        </w:tabs>
        <w:spacing w:afterLines="0"/>
      </w:pPr>
      <w:r w:rsidRPr="00F2207D">
        <w:t>Udržitelná horské zemědělství</w:t>
      </w:r>
    </w:p>
    <w:p w:rsidR="005A63D9" w:rsidRPr="00F2207D" w:rsidRDefault="005A63D9" w:rsidP="0094169D">
      <w:pPr>
        <w:pStyle w:val="ListParagraph"/>
        <w:numPr>
          <w:ilvl w:val="1"/>
          <w:numId w:val="14"/>
        </w:numPr>
        <w:tabs>
          <w:tab w:val="left" w:pos="851"/>
        </w:tabs>
        <w:spacing w:afterLines="0"/>
      </w:pPr>
      <w:r w:rsidRPr="00F2207D">
        <w:t>Transformační strategie pro rakouské horské oblasti</w:t>
      </w:r>
    </w:p>
    <w:p w:rsidR="005A63D9" w:rsidRPr="00F2207D" w:rsidRDefault="005A63D9" w:rsidP="0094169D">
      <w:pPr>
        <w:pStyle w:val="ListParagraph"/>
        <w:numPr>
          <w:ilvl w:val="0"/>
          <w:numId w:val="14"/>
        </w:numPr>
        <w:tabs>
          <w:tab w:val="left" w:pos="851"/>
        </w:tabs>
        <w:spacing w:afterLines="0"/>
      </w:pPr>
      <w:r w:rsidRPr="00F2207D">
        <w:t>Přírodě blízké, udržitelné lesní hospodářství</w:t>
      </w:r>
    </w:p>
    <w:p w:rsidR="005A63D9" w:rsidRPr="00F2207D" w:rsidRDefault="005A63D9" w:rsidP="0094169D">
      <w:pPr>
        <w:pStyle w:val="ListParagraph"/>
        <w:numPr>
          <w:ilvl w:val="1"/>
          <w:numId w:val="14"/>
        </w:numPr>
        <w:tabs>
          <w:tab w:val="left" w:pos="851"/>
        </w:tabs>
        <w:spacing w:afterLines="0"/>
      </w:pPr>
      <w:r w:rsidRPr="00F2207D">
        <w:t>Nová koncepce rozvoje lesů</w:t>
      </w:r>
    </w:p>
    <w:p w:rsidR="005A63D9" w:rsidRPr="00F2207D" w:rsidRDefault="005A63D9" w:rsidP="0094169D">
      <w:pPr>
        <w:pStyle w:val="ListParagraph"/>
        <w:numPr>
          <w:ilvl w:val="1"/>
          <w:numId w:val="14"/>
        </w:numPr>
        <w:tabs>
          <w:tab w:val="left" w:pos="851"/>
        </w:tabs>
        <w:spacing w:afterLines="0"/>
      </w:pPr>
      <w:r w:rsidRPr="00F2207D">
        <w:t>Zatížení lesního ekosystému</w:t>
      </w:r>
    </w:p>
    <w:p w:rsidR="005A63D9" w:rsidRPr="00F2207D" w:rsidRDefault="005A63D9" w:rsidP="0094169D">
      <w:pPr>
        <w:pStyle w:val="ListParagraph"/>
        <w:numPr>
          <w:ilvl w:val="1"/>
          <w:numId w:val="14"/>
        </w:numPr>
        <w:tabs>
          <w:tab w:val="left" w:pos="851"/>
        </w:tabs>
        <w:spacing w:afterLines="0"/>
      </w:pPr>
      <w:r w:rsidRPr="00F2207D">
        <w:t>Mobilizace a logistika hospodaření s dřevem</w:t>
      </w:r>
    </w:p>
    <w:p w:rsidR="005A63D9" w:rsidRPr="00F2207D" w:rsidRDefault="005A63D9" w:rsidP="0094169D">
      <w:pPr>
        <w:pStyle w:val="ListParagraph"/>
        <w:numPr>
          <w:ilvl w:val="1"/>
          <w:numId w:val="14"/>
        </w:numPr>
        <w:tabs>
          <w:tab w:val="left" w:pos="851"/>
        </w:tabs>
        <w:spacing w:afterLines="0"/>
      </w:pPr>
      <w:r w:rsidRPr="00F2207D">
        <w:t>Požadavky na les</w:t>
      </w:r>
    </w:p>
    <w:p w:rsidR="005A63D9" w:rsidRPr="00F2207D" w:rsidRDefault="005A63D9" w:rsidP="0094169D">
      <w:pPr>
        <w:pStyle w:val="ListParagraph"/>
        <w:numPr>
          <w:ilvl w:val="0"/>
          <w:numId w:val="14"/>
        </w:numPr>
        <w:tabs>
          <w:tab w:val="left" w:pos="851"/>
        </w:tabs>
        <w:spacing w:afterLines="0"/>
      </w:pPr>
      <w:r w:rsidRPr="00F2207D">
        <w:t>Ochrana před přírodními ohroženími</w:t>
      </w:r>
    </w:p>
    <w:p w:rsidR="005A63D9" w:rsidRPr="00F2207D" w:rsidRDefault="005A63D9" w:rsidP="0094169D">
      <w:pPr>
        <w:pStyle w:val="ListParagraph"/>
        <w:numPr>
          <w:ilvl w:val="1"/>
          <w:numId w:val="14"/>
        </w:numPr>
        <w:tabs>
          <w:tab w:val="left" w:pos="851"/>
        </w:tabs>
        <w:spacing w:afterLines="0"/>
      </w:pPr>
      <w:r w:rsidRPr="00F2207D">
        <w:t>Prevence</w:t>
      </w:r>
    </w:p>
    <w:p w:rsidR="005A63D9" w:rsidRPr="00F2207D" w:rsidRDefault="005A63D9" w:rsidP="0094169D">
      <w:pPr>
        <w:pStyle w:val="ListParagraph"/>
        <w:numPr>
          <w:ilvl w:val="1"/>
          <w:numId w:val="14"/>
        </w:numPr>
        <w:tabs>
          <w:tab w:val="left" w:pos="851"/>
        </w:tabs>
        <w:spacing w:afterLines="0"/>
      </w:pPr>
      <w:r w:rsidRPr="00F2207D">
        <w:t>Management rizik</w:t>
      </w:r>
    </w:p>
    <w:p w:rsidR="005A63D9" w:rsidRPr="00F2207D" w:rsidRDefault="005A63D9" w:rsidP="0094169D">
      <w:pPr>
        <w:pStyle w:val="ListParagraph"/>
        <w:numPr>
          <w:ilvl w:val="0"/>
          <w:numId w:val="14"/>
        </w:numPr>
        <w:tabs>
          <w:tab w:val="left" w:pos="851"/>
        </w:tabs>
        <w:spacing w:afterLines="0"/>
      </w:pPr>
      <w:r w:rsidRPr="00F2207D">
        <w:t>Biologické zemědělství</w:t>
      </w:r>
    </w:p>
    <w:p w:rsidR="005A63D9" w:rsidRPr="00F2207D" w:rsidRDefault="005A63D9" w:rsidP="0094169D">
      <w:pPr>
        <w:pStyle w:val="ListParagraph"/>
        <w:numPr>
          <w:ilvl w:val="1"/>
          <w:numId w:val="14"/>
        </w:numPr>
        <w:tabs>
          <w:tab w:val="left" w:pos="851"/>
        </w:tabs>
        <w:spacing w:afterLines="0"/>
      </w:pPr>
      <w:r w:rsidRPr="00F2207D">
        <w:t>Kvalita produkce a strategie uplatnění na trzích</w:t>
      </w:r>
    </w:p>
    <w:p w:rsidR="005A63D9" w:rsidRPr="00F2207D" w:rsidRDefault="005A63D9" w:rsidP="0094169D">
      <w:pPr>
        <w:pStyle w:val="ListParagraph"/>
        <w:numPr>
          <w:ilvl w:val="1"/>
          <w:numId w:val="14"/>
        </w:numPr>
        <w:tabs>
          <w:tab w:val="left" w:pos="851"/>
        </w:tabs>
        <w:spacing w:afterLines="0"/>
      </w:pPr>
      <w:r w:rsidRPr="00F2207D">
        <w:t>Produkce rostlin v biologickém zemědělství</w:t>
      </w:r>
    </w:p>
    <w:p w:rsidR="005A63D9" w:rsidRPr="00F2207D" w:rsidRDefault="005A63D9" w:rsidP="0094169D">
      <w:pPr>
        <w:pStyle w:val="ListParagraph"/>
        <w:numPr>
          <w:ilvl w:val="1"/>
          <w:numId w:val="14"/>
        </w:numPr>
        <w:tabs>
          <w:tab w:val="left" w:pos="851"/>
        </w:tabs>
        <w:spacing w:afterLines="0"/>
      </w:pPr>
      <w:r w:rsidRPr="00F2207D">
        <w:t>Chov zvířat v biologickém zemědělství</w:t>
      </w:r>
    </w:p>
    <w:p w:rsidR="005A63D9" w:rsidRPr="00F2207D" w:rsidRDefault="005A63D9" w:rsidP="0094169D">
      <w:pPr>
        <w:pStyle w:val="ListParagraph"/>
        <w:numPr>
          <w:ilvl w:val="0"/>
          <w:numId w:val="14"/>
        </w:numPr>
        <w:tabs>
          <w:tab w:val="left" w:pos="851"/>
        </w:tabs>
        <w:spacing w:afterLines="0"/>
      </w:pPr>
      <w:r w:rsidRPr="00F2207D">
        <w:t>Udržitelné zemědělské produkční systémy</w:t>
      </w:r>
    </w:p>
    <w:p w:rsidR="005A63D9" w:rsidRPr="00F2207D" w:rsidRDefault="005A63D9" w:rsidP="0094169D">
      <w:pPr>
        <w:pStyle w:val="ListParagraph"/>
        <w:numPr>
          <w:ilvl w:val="0"/>
          <w:numId w:val="14"/>
        </w:numPr>
        <w:tabs>
          <w:tab w:val="left" w:pos="851"/>
        </w:tabs>
        <w:spacing w:afterLines="0"/>
      </w:pPr>
      <w:r w:rsidRPr="00F2207D">
        <w:t>Udržitelný, pro zvířata ohleduplný chov užitkových zvířat</w:t>
      </w:r>
    </w:p>
    <w:p w:rsidR="005A63D9" w:rsidRPr="00F2207D" w:rsidRDefault="005A63D9" w:rsidP="0094169D">
      <w:pPr>
        <w:pStyle w:val="ListParagraph"/>
        <w:numPr>
          <w:ilvl w:val="1"/>
          <w:numId w:val="14"/>
        </w:numPr>
        <w:tabs>
          <w:tab w:val="left" w:pos="851"/>
        </w:tabs>
        <w:spacing w:afterLines="0"/>
      </w:pPr>
      <w:r w:rsidRPr="00F2207D">
        <w:t>Výzkum chovu zvířat</w:t>
      </w:r>
    </w:p>
    <w:p w:rsidR="005A63D9" w:rsidRPr="00F2207D" w:rsidRDefault="005A63D9" w:rsidP="0094169D">
      <w:pPr>
        <w:pStyle w:val="ListParagraph"/>
        <w:numPr>
          <w:ilvl w:val="1"/>
          <w:numId w:val="14"/>
        </w:numPr>
        <w:tabs>
          <w:tab w:val="left" w:pos="851"/>
        </w:tabs>
        <w:spacing w:afterLines="0"/>
      </w:pPr>
      <w:r w:rsidRPr="00F2207D">
        <w:t>Výživa zvířat</w:t>
      </w:r>
    </w:p>
    <w:p w:rsidR="005A63D9" w:rsidRPr="00F2207D" w:rsidRDefault="005A63D9" w:rsidP="0094169D">
      <w:pPr>
        <w:pStyle w:val="ListParagraph"/>
        <w:numPr>
          <w:ilvl w:val="1"/>
          <w:numId w:val="14"/>
        </w:numPr>
        <w:tabs>
          <w:tab w:val="left" w:pos="851"/>
        </w:tabs>
        <w:spacing w:afterLines="0"/>
      </w:pPr>
      <w:r w:rsidRPr="00F2207D">
        <w:t>Zdraví zvířat</w:t>
      </w:r>
    </w:p>
    <w:p w:rsidR="005A63D9" w:rsidRPr="00F2207D" w:rsidRDefault="005A63D9" w:rsidP="0094169D">
      <w:pPr>
        <w:pStyle w:val="ListParagraph"/>
        <w:numPr>
          <w:ilvl w:val="1"/>
          <w:numId w:val="14"/>
        </w:numPr>
        <w:tabs>
          <w:tab w:val="left" w:pos="851"/>
        </w:tabs>
        <w:spacing w:afterLines="0"/>
      </w:pPr>
      <w:r w:rsidRPr="00F2207D">
        <w:t>Systémy chovu zvířat</w:t>
      </w:r>
    </w:p>
    <w:p w:rsidR="005A63D9" w:rsidRPr="00F2207D" w:rsidRDefault="005A63D9" w:rsidP="0094169D">
      <w:pPr>
        <w:pStyle w:val="ListParagraph"/>
        <w:numPr>
          <w:ilvl w:val="1"/>
          <w:numId w:val="14"/>
        </w:numPr>
        <w:tabs>
          <w:tab w:val="left" w:pos="851"/>
        </w:tabs>
        <w:spacing w:afterLines="0"/>
      </w:pPr>
      <w:r w:rsidRPr="00F2207D">
        <w:t>Provozní management</w:t>
      </w:r>
    </w:p>
    <w:p w:rsidR="005A63D9" w:rsidRPr="00F2207D" w:rsidRDefault="005A63D9" w:rsidP="0094169D">
      <w:pPr>
        <w:pStyle w:val="ListParagraph"/>
        <w:numPr>
          <w:ilvl w:val="0"/>
          <w:numId w:val="14"/>
        </w:numPr>
        <w:tabs>
          <w:tab w:val="left" w:pos="851"/>
        </w:tabs>
        <w:spacing w:afterLines="0"/>
      </w:pPr>
      <w:r w:rsidRPr="00F2207D">
        <w:t>Kvalita a zdravotní hodnoty potravin</w:t>
      </w:r>
    </w:p>
    <w:p w:rsidR="005A63D9" w:rsidRPr="00F2207D" w:rsidRDefault="005A63D9" w:rsidP="0094169D">
      <w:pPr>
        <w:pStyle w:val="ListParagraph"/>
        <w:numPr>
          <w:ilvl w:val="1"/>
          <w:numId w:val="14"/>
        </w:numPr>
        <w:tabs>
          <w:tab w:val="left" w:pos="851"/>
        </w:tabs>
        <w:spacing w:afterLines="0"/>
      </w:pPr>
      <w:r w:rsidRPr="00F2207D">
        <w:t>Řízení zabezpečení kvality</w:t>
      </w:r>
    </w:p>
    <w:p w:rsidR="005A63D9" w:rsidRPr="00F2207D" w:rsidRDefault="005A63D9" w:rsidP="0094169D">
      <w:pPr>
        <w:pStyle w:val="ListParagraph"/>
        <w:numPr>
          <w:ilvl w:val="1"/>
          <w:numId w:val="14"/>
        </w:numPr>
        <w:tabs>
          <w:tab w:val="left" w:pos="851"/>
        </w:tabs>
        <w:spacing w:afterLines="0"/>
      </w:pPr>
      <w:r w:rsidRPr="00F2207D">
        <w:t>Prokazování původu a obsahu látek v potravinách</w:t>
      </w:r>
    </w:p>
    <w:p w:rsidR="005A63D9" w:rsidRPr="00F2207D" w:rsidRDefault="005A63D9" w:rsidP="0094169D">
      <w:pPr>
        <w:pStyle w:val="ListParagraph"/>
        <w:numPr>
          <w:ilvl w:val="1"/>
          <w:numId w:val="14"/>
        </w:numPr>
        <w:tabs>
          <w:tab w:val="left" w:pos="851"/>
        </w:tabs>
        <w:spacing w:afterLines="0"/>
      </w:pPr>
      <w:r w:rsidRPr="00F2207D">
        <w:t>Řízení produktů a procesů</w:t>
      </w:r>
    </w:p>
    <w:p w:rsidR="005A63D9" w:rsidRPr="00F2207D" w:rsidRDefault="005A63D9" w:rsidP="0094169D">
      <w:pPr>
        <w:pStyle w:val="ListParagraph"/>
        <w:numPr>
          <w:ilvl w:val="0"/>
          <w:numId w:val="14"/>
        </w:numPr>
        <w:tabs>
          <w:tab w:val="left" w:pos="851"/>
        </w:tabs>
        <w:spacing w:afterLines="0"/>
      </w:pPr>
      <w:r w:rsidRPr="00F2207D">
        <w:t>Aquakultura</w:t>
      </w:r>
    </w:p>
    <w:p w:rsidR="005A63D9" w:rsidRPr="00F2207D" w:rsidRDefault="005A63D9" w:rsidP="0094169D">
      <w:pPr>
        <w:pStyle w:val="ListParagraph"/>
        <w:numPr>
          <w:ilvl w:val="1"/>
          <w:numId w:val="14"/>
        </w:numPr>
        <w:tabs>
          <w:tab w:val="left" w:pos="851"/>
        </w:tabs>
        <w:spacing w:afterLines="0"/>
      </w:pPr>
      <w:r w:rsidRPr="00F2207D">
        <w:t>Produkční metody v aquakultuře vstřícné k životnímu prostředí</w:t>
      </w:r>
    </w:p>
    <w:p w:rsidR="005A63D9" w:rsidRPr="00F2207D" w:rsidRDefault="005A63D9" w:rsidP="0094169D">
      <w:pPr>
        <w:pStyle w:val="ListParagraph"/>
        <w:numPr>
          <w:ilvl w:val="1"/>
          <w:numId w:val="14"/>
        </w:numPr>
        <w:tabs>
          <w:tab w:val="left" w:pos="851"/>
        </w:tabs>
        <w:spacing w:afterLines="0"/>
      </w:pPr>
      <w:r w:rsidRPr="00F2207D">
        <w:t>Rybářství</w:t>
      </w:r>
    </w:p>
    <w:p w:rsidR="005A63D9" w:rsidRPr="00F2207D" w:rsidRDefault="005A63D9" w:rsidP="0094169D">
      <w:pPr>
        <w:pStyle w:val="ListParagraph"/>
        <w:numPr>
          <w:ilvl w:val="0"/>
          <w:numId w:val="14"/>
        </w:numPr>
        <w:tabs>
          <w:tab w:val="left" w:pos="851"/>
        </w:tabs>
        <w:spacing w:afterLines="0"/>
      </w:pPr>
      <w:r w:rsidRPr="00F2207D">
        <w:t>Potenciály ohrožení a jejich zmírňování</w:t>
      </w:r>
    </w:p>
    <w:p w:rsidR="005A63D9" w:rsidRPr="00F2207D" w:rsidRDefault="005A63D9" w:rsidP="0094169D">
      <w:pPr>
        <w:pStyle w:val="ListParagraph"/>
        <w:numPr>
          <w:ilvl w:val="1"/>
          <w:numId w:val="14"/>
        </w:numPr>
        <w:tabs>
          <w:tab w:val="left" w:pos="851"/>
        </w:tabs>
        <w:spacing w:afterLines="0"/>
      </w:pPr>
      <w:r w:rsidRPr="00F2207D">
        <w:t>Výzkum rizik v souvislosti s geneticky změněnými organismy</w:t>
      </w:r>
    </w:p>
    <w:p w:rsidR="005A63D9" w:rsidRPr="00F2207D" w:rsidRDefault="005A63D9" w:rsidP="0094169D">
      <w:pPr>
        <w:pStyle w:val="ListParagraph"/>
        <w:numPr>
          <w:ilvl w:val="1"/>
          <w:numId w:val="14"/>
        </w:numPr>
        <w:tabs>
          <w:tab w:val="left" w:pos="851"/>
        </w:tabs>
        <w:spacing w:afterLines="0"/>
      </w:pPr>
      <w:r w:rsidRPr="00F2207D">
        <w:t>Životní prostředí a zdraví</w:t>
      </w:r>
    </w:p>
    <w:p w:rsidR="005A63D9" w:rsidRDefault="005A63D9">
      <w:pPr>
        <w:spacing w:afterLines="0" w:line="259" w:lineRule="auto"/>
        <w:contextualSpacing w:val="0"/>
      </w:pPr>
      <w:r>
        <w:br w:type="page"/>
      </w:r>
    </w:p>
    <w:p w:rsidR="005A63D9" w:rsidRPr="0094169D" w:rsidRDefault="005A63D9" w:rsidP="0094169D">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35" w:name="_Toc440897465"/>
      <w:bookmarkStart w:id="236" w:name="_Toc441760867"/>
      <w:bookmarkStart w:id="237" w:name="_Toc441849530"/>
      <w:r>
        <w:rPr>
          <w:rFonts w:cs="Arial"/>
          <w:bCs/>
          <w:iCs/>
          <w:color w:val="000000"/>
          <w:shd w:val="clear" w:color="auto" w:fill="FFFFFF"/>
          <w:lang/>
        </w:rPr>
        <w:t xml:space="preserve">7.3. </w:t>
      </w:r>
      <w:r w:rsidRPr="0094169D">
        <w:rPr>
          <w:rFonts w:cs="Arial"/>
          <w:bCs/>
          <w:iCs/>
          <w:color w:val="000000"/>
          <w:shd w:val="clear" w:color="auto" w:fill="FFFFFF"/>
          <w:lang/>
        </w:rPr>
        <w:t>Dodatek 3 (Švýcarsko)</w:t>
      </w:r>
      <w:bookmarkEnd w:id="235"/>
      <w:bookmarkEnd w:id="236"/>
      <w:bookmarkEnd w:id="237"/>
    </w:p>
    <w:p w:rsidR="005A63D9" w:rsidRPr="0094169D" w:rsidRDefault="005A63D9" w:rsidP="0094169D">
      <w:pPr>
        <w:pStyle w:val="Heading3"/>
        <w:keepNext/>
        <w:keepLines/>
        <w:spacing w:before="240" w:afterLines="0" w:line="240" w:lineRule="auto"/>
        <w:contextualSpacing w:val="0"/>
        <w:rPr>
          <w:bCs/>
          <w:shd w:val="clear" w:color="auto" w:fill="FFFFFF"/>
          <w:lang/>
        </w:rPr>
      </w:pPr>
      <w:bookmarkStart w:id="238" w:name="_Toc440897466"/>
      <w:bookmarkStart w:id="239" w:name="_Toc441760868"/>
      <w:bookmarkStart w:id="240" w:name="_Toc441849531"/>
      <w:r w:rsidRPr="0094169D">
        <w:rPr>
          <w:bCs/>
          <w:shd w:val="clear" w:color="auto" w:fill="FFFFFF"/>
          <w:lang/>
        </w:rPr>
        <w:t>Priority a výzkumné oblasti Spolkového úřadu pro životní prostředí (BAFU) pro období 2013–2016</w:t>
      </w:r>
      <w:bookmarkEnd w:id="238"/>
      <w:bookmarkEnd w:id="239"/>
      <w:bookmarkEnd w:id="240"/>
    </w:p>
    <w:p w:rsidR="005A63D9" w:rsidRDefault="005A63D9" w:rsidP="00C77C67">
      <w:pPr>
        <w:spacing w:after="144"/>
        <w:rPr>
          <w:b/>
          <w:color w:val="000000"/>
          <w:sz w:val="26"/>
          <w:szCs w:val="26"/>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257"/>
        <w:gridCol w:w="5030"/>
      </w:tblGrid>
      <w:tr w:rsidR="005A63D9" w:rsidRPr="00E27ED8" w:rsidTr="00E27ED8">
        <w:trPr>
          <w:trHeight w:val="283"/>
          <w:jc w:val="center"/>
        </w:trPr>
        <w:tc>
          <w:tcPr>
            <w:tcW w:w="2292" w:type="pct"/>
            <w:tcBorders>
              <w:top w:val="single" w:sz="12" w:space="0" w:color="auto"/>
              <w:right w:val="single" w:sz="12" w:space="0" w:color="auto"/>
            </w:tcBorders>
            <w:shd w:val="clear" w:color="auto" w:fill="BFBFBF"/>
            <w:vAlign w:val="center"/>
          </w:tcPr>
          <w:p w:rsidR="005A63D9" w:rsidRPr="00E27ED8" w:rsidRDefault="005A63D9" w:rsidP="00E27ED8">
            <w:pPr>
              <w:spacing w:after="144"/>
              <w:jc w:val="center"/>
              <w:rPr>
                <w:b/>
                <w:color w:val="000000"/>
                <w:sz w:val="20"/>
                <w:szCs w:val="20"/>
              </w:rPr>
            </w:pPr>
            <w:r w:rsidRPr="00E27ED8">
              <w:rPr>
                <w:b/>
                <w:color w:val="000000"/>
                <w:sz w:val="20"/>
                <w:szCs w:val="20"/>
              </w:rPr>
              <w:t>Priority</w:t>
            </w:r>
          </w:p>
        </w:tc>
        <w:tc>
          <w:tcPr>
            <w:tcW w:w="2708" w:type="pct"/>
            <w:tcBorders>
              <w:top w:val="single" w:sz="12" w:space="0" w:color="auto"/>
              <w:left w:val="single" w:sz="12" w:space="0" w:color="auto"/>
            </w:tcBorders>
            <w:shd w:val="clear" w:color="auto" w:fill="BFBFBF"/>
            <w:vAlign w:val="center"/>
          </w:tcPr>
          <w:p w:rsidR="005A63D9" w:rsidRPr="00E27ED8" w:rsidRDefault="005A63D9" w:rsidP="00E27ED8">
            <w:pPr>
              <w:spacing w:after="144"/>
              <w:jc w:val="center"/>
              <w:rPr>
                <w:b/>
                <w:color w:val="000000"/>
                <w:sz w:val="20"/>
                <w:szCs w:val="20"/>
              </w:rPr>
            </w:pPr>
            <w:r w:rsidRPr="00E27ED8">
              <w:rPr>
                <w:b/>
                <w:color w:val="000000"/>
                <w:sz w:val="20"/>
                <w:szCs w:val="20"/>
              </w:rPr>
              <w:t>Výzkumné oblasti</w:t>
            </w:r>
          </w:p>
        </w:tc>
      </w:tr>
      <w:tr w:rsidR="005A63D9" w:rsidRPr="00E27ED8" w:rsidTr="00E27ED8">
        <w:trPr>
          <w:jc w:val="center"/>
        </w:trPr>
        <w:tc>
          <w:tcPr>
            <w:tcW w:w="2292" w:type="pct"/>
            <w:tcBorders>
              <w:right w:val="single" w:sz="12" w:space="0" w:color="auto"/>
            </w:tcBorders>
            <w:vAlign w:val="center"/>
          </w:tcPr>
          <w:p w:rsidR="005A63D9" w:rsidRPr="00E27ED8" w:rsidRDefault="005A63D9" w:rsidP="00E27ED8">
            <w:pPr>
              <w:spacing w:after="144"/>
              <w:jc w:val="center"/>
              <w:rPr>
                <w:b/>
                <w:color w:val="000000"/>
                <w:sz w:val="18"/>
                <w:szCs w:val="18"/>
              </w:rPr>
            </w:pPr>
            <w:r w:rsidRPr="00E27ED8">
              <w:rPr>
                <w:b/>
                <w:color w:val="000000"/>
                <w:sz w:val="18"/>
                <w:szCs w:val="18"/>
              </w:rPr>
              <w:t>(I) Aktivity pro zachování a utváření intaktního životního prostředí</w:t>
            </w:r>
          </w:p>
        </w:tc>
        <w:tc>
          <w:tcPr>
            <w:tcW w:w="2708" w:type="pct"/>
            <w:tcBorders>
              <w:left w:val="single" w:sz="12" w:space="0" w:color="auto"/>
            </w:tcBorders>
            <w:vAlign w:val="center"/>
          </w:tcPr>
          <w:p w:rsidR="005A63D9" w:rsidRPr="00E27ED8" w:rsidRDefault="005A63D9" w:rsidP="00E27ED8">
            <w:pPr>
              <w:pStyle w:val="ListParagraph"/>
              <w:numPr>
                <w:ilvl w:val="0"/>
                <w:numId w:val="23"/>
              </w:numPr>
              <w:spacing w:afterLines="0" w:line="240" w:lineRule="auto"/>
              <w:ind w:left="284" w:hanging="284"/>
              <w:contextualSpacing w:val="0"/>
              <w:jc w:val="center"/>
              <w:rPr>
                <w:color w:val="000000"/>
                <w:sz w:val="18"/>
                <w:szCs w:val="18"/>
              </w:rPr>
            </w:pPr>
            <w:r w:rsidRPr="00E27ED8">
              <w:rPr>
                <w:color w:val="000000"/>
                <w:sz w:val="18"/>
                <w:szCs w:val="18"/>
              </w:rPr>
              <w:t>Legislativa životního prostředí</w:t>
            </w:r>
          </w:p>
          <w:p w:rsidR="005A63D9" w:rsidRPr="00E27ED8" w:rsidRDefault="005A63D9" w:rsidP="00E27ED8">
            <w:pPr>
              <w:pStyle w:val="ListParagraph"/>
              <w:numPr>
                <w:ilvl w:val="0"/>
                <w:numId w:val="23"/>
              </w:numPr>
              <w:spacing w:afterLines="0" w:line="240" w:lineRule="auto"/>
              <w:ind w:left="284" w:hanging="284"/>
              <w:contextualSpacing w:val="0"/>
              <w:jc w:val="center"/>
              <w:rPr>
                <w:color w:val="000000"/>
                <w:sz w:val="18"/>
                <w:szCs w:val="18"/>
              </w:rPr>
            </w:pPr>
            <w:r w:rsidRPr="00E27ED8">
              <w:rPr>
                <w:color w:val="000000"/>
                <w:sz w:val="18"/>
                <w:szCs w:val="18"/>
              </w:rPr>
              <w:t>Zelená ekonomika</w:t>
            </w:r>
          </w:p>
          <w:p w:rsidR="005A63D9" w:rsidRPr="00E27ED8" w:rsidRDefault="005A63D9" w:rsidP="00E27ED8">
            <w:pPr>
              <w:pStyle w:val="ListParagraph"/>
              <w:numPr>
                <w:ilvl w:val="0"/>
                <w:numId w:val="23"/>
              </w:numPr>
              <w:spacing w:afterLines="0" w:line="240" w:lineRule="auto"/>
              <w:ind w:left="284" w:hanging="284"/>
              <w:contextualSpacing w:val="0"/>
              <w:jc w:val="center"/>
              <w:rPr>
                <w:color w:val="000000"/>
                <w:sz w:val="18"/>
                <w:szCs w:val="18"/>
              </w:rPr>
            </w:pPr>
            <w:r w:rsidRPr="00E27ED8">
              <w:rPr>
                <w:color w:val="000000"/>
                <w:sz w:val="18"/>
                <w:szCs w:val="18"/>
              </w:rPr>
              <w:t>Technologie pro životní prostředí</w:t>
            </w:r>
          </w:p>
          <w:p w:rsidR="005A63D9" w:rsidRPr="00E27ED8" w:rsidRDefault="005A63D9" w:rsidP="00E27ED8">
            <w:pPr>
              <w:pStyle w:val="ListParagraph"/>
              <w:numPr>
                <w:ilvl w:val="0"/>
                <w:numId w:val="23"/>
              </w:numPr>
              <w:spacing w:afterLines="0" w:line="240" w:lineRule="auto"/>
              <w:ind w:left="284" w:hanging="284"/>
              <w:contextualSpacing w:val="0"/>
              <w:jc w:val="center"/>
              <w:rPr>
                <w:color w:val="000000"/>
                <w:sz w:val="18"/>
                <w:szCs w:val="18"/>
              </w:rPr>
            </w:pPr>
            <w:r w:rsidRPr="00E27ED8">
              <w:rPr>
                <w:color w:val="000000"/>
                <w:sz w:val="18"/>
                <w:szCs w:val="18"/>
              </w:rPr>
              <w:t>Sledování stavu životního prostředí</w:t>
            </w:r>
          </w:p>
          <w:p w:rsidR="005A63D9" w:rsidRPr="00E27ED8" w:rsidRDefault="005A63D9" w:rsidP="00E27ED8">
            <w:pPr>
              <w:pStyle w:val="ListParagraph"/>
              <w:numPr>
                <w:ilvl w:val="0"/>
                <w:numId w:val="23"/>
              </w:numPr>
              <w:spacing w:afterLines="0" w:line="240" w:lineRule="auto"/>
              <w:ind w:left="284" w:hanging="284"/>
              <w:contextualSpacing w:val="0"/>
              <w:jc w:val="center"/>
              <w:rPr>
                <w:color w:val="000000"/>
                <w:sz w:val="18"/>
                <w:szCs w:val="18"/>
              </w:rPr>
            </w:pPr>
            <w:r w:rsidRPr="00E27ED8">
              <w:rPr>
                <w:color w:val="000000"/>
                <w:sz w:val="18"/>
                <w:szCs w:val="18"/>
              </w:rPr>
              <w:t>Vzdělávání pro životní prostředí</w:t>
            </w:r>
          </w:p>
        </w:tc>
      </w:tr>
      <w:tr w:rsidR="005A63D9" w:rsidRPr="00E27ED8" w:rsidTr="00E27ED8">
        <w:trPr>
          <w:jc w:val="center"/>
        </w:trPr>
        <w:tc>
          <w:tcPr>
            <w:tcW w:w="2292" w:type="pct"/>
            <w:tcBorders>
              <w:right w:val="single" w:sz="12" w:space="0" w:color="auto"/>
            </w:tcBorders>
            <w:vAlign w:val="center"/>
          </w:tcPr>
          <w:p w:rsidR="005A63D9" w:rsidRPr="00E27ED8" w:rsidRDefault="005A63D9" w:rsidP="00E27ED8">
            <w:pPr>
              <w:spacing w:after="144"/>
              <w:jc w:val="center"/>
              <w:rPr>
                <w:b/>
                <w:color w:val="000000"/>
                <w:sz w:val="18"/>
                <w:szCs w:val="18"/>
              </w:rPr>
            </w:pPr>
            <w:r w:rsidRPr="00E27ED8">
              <w:rPr>
                <w:b/>
                <w:color w:val="000000"/>
                <w:sz w:val="18"/>
                <w:szCs w:val="18"/>
              </w:rPr>
              <w:t>(II) Ochrana před škodlivinami a zatíženími</w:t>
            </w:r>
          </w:p>
        </w:tc>
        <w:tc>
          <w:tcPr>
            <w:tcW w:w="2708" w:type="pct"/>
            <w:tcBorders>
              <w:left w:val="single" w:sz="12" w:space="0" w:color="auto"/>
            </w:tcBorders>
            <w:vAlign w:val="center"/>
          </w:tcPr>
          <w:p w:rsidR="005A63D9" w:rsidRPr="00E27ED8" w:rsidRDefault="005A63D9" w:rsidP="00E27ED8">
            <w:pPr>
              <w:pStyle w:val="ListParagraph"/>
              <w:numPr>
                <w:ilvl w:val="0"/>
                <w:numId w:val="28"/>
              </w:numPr>
              <w:spacing w:afterLines="0" w:line="240" w:lineRule="auto"/>
              <w:ind w:left="284" w:hanging="284"/>
              <w:contextualSpacing w:val="0"/>
              <w:jc w:val="center"/>
              <w:rPr>
                <w:color w:val="000000"/>
                <w:sz w:val="18"/>
                <w:szCs w:val="18"/>
              </w:rPr>
            </w:pPr>
            <w:r w:rsidRPr="00E27ED8">
              <w:rPr>
                <w:color w:val="000000"/>
                <w:sz w:val="18"/>
                <w:szCs w:val="18"/>
              </w:rPr>
              <w:t>Bio-bezpečnost</w:t>
            </w:r>
          </w:p>
          <w:p w:rsidR="005A63D9" w:rsidRPr="00E27ED8" w:rsidRDefault="005A63D9" w:rsidP="00E27ED8">
            <w:pPr>
              <w:pStyle w:val="ListParagraph"/>
              <w:numPr>
                <w:ilvl w:val="0"/>
                <w:numId w:val="28"/>
              </w:numPr>
              <w:spacing w:afterLines="0" w:line="240" w:lineRule="auto"/>
              <w:ind w:left="284" w:hanging="284"/>
              <w:contextualSpacing w:val="0"/>
              <w:jc w:val="center"/>
              <w:rPr>
                <w:color w:val="000000"/>
                <w:sz w:val="18"/>
                <w:szCs w:val="18"/>
              </w:rPr>
            </w:pPr>
            <w:r w:rsidRPr="00E27ED8">
              <w:rPr>
                <w:color w:val="000000"/>
                <w:sz w:val="18"/>
                <w:szCs w:val="18"/>
              </w:rPr>
              <w:t>Chemická bezpečnost</w:t>
            </w:r>
          </w:p>
          <w:p w:rsidR="005A63D9" w:rsidRPr="00E27ED8" w:rsidRDefault="005A63D9" w:rsidP="00E27ED8">
            <w:pPr>
              <w:pStyle w:val="ListParagraph"/>
              <w:numPr>
                <w:ilvl w:val="0"/>
                <w:numId w:val="28"/>
              </w:numPr>
              <w:spacing w:afterLines="0" w:line="240" w:lineRule="auto"/>
              <w:ind w:left="284" w:hanging="284"/>
              <w:contextualSpacing w:val="0"/>
              <w:jc w:val="center"/>
              <w:rPr>
                <w:color w:val="000000"/>
                <w:sz w:val="18"/>
                <w:szCs w:val="18"/>
              </w:rPr>
            </w:pPr>
            <w:r w:rsidRPr="00E27ED8">
              <w:rPr>
                <w:color w:val="000000"/>
                <w:sz w:val="18"/>
                <w:szCs w:val="18"/>
              </w:rPr>
              <w:t>Ochrana před neionizujícím zářením</w:t>
            </w:r>
          </w:p>
          <w:p w:rsidR="005A63D9" w:rsidRPr="00E27ED8" w:rsidRDefault="005A63D9" w:rsidP="00E27ED8">
            <w:pPr>
              <w:pStyle w:val="ListParagraph"/>
              <w:numPr>
                <w:ilvl w:val="0"/>
                <w:numId w:val="28"/>
              </w:numPr>
              <w:spacing w:afterLines="0" w:line="240" w:lineRule="auto"/>
              <w:ind w:left="284" w:hanging="284"/>
              <w:contextualSpacing w:val="0"/>
              <w:jc w:val="center"/>
              <w:rPr>
                <w:color w:val="000000"/>
                <w:sz w:val="18"/>
                <w:szCs w:val="18"/>
              </w:rPr>
            </w:pPr>
            <w:r w:rsidRPr="00E27ED8">
              <w:rPr>
                <w:color w:val="000000"/>
                <w:sz w:val="18"/>
                <w:szCs w:val="18"/>
              </w:rPr>
              <w:t>Omezování hluku</w:t>
            </w:r>
          </w:p>
        </w:tc>
      </w:tr>
      <w:tr w:rsidR="005A63D9" w:rsidRPr="00E27ED8" w:rsidTr="00E27ED8">
        <w:trPr>
          <w:jc w:val="center"/>
        </w:trPr>
        <w:tc>
          <w:tcPr>
            <w:tcW w:w="2292" w:type="pct"/>
            <w:tcBorders>
              <w:right w:val="single" w:sz="12" w:space="0" w:color="auto"/>
            </w:tcBorders>
            <w:vAlign w:val="center"/>
          </w:tcPr>
          <w:p w:rsidR="005A63D9" w:rsidRPr="00E27ED8" w:rsidRDefault="005A63D9" w:rsidP="00E27ED8">
            <w:pPr>
              <w:spacing w:after="144"/>
              <w:jc w:val="center"/>
              <w:rPr>
                <w:b/>
                <w:color w:val="000000"/>
                <w:sz w:val="18"/>
                <w:szCs w:val="18"/>
              </w:rPr>
            </w:pPr>
            <w:r w:rsidRPr="00E27ED8">
              <w:rPr>
                <w:b/>
                <w:color w:val="000000"/>
                <w:sz w:val="18"/>
                <w:szCs w:val="18"/>
              </w:rPr>
              <w:t>(III) Udržitelné využívání zdrojů</w:t>
            </w:r>
          </w:p>
        </w:tc>
        <w:tc>
          <w:tcPr>
            <w:tcW w:w="2708" w:type="pct"/>
            <w:tcBorders>
              <w:left w:val="single" w:sz="12" w:space="0" w:color="auto"/>
            </w:tcBorders>
            <w:vAlign w:val="center"/>
          </w:tcPr>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Půda</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Voda</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Vzduch</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Biodiverzita</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Krajina</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Lesy a dřevo</w:t>
            </w:r>
          </w:p>
          <w:p w:rsidR="005A63D9" w:rsidRPr="00E27ED8" w:rsidRDefault="005A63D9" w:rsidP="00E27ED8">
            <w:pPr>
              <w:pStyle w:val="ListParagraph"/>
              <w:numPr>
                <w:ilvl w:val="0"/>
                <w:numId w:val="29"/>
              </w:numPr>
              <w:spacing w:afterLines="0" w:line="240" w:lineRule="auto"/>
              <w:ind w:left="284" w:hanging="284"/>
              <w:contextualSpacing w:val="0"/>
              <w:jc w:val="center"/>
              <w:rPr>
                <w:color w:val="000000"/>
                <w:sz w:val="18"/>
                <w:szCs w:val="18"/>
              </w:rPr>
            </w:pPr>
            <w:r w:rsidRPr="00E27ED8">
              <w:rPr>
                <w:color w:val="000000"/>
                <w:sz w:val="18"/>
                <w:szCs w:val="18"/>
              </w:rPr>
              <w:t>Management odpadů</w:t>
            </w:r>
          </w:p>
        </w:tc>
      </w:tr>
      <w:tr w:rsidR="005A63D9" w:rsidRPr="00E27ED8" w:rsidTr="00E27ED8">
        <w:trPr>
          <w:jc w:val="center"/>
        </w:trPr>
        <w:tc>
          <w:tcPr>
            <w:tcW w:w="2292" w:type="pct"/>
            <w:tcBorders>
              <w:right w:val="single" w:sz="12" w:space="0" w:color="auto"/>
            </w:tcBorders>
            <w:vAlign w:val="center"/>
          </w:tcPr>
          <w:p w:rsidR="005A63D9" w:rsidRPr="00E27ED8" w:rsidRDefault="005A63D9" w:rsidP="00E27ED8">
            <w:pPr>
              <w:spacing w:after="144"/>
              <w:jc w:val="center"/>
              <w:rPr>
                <w:b/>
                <w:color w:val="000000"/>
                <w:sz w:val="18"/>
                <w:szCs w:val="18"/>
              </w:rPr>
            </w:pPr>
            <w:r w:rsidRPr="00E27ED8">
              <w:rPr>
                <w:b/>
                <w:color w:val="000000"/>
                <w:sz w:val="18"/>
                <w:szCs w:val="18"/>
              </w:rPr>
              <w:t>(IV) Zmírnění a zvládání klimatických změn</w:t>
            </w:r>
          </w:p>
        </w:tc>
        <w:tc>
          <w:tcPr>
            <w:tcW w:w="2708" w:type="pct"/>
            <w:tcBorders>
              <w:left w:val="single" w:sz="12" w:space="0" w:color="auto"/>
            </w:tcBorders>
            <w:vAlign w:val="center"/>
          </w:tcPr>
          <w:p w:rsidR="005A63D9" w:rsidRPr="00E27ED8" w:rsidRDefault="005A63D9" w:rsidP="00E27ED8">
            <w:pPr>
              <w:pStyle w:val="ListParagraph"/>
              <w:numPr>
                <w:ilvl w:val="0"/>
                <w:numId w:val="30"/>
              </w:numPr>
              <w:spacing w:afterLines="0" w:line="240" w:lineRule="auto"/>
              <w:ind w:left="284" w:hanging="283"/>
              <w:jc w:val="center"/>
              <w:rPr>
                <w:color w:val="000000"/>
                <w:sz w:val="18"/>
                <w:szCs w:val="18"/>
              </w:rPr>
            </w:pPr>
            <w:r w:rsidRPr="00E27ED8">
              <w:rPr>
                <w:color w:val="000000"/>
                <w:sz w:val="18"/>
                <w:szCs w:val="18"/>
              </w:rPr>
              <w:t>Zmírnění a zvládání klimatických změn</w:t>
            </w:r>
          </w:p>
        </w:tc>
      </w:tr>
      <w:tr w:rsidR="005A63D9" w:rsidRPr="00E27ED8" w:rsidTr="00E27ED8">
        <w:trPr>
          <w:jc w:val="center"/>
        </w:trPr>
        <w:tc>
          <w:tcPr>
            <w:tcW w:w="2292" w:type="pct"/>
            <w:tcBorders>
              <w:bottom w:val="single" w:sz="12" w:space="0" w:color="auto"/>
              <w:right w:val="single" w:sz="12" w:space="0" w:color="auto"/>
            </w:tcBorders>
            <w:vAlign w:val="center"/>
          </w:tcPr>
          <w:p w:rsidR="005A63D9" w:rsidRPr="00E27ED8" w:rsidRDefault="005A63D9" w:rsidP="00E27ED8">
            <w:pPr>
              <w:spacing w:after="144"/>
              <w:jc w:val="center"/>
              <w:rPr>
                <w:b/>
                <w:color w:val="000000"/>
                <w:sz w:val="18"/>
                <w:szCs w:val="18"/>
              </w:rPr>
            </w:pPr>
            <w:r w:rsidRPr="00E27ED8">
              <w:rPr>
                <w:b/>
                <w:color w:val="000000"/>
                <w:sz w:val="18"/>
                <w:szCs w:val="18"/>
              </w:rPr>
              <w:t>(V) Integrovaný management rizik</w:t>
            </w:r>
          </w:p>
        </w:tc>
        <w:tc>
          <w:tcPr>
            <w:tcW w:w="2708" w:type="pct"/>
            <w:tcBorders>
              <w:left w:val="single" w:sz="12" w:space="0" w:color="auto"/>
              <w:bottom w:val="single" w:sz="12" w:space="0" w:color="auto"/>
            </w:tcBorders>
            <w:vAlign w:val="center"/>
          </w:tcPr>
          <w:p w:rsidR="005A63D9" w:rsidRPr="00E27ED8" w:rsidRDefault="005A63D9" w:rsidP="00E27ED8">
            <w:pPr>
              <w:pStyle w:val="ListParagraph"/>
              <w:numPr>
                <w:ilvl w:val="0"/>
                <w:numId w:val="30"/>
              </w:numPr>
              <w:spacing w:afterLines="0" w:line="240" w:lineRule="auto"/>
              <w:ind w:left="284" w:hanging="283"/>
              <w:jc w:val="center"/>
              <w:rPr>
                <w:color w:val="000000"/>
                <w:sz w:val="18"/>
                <w:szCs w:val="18"/>
              </w:rPr>
            </w:pPr>
            <w:r w:rsidRPr="00E27ED8">
              <w:rPr>
                <w:color w:val="000000"/>
                <w:sz w:val="18"/>
                <w:szCs w:val="18"/>
              </w:rPr>
              <w:t>Zvládání přírodních nebezpečí a technických rizik</w:t>
            </w:r>
          </w:p>
        </w:tc>
      </w:tr>
    </w:tbl>
    <w:p w:rsidR="005A63D9" w:rsidRPr="00E82A2A" w:rsidRDefault="005A63D9" w:rsidP="00E82A2A">
      <w:pPr>
        <w:pStyle w:val="ZDROJovan"/>
        <w:spacing w:after="144" w:line="288" w:lineRule="auto"/>
        <w:jc w:val="both"/>
      </w:pPr>
      <w:r w:rsidRPr="00E82A2A">
        <w:t>Zdroj: Forschungskonzept Umwelt für di Jahre 2013–2016, BAFU 2012</w:t>
      </w:r>
    </w:p>
    <w:p w:rsidR="005A63D9" w:rsidRDefault="005A63D9" w:rsidP="00C77C67">
      <w:pPr>
        <w:spacing w:after="144"/>
        <w:rPr>
          <w:i/>
          <w:sz w:val="18"/>
        </w:rPr>
      </w:pPr>
    </w:p>
    <w:p w:rsidR="005A63D9" w:rsidRDefault="005A63D9">
      <w:pPr>
        <w:spacing w:afterLines="0" w:line="259" w:lineRule="auto"/>
        <w:contextualSpacing w:val="0"/>
        <w:rPr>
          <w:i/>
          <w:sz w:val="18"/>
        </w:rPr>
      </w:pPr>
      <w:r>
        <w:rPr>
          <w:i/>
          <w:sz w:val="18"/>
        </w:rPr>
        <w:br w:type="page"/>
      </w:r>
    </w:p>
    <w:p w:rsidR="005A63D9" w:rsidRPr="0094169D" w:rsidRDefault="005A63D9" w:rsidP="0094169D">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41" w:name="_Toc440897467"/>
      <w:bookmarkStart w:id="242" w:name="_Toc441760869"/>
      <w:bookmarkStart w:id="243" w:name="_Toc441849532"/>
      <w:r>
        <w:rPr>
          <w:rFonts w:cs="Arial"/>
          <w:bCs/>
          <w:iCs/>
          <w:color w:val="000000"/>
          <w:shd w:val="clear" w:color="auto" w:fill="FFFFFF"/>
          <w:lang/>
        </w:rPr>
        <w:t xml:space="preserve">7.4. </w:t>
      </w:r>
      <w:r w:rsidRPr="0094169D">
        <w:rPr>
          <w:rFonts w:cs="Arial"/>
          <w:bCs/>
          <w:iCs/>
          <w:color w:val="000000"/>
          <w:shd w:val="clear" w:color="auto" w:fill="FFFFFF"/>
          <w:lang/>
        </w:rPr>
        <w:t>Dodatek 4 (Velká Británie)</w:t>
      </w:r>
      <w:bookmarkEnd w:id="241"/>
      <w:bookmarkEnd w:id="242"/>
      <w:bookmarkEnd w:id="243"/>
    </w:p>
    <w:p w:rsidR="005A63D9" w:rsidRPr="0094169D" w:rsidRDefault="005A63D9" w:rsidP="0094169D">
      <w:pPr>
        <w:pStyle w:val="Heading3"/>
        <w:keepNext/>
        <w:keepLines/>
        <w:spacing w:before="240" w:afterLines="0" w:line="240" w:lineRule="auto"/>
        <w:contextualSpacing w:val="0"/>
        <w:rPr>
          <w:bCs/>
          <w:shd w:val="clear" w:color="auto" w:fill="FFFFFF"/>
          <w:lang/>
        </w:rPr>
      </w:pPr>
      <w:bookmarkStart w:id="244" w:name="_Toc440897468"/>
      <w:bookmarkStart w:id="245" w:name="_Toc441760870"/>
      <w:bookmarkStart w:id="246" w:name="_Toc441849533"/>
      <w:r w:rsidRPr="0094169D">
        <w:rPr>
          <w:bCs/>
          <w:shd w:val="clear" w:color="auto" w:fill="FFFFFF"/>
          <w:lang/>
        </w:rPr>
        <w:t>Přehled politik, které zabezpečuje nebo se na zabezpečení podílí Ministerstvo pro životní prostředí, potraviny a záležitosti venkova</w:t>
      </w:r>
      <w:bookmarkEnd w:id="244"/>
      <w:bookmarkEnd w:id="245"/>
      <w:bookmarkEnd w:id="246"/>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Přístup k venkovu</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Zdraví zvířat a rostlin</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Spokojenost (welfare) zvířat</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Biodiverzita a ekosystémy</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Tuberkulosa skotu</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Podnikání a životní prostředí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Přístup ke klimatickým změnám</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Reforma zemědělské politiky Spojeného království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Ekonomický růst a prostor venkova</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Snížení spotřeby energie v průmyslu, podnikání as veřejném sektoru (gestorem je Ministerstvo pro energetiku a klimatické změny, DEFRA spolupracuje)</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Kvalita životního prostředí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Evropské fondy (gestorem je Ministerstvo pro podnikání inovace a znalosti, DEFRA spolupracuje)</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Regulace (právní předpisy aj</w:t>
      </w:r>
      <w:r>
        <w:rPr>
          <w:color w:val="000000"/>
          <w:shd w:val="clear" w:color="auto" w:fill="FFFFFF"/>
          <w:lang w:eastAsia="cs-CZ"/>
        </w:rPr>
        <w:t>.</w:t>
      </w:r>
      <w:r w:rsidRPr="00062D2F">
        <w:rPr>
          <w:color w:val="000000"/>
          <w:shd w:val="clear" w:color="auto" w:fill="FFFFFF"/>
          <w:lang w:eastAsia="cs-CZ"/>
        </w:rPr>
        <w:t>) zemědělství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Záplavy a pobřežní změny</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Potraviny a zemědělství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Lesnictví a dřevařství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Sladkovodní rybářství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Emise skleníkových plynů (gestorem je Ministerstvo pro energetiku a klimatické změny, DEFRA spolupracuje)</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Životní prostředí moří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Mořské rybářství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Radioaktivní a jaderné látky a odpady (gestorem j</w:t>
      </w:r>
      <w:r>
        <w:rPr>
          <w:color w:val="000000"/>
          <w:shd w:val="clear" w:color="auto" w:fill="FFFFFF"/>
          <w:lang w:eastAsia="cs-CZ"/>
        </w:rPr>
        <w:t>e Ministerstvo pro energetiku a </w:t>
      </w:r>
      <w:r w:rsidRPr="00062D2F">
        <w:rPr>
          <w:color w:val="000000"/>
          <w:shd w:val="clear" w:color="auto" w:fill="FFFFFF"/>
          <w:lang w:eastAsia="cs-CZ"/>
        </w:rPr>
        <w:t>klimatické změny, DEFRA spolupracuje)</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Ekonomika „zahraničního“ venkova (gestorem je Ministerstvo zahraničí, DEFRA spolupracuje)</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Odpady a recyklování</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Udržitelný rozvoj</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Zámořská teritoria UK</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Voda a kanalizační služby</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Vodárenský průmysl</w:t>
      </w:r>
    </w:p>
    <w:p w:rsidR="005A63D9" w:rsidRPr="00062D2F" w:rsidRDefault="005A63D9" w:rsidP="00062D2F">
      <w:pPr>
        <w:pStyle w:val="ListParagraph"/>
        <w:widowControl w:val="0"/>
        <w:numPr>
          <w:ilvl w:val="0"/>
          <w:numId w:val="87"/>
        </w:numPr>
        <w:adjustRightInd w:val="0"/>
        <w:spacing w:afterLines="0"/>
        <w:ind w:left="851" w:hanging="284"/>
        <w:contextualSpacing w:val="0"/>
        <w:jc w:val="both"/>
        <w:textAlignment w:val="baseline"/>
        <w:rPr>
          <w:color w:val="000000"/>
          <w:shd w:val="clear" w:color="auto" w:fill="FFFFFF"/>
          <w:lang w:eastAsia="cs-CZ"/>
        </w:rPr>
      </w:pPr>
      <w:r w:rsidRPr="00062D2F">
        <w:rPr>
          <w:color w:val="000000"/>
          <w:shd w:val="clear" w:color="auto" w:fill="FFFFFF"/>
          <w:lang w:eastAsia="cs-CZ"/>
        </w:rPr>
        <w:t>Kvalita vody</w:t>
      </w:r>
    </w:p>
    <w:p w:rsidR="005A63D9" w:rsidRDefault="005A63D9">
      <w:pPr>
        <w:spacing w:afterLines="0" w:line="259" w:lineRule="auto"/>
        <w:contextualSpacing w:val="0"/>
      </w:pPr>
      <w:r>
        <w:br w:type="page"/>
      </w:r>
    </w:p>
    <w:p w:rsidR="005A63D9" w:rsidRDefault="005A63D9" w:rsidP="00062D2F">
      <w:pPr>
        <w:pStyle w:val="Heading3"/>
        <w:keepNext/>
        <w:keepLines/>
        <w:spacing w:before="240" w:afterLines="0" w:line="240" w:lineRule="auto"/>
        <w:contextualSpacing w:val="0"/>
        <w:rPr>
          <w:bCs/>
          <w:shd w:val="clear" w:color="auto" w:fill="FFFFFF"/>
          <w:lang/>
        </w:rPr>
      </w:pPr>
      <w:bookmarkStart w:id="247" w:name="_Toc440897469"/>
      <w:bookmarkStart w:id="248" w:name="_Toc441760871"/>
      <w:bookmarkStart w:id="249" w:name="_Toc441849534"/>
      <w:r w:rsidRPr="00062D2F">
        <w:rPr>
          <w:bCs/>
          <w:shd w:val="clear" w:color="auto" w:fill="FFFFFF"/>
          <w:lang/>
        </w:rPr>
        <w:t>Počet ukončených a řešených výzkumných projektů v jednotlivých oborových skupinách databáze DEFRA</w:t>
      </w:r>
      <w:bookmarkEnd w:id="247"/>
      <w:bookmarkEnd w:id="248"/>
      <w:bookmarkEnd w:id="249"/>
    </w:p>
    <w:p w:rsidR="005A63D9" w:rsidRPr="00062D2F" w:rsidRDefault="005A63D9" w:rsidP="00062D2F">
      <w:pPr>
        <w:spacing w:after="144"/>
        <w:rPr>
          <w:lang w:eastAsia="cs-CZ"/>
        </w:rPr>
      </w:pPr>
    </w:p>
    <w:tbl>
      <w:tblPr>
        <w:tblW w:w="5000" w:type="pct"/>
        <w:tblCellMar>
          <w:left w:w="70" w:type="dxa"/>
          <w:right w:w="70" w:type="dxa"/>
        </w:tblCellMar>
        <w:tblLook w:val="00A0"/>
      </w:tblPr>
      <w:tblGrid>
        <w:gridCol w:w="7636"/>
        <w:gridCol w:w="1575"/>
      </w:tblGrid>
      <w:tr w:rsidR="005A63D9" w:rsidRPr="00E27ED8" w:rsidTr="00FA77AB">
        <w:trPr>
          <w:trHeight w:val="600"/>
        </w:trPr>
        <w:tc>
          <w:tcPr>
            <w:tcW w:w="5000" w:type="pct"/>
            <w:gridSpan w:val="2"/>
            <w:tcBorders>
              <w:top w:val="single" w:sz="8" w:space="0" w:color="auto"/>
              <w:left w:val="single" w:sz="8" w:space="0" w:color="auto"/>
              <w:bottom w:val="single" w:sz="8" w:space="0" w:color="auto"/>
              <w:right w:val="single" w:sz="8" w:space="0" w:color="000000"/>
            </w:tcBorders>
            <w:shd w:val="clear" w:color="000000" w:fill="A6A6A6"/>
            <w:vAlign w:val="center"/>
          </w:tcPr>
          <w:p w:rsidR="005A63D9" w:rsidRPr="00436201" w:rsidRDefault="005A63D9" w:rsidP="000B30A8">
            <w:pPr>
              <w:pStyle w:val="Heading3"/>
              <w:jc w:val="center"/>
              <w:rPr>
                <w:rFonts w:cs="Arial"/>
              </w:rPr>
            </w:pPr>
            <w:bookmarkStart w:id="250" w:name="_Toc440897470"/>
            <w:bookmarkStart w:id="251" w:name="_Toc441760872"/>
            <w:bookmarkStart w:id="252" w:name="_Toc441849535"/>
            <w:r w:rsidRPr="00436201">
              <w:rPr>
                <w:rFonts w:cs="Arial"/>
              </w:rPr>
              <w:t>Počet ukončených a řešených výzkumných projektů v jednotlivých oborových skupinách databáze DEFRA</w:t>
            </w:r>
            <w:bookmarkEnd w:id="250"/>
            <w:bookmarkEnd w:id="251"/>
            <w:bookmarkEnd w:id="252"/>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r w:rsidRPr="000B30A8">
              <w:rPr>
                <w:color w:val="000000"/>
                <w:lang w:eastAsia="cs-CZ"/>
              </w:rPr>
              <w:t>Oblast</w:t>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r w:rsidRPr="000B30A8">
              <w:rPr>
                <w:color w:val="000000"/>
                <w:lang w:eastAsia="cs-CZ"/>
              </w:rPr>
              <w:t>Počet projektů</w:t>
            </w:r>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13" w:tooltip="More details about Agriculture and Climate Change" w:history="1">
              <w:r w:rsidRPr="000B30A8">
                <w:rPr>
                  <w:color w:val="000000"/>
                  <w:lang w:eastAsia="cs-CZ"/>
                </w:rPr>
                <w:t>• Agriculture and Climate Change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14" w:tooltip="View the projects for Agriculture and Climate Change" w:history="1">
              <w:r w:rsidRPr="000B30A8">
                <w:rPr>
                  <w:color w:val="000000"/>
                  <w:lang w:eastAsia="cs-CZ"/>
                </w:rPr>
                <w:t>192</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15" w:tooltip="More details about Air Quality" w:history="1">
              <w:r w:rsidRPr="000B30A8">
                <w:rPr>
                  <w:color w:val="000000"/>
                  <w:lang w:eastAsia="cs-CZ"/>
                </w:rPr>
                <w:t>• Air Quality</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16" w:tooltip="View the projects for Air Quality" w:history="1">
              <w:r w:rsidRPr="000B30A8">
                <w:rPr>
                  <w:color w:val="000000"/>
                  <w:lang w:eastAsia="cs-CZ"/>
                </w:rPr>
                <w:t>227</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17" w:tooltip="More details about Animal Health" w:history="1">
              <w:r w:rsidRPr="000B30A8">
                <w:rPr>
                  <w:color w:val="000000"/>
                  <w:lang w:eastAsia="cs-CZ"/>
                </w:rPr>
                <w:t>• Animal Health</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18" w:tooltip="View the projects for Animal Health" w:history="1">
              <w:r w:rsidRPr="000B30A8">
                <w:rPr>
                  <w:color w:val="000000"/>
                  <w:lang w:eastAsia="cs-CZ"/>
                </w:rPr>
                <w:t>1489</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19" w:tooltip="More details about Animal Welfare" w:history="1">
              <w:r w:rsidRPr="000B30A8">
                <w:rPr>
                  <w:color w:val="000000"/>
                  <w:lang w:eastAsia="cs-CZ"/>
                </w:rPr>
                <w:t>• Animal Welfare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0" w:tooltip="View the projects for Animal Welfare" w:history="1">
              <w:r w:rsidRPr="000B30A8">
                <w:rPr>
                  <w:color w:val="000000"/>
                  <w:lang w:eastAsia="cs-CZ"/>
                </w:rPr>
                <w:t>346</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21" w:tooltip="More details about Arable Crops" w:history="1">
              <w:r w:rsidRPr="000B30A8">
                <w:rPr>
                  <w:color w:val="000000"/>
                  <w:lang w:eastAsia="cs-CZ"/>
                </w:rPr>
                <w:t>• Arable Crops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2" w:tooltip="View the projects for Arable Crops" w:history="1">
              <w:r w:rsidRPr="000B30A8">
                <w:rPr>
                  <w:color w:val="000000"/>
                  <w:lang w:eastAsia="cs-CZ"/>
                </w:rPr>
                <w:t>314</w:t>
              </w:r>
            </w:hyperlink>
          </w:p>
        </w:tc>
      </w:tr>
      <w:bookmarkStart w:id="253" w:name="RANGE!A8"/>
      <w:bookmarkEnd w:id="253"/>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"http://randd.defra.gov.uk/Default.aspx?Menu=Menu&amp;Module=Detail&amp;Completed=0&amp;FOSID=4" \o "More details about Biotechnology and GMOs" </w:instrText>
            </w:r>
            <w:r w:rsidRPr="000B30A8">
              <w:rPr>
                <w:color w:val="000000"/>
                <w:lang w:eastAsia="cs-CZ"/>
              </w:rPr>
              <w:fldChar w:fldCharType="separate"/>
            </w:r>
            <w:r w:rsidRPr="000B30A8">
              <w:rPr>
                <w:color w:val="000000"/>
                <w:lang w:eastAsia="cs-CZ"/>
              </w:rPr>
              <w:t>• Biotechnology and GMOs</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3" w:tooltip="View the projects for Biotechnology and GMOs" w:history="1">
              <w:r w:rsidRPr="000B30A8">
                <w:rPr>
                  <w:color w:val="000000"/>
                  <w:lang w:eastAsia="cs-CZ"/>
                </w:rPr>
                <w:t>98</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24" w:tooltip="More details about Chemicals and Nanotechnology" w:history="1">
              <w:r w:rsidRPr="000B30A8">
                <w:rPr>
                  <w:color w:val="000000"/>
                  <w:lang w:eastAsia="cs-CZ"/>
                </w:rPr>
                <w:t>• Chemicals and Nanotechnology</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5" w:tooltip="View the projects for Chemicals and Nanotechnology" w:history="1">
              <w:r w:rsidRPr="000B30A8">
                <w:rPr>
                  <w:color w:val="000000"/>
                  <w:lang w:eastAsia="cs-CZ"/>
                </w:rPr>
                <w:t>156</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26" w:tooltip="More details about Climate Change Adaptation" w:history="1">
              <w:r w:rsidRPr="000B30A8">
                <w:rPr>
                  <w:color w:val="000000"/>
                  <w:lang w:eastAsia="cs-CZ"/>
                </w:rPr>
                <w:t>• Climate Change Adaptation</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7" w:tooltip="View the projects for Climate Change Adaptation" w:history="1">
              <w:r w:rsidRPr="000B30A8">
                <w:rPr>
                  <w:color w:val="000000"/>
                  <w:lang w:eastAsia="cs-CZ"/>
                </w:rPr>
                <w:t>117</w:t>
              </w:r>
            </w:hyperlink>
          </w:p>
        </w:tc>
      </w:tr>
      <w:bookmarkStart w:id="254" w:name="RANGE!A11"/>
      <w:bookmarkEnd w:id="254"/>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"http://randd.defra.gov.uk/Default.aspx?Menu=Menu&amp;Module=Detail&amp;Completed=0&amp;FOSID=40" \o "More details about Delivery Transformation Programme" </w:instrText>
            </w:r>
            <w:r w:rsidRPr="000B30A8">
              <w:rPr>
                <w:color w:val="000000"/>
                <w:lang w:eastAsia="cs-CZ"/>
              </w:rPr>
              <w:fldChar w:fldCharType="separate"/>
            </w:r>
            <w:r w:rsidRPr="000B30A8">
              <w:rPr>
                <w:color w:val="000000"/>
                <w:lang w:eastAsia="cs-CZ"/>
              </w:rPr>
              <w:t>• Delivery Transformation Programme</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8" w:tooltip="View the projects for Delivery Transformation Programme" w:history="1">
              <w:r w:rsidRPr="000B30A8">
                <w:rPr>
                  <w:color w:val="000000"/>
                  <w:lang w:eastAsia="cs-CZ"/>
                </w:rPr>
                <w:t>5</w:t>
              </w:r>
            </w:hyperlink>
          </w:p>
        </w:tc>
      </w:tr>
      <w:bookmarkStart w:id="255" w:name="RANGE!A12"/>
      <w:bookmarkEnd w:id="255"/>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"http://randd.defra.gov.uk/Default.aspx?Menu=Menu&amp;Module=Detail&amp;Completed=0&amp;FOSID=38" \o "More details about Ecosystems Approach" </w:instrText>
            </w:r>
            <w:r w:rsidRPr="000B30A8">
              <w:rPr>
                <w:color w:val="000000"/>
                <w:lang w:eastAsia="cs-CZ"/>
              </w:rPr>
              <w:fldChar w:fldCharType="separate"/>
            </w:r>
            <w:r w:rsidRPr="000B30A8">
              <w:rPr>
                <w:color w:val="000000"/>
                <w:lang w:eastAsia="cs-CZ"/>
              </w:rPr>
              <w:t>• Ecosystems Approach</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29" w:tooltip="View the projects for Ecosystems Approach" w:history="1">
              <w:r w:rsidRPr="000B30A8">
                <w:rPr>
                  <w:color w:val="000000"/>
                  <w:lang w:eastAsia="cs-CZ"/>
                </w:rPr>
                <w:t>41</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30" w:tooltip="More details about Energy Efficiency" w:history="1">
              <w:r w:rsidRPr="000B30A8">
                <w:rPr>
                  <w:color w:val="000000"/>
                  <w:lang w:eastAsia="cs-CZ"/>
                </w:rPr>
                <w:t>• Energy Efficiency</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31" w:tooltip="View the projects for Energy Efficiency" w:history="1">
              <w:r w:rsidRPr="000B30A8">
                <w:rPr>
                  <w:color w:val="000000"/>
                  <w:lang w:eastAsia="cs-CZ"/>
                </w:rPr>
                <w:t>35</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32" w:tooltip="More details about Environmental Protection - Agriculture" w:history="1">
              <w:r w:rsidRPr="000B30A8">
                <w:rPr>
                  <w:color w:val="000000"/>
                  <w:lang w:eastAsia="cs-CZ"/>
                </w:rPr>
                <w:t>• Environmental Protection - Agriculture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33" w:tooltip="View the projects for Environmental Protection - Agriculture" w:history="1">
              <w:r w:rsidRPr="000B30A8">
                <w:rPr>
                  <w:color w:val="000000"/>
                  <w:lang w:eastAsia="cs-CZ"/>
                </w:rPr>
                <w:t>222</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34" w:tooltip="More details about Environmental Protection - Marine" w:history="1">
              <w:r w:rsidRPr="000B30A8">
                <w:rPr>
                  <w:color w:val="000000"/>
                  <w:lang w:eastAsia="cs-CZ"/>
                </w:rPr>
                <w:t>• Environmental Protection - Marine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35" w:tooltip="View the projects for Environmental Protection - Marine" w:history="1">
              <w:r w:rsidRPr="000B30A8">
                <w:rPr>
                  <w:color w:val="000000"/>
                  <w:lang w:eastAsia="cs-CZ"/>
                </w:rPr>
                <w:t>365</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36" w:tooltip="More details about Environmental Stewardship" w:history="1">
              <w:r w:rsidRPr="000B30A8">
                <w:rPr>
                  <w:color w:val="000000"/>
                  <w:lang w:eastAsia="cs-CZ"/>
                </w:rPr>
                <w:t>• Environmental Stewardship</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37" w:tooltip="View the projects for Environmental Stewardship" w:history="1">
              <w:r w:rsidRPr="000B30A8">
                <w:rPr>
                  <w:color w:val="000000"/>
                  <w:lang w:eastAsia="cs-CZ"/>
                </w:rPr>
                <w:t>270</w:t>
              </w:r>
            </w:hyperlink>
          </w:p>
        </w:tc>
      </w:tr>
      <w:bookmarkStart w:id="256" w:name="RANGE!A17"/>
      <w:bookmarkEnd w:id="256"/>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"http://randd.defra.gov.uk/Default.aspx?Menu=Menu&amp;Module=Detail&amp;Completed=0&amp;FOSID=30" \o "More details about Farm Woodlands" </w:instrText>
            </w:r>
            <w:r w:rsidRPr="000B30A8">
              <w:rPr>
                <w:color w:val="000000"/>
                <w:lang w:eastAsia="cs-CZ"/>
              </w:rPr>
              <w:fldChar w:fldCharType="separate"/>
            </w:r>
            <w:r w:rsidRPr="000B30A8">
              <w:rPr>
                <w:color w:val="000000"/>
                <w:lang w:eastAsia="cs-CZ"/>
              </w:rPr>
              <w:t>• Farm Woodlands</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38" w:tooltip="View the projects for Farm Woodlands" w:history="1">
              <w:r w:rsidRPr="000B30A8">
                <w:rPr>
                  <w:color w:val="000000"/>
                  <w:lang w:eastAsia="cs-CZ"/>
                </w:rPr>
                <w:t>79</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39" w:tooltip="More details about Fertilisers and Nitrate Pollution" w:history="1">
              <w:r w:rsidRPr="000B30A8">
                <w:rPr>
                  <w:color w:val="000000"/>
                  <w:lang w:eastAsia="cs-CZ"/>
                </w:rPr>
                <w:t>• Fertilisers and Nitrate Pollution</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0" w:tooltip="View the projects for Fertilisers and Nitrate Pollution" w:history="1">
              <w:r w:rsidRPr="000B30A8">
                <w:rPr>
                  <w:color w:val="000000"/>
                  <w:lang w:eastAsia="cs-CZ"/>
                </w:rPr>
                <w:t>314</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41" w:tooltip="More details about Fish Health and Aquaculture" w:history="1">
              <w:r w:rsidRPr="000B30A8">
                <w:rPr>
                  <w:color w:val="000000"/>
                  <w:lang w:eastAsia="cs-CZ"/>
                </w:rPr>
                <w:t>• Fish Health and Aquaculture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2" w:tooltip="View the projects for Fish Health and Aquaculture" w:history="1">
              <w:r w:rsidRPr="000B30A8">
                <w:rPr>
                  <w:color w:val="000000"/>
                  <w:lang w:eastAsia="cs-CZ"/>
                </w:rPr>
                <w:t>282</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43" w:tooltip="More details about Flood and Coastal Erosion Risk Management" w:history="1">
              <w:r w:rsidRPr="000B30A8">
                <w:rPr>
                  <w:color w:val="000000"/>
                  <w:lang w:eastAsia="cs-CZ"/>
                </w:rPr>
                <w:t>• Flood and Coastal Erosion Risk Management</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4" w:tooltip="View the projects for Flood and Coastal Erosion Risk Management" w:history="1">
              <w:r w:rsidRPr="000B30A8">
                <w:rPr>
                  <w:color w:val="000000"/>
                  <w:lang w:eastAsia="cs-CZ"/>
                </w:rPr>
                <w:t>262</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45" w:tooltip="More details about Freshwater Fisheries" w:history="1">
              <w:r w:rsidRPr="000B30A8">
                <w:rPr>
                  <w:color w:val="000000"/>
                  <w:lang w:eastAsia="cs-CZ"/>
                </w:rPr>
                <w:t>• Freshwater Fisheries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6" w:tooltip="View the projects for Freshwater Fisheries" w:history="1">
              <w:r w:rsidRPr="000B30A8">
                <w:rPr>
                  <w:color w:val="000000"/>
                  <w:lang w:eastAsia="cs-CZ"/>
                </w:rPr>
                <w:t>85</w:t>
              </w:r>
            </w:hyperlink>
          </w:p>
        </w:tc>
      </w:tr>
      <w:bookmarkStart w:id="257" w:name="RANGE!A22"/>
      <w:bookmarkEnd w:id="257"/>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"http://randd.defra.gov.uk/Default.aspx?Menu=Menu&amp;Module=Detail&amp;Completed=0&amp;FOSID=15" \o "More details about Horticulture" </w:instrText>
            </w:r>
            <w:r w:rsidRPr="000B30A8">
              <w:rPr>
                <w:color w:val="000000"/>
                <w:lang w:eastAsia="cs-CZ"/>
              </w:rPr>
              <w:fldChar w:fldCharType="separate"/>
            </w:r>
            <w:r w:rsidRPr="000B30A8">
              <w:rPr>
                <w:color w:val="000000"/>
                <w:lang w:eastAsia="cs-CZ"/>
              </w:rPr>
              <w:t>• Horticulture</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7" w:tooltip="View the projects for Horticulture" w:history="1">
              <w:r w:rsidRPr="000B30A8">
                <w:rPr>
                  <w:color w:val="000000"/>
                  <w:lang w:eastAsia="cs-CZ"/>
                </w:rPr>
                <w:t>630</w:t>
              </w:r>
            </w:hyperlink>
          </w:p>
        </w:tc>
      </w:tr>
      <w:bookmarkStart w:id="258" w:name="RANGE!A23"/>
      <w:bookmarkEnd w:id="258"/>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"http://randd.defra.gov.uk/Default.aspx?Menu=Menu&amp;Module=Detail&amp;Completed=0&amp;FOSID=16" \o "More details about Livestock" </w:instrText>
            </w:r>
            <w:r w:rsidRPr="000B30A8">
              <w:rPr>
                <w:color w:val="000000"/>
                <w:lang w:eastAsia="cs-CZ"/>
              </w:rPr>
              <w:fldChar w:fldCharType="separate"/>
            </w:r>
            <w:r w:rsidRPr="000B30A8">
              <w:rPr>
                <w:color w:val="000000"/>
                <w:lang w:eastAsia="cs-CZ"/>
              </w:rPr>
              <w:t>• Livestock</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8" w:tooltip="View the projects for Livestock" w:history="1">
              <w:r w:rsidRPr="000B30A8">
                <w:rPr>
                  <w:color w:val="000000"/>
                  <w:lang w:eastAsia="cs-CZ"/>
                </w:rPr>
                <w:t>441</w:t>
              </w:r>
            </w:hyperlink>
          </w:p>
        </w:tc>
      </w:tr>
      <w:bookmarkStart w:id="259" w:name="RANGE!A24"/>
      <w:bookmarkEnd w:id="259"/>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"http://randd.defra.gov.uk/Default.aspx?Menu=Menu&amp;Module=Detail&amp;Completed=0&amp;FOSID=17" \o "More details about Marine Fisheries" </w:instrText>
            </w:r>
            <w:r w:rsidRPr="000B30A8">
              <w:rPr>
                <w:color w:val="000000"/>
                <w:lang w:eastAsia="cs-CZ"/>
              </w:rPr>
              <w:fldChar w:fldCharType="separate"/>
            </w:r>
            <w:r w:rsidRPr="000B30A8">
              <w:rPr>
                <w:color w:val="000000"/>
                <w:lang w:eastAsia="cs-CZ"/>
              </w:rPr>
              <w:t>• Marine Fisheries</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49" w:tooltip="View the projects for Marine Fisheries" w:history="1">
              <w:r w:rsidRPr="000B30A8">
                <w:rPr>
                  <w:color w:val="000000"/>
                  <w:lang w:eastAsia="cs-CZ"/>
                </w:rPr>
                <w:t>285</w:t>
              </w:r>
            </w:hyperlink>
          </w:p>
        </w:tc>
      </w:tr>
      <w:bookmarkStart w:id="260" w:name="RANGE!A25"/>
      <w:bookmarkEnd w:id="260"/>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"http://randd.defra.gov.uk/Default.aspx?Menu=Menu&amp;Module=Detail&amp;Completed=0&amp;FOSID=18" \o "More details about Noise" </w:instrText>
            </w:r>
            <w:r w:rsidRPr="000B30A8">
              <w:rPr>
                <w:color w:val="000000"/>
                <w:lang w:eastAsia="cs-CZ"/>
              </w:rPr>
              <w:fldChar w:fldCharType="separate"/>
            </w:r>
            <w:r w:rsidRPr="000B30A8">
              <w:rPr>
                <w:color w:val="000000"/>
                <w:lang w:eastAsia="cs-CZ"/>
              </w:rPr>
              <w:t>• Noise</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0" w:tooltip="View the projects for Noise" w:history="1">
              <w:r w:rsidRPr="000B30A8">
                <w:rPr>
                  <w:color w:val="000000"/>
                  <w:lang w:eastAsia="cs-CZ"/>
                </w:rPr>
                <w:t>124</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51" w:tooltip="More details about Non-Food Crops" w:history="1">
              <w:r w:rsidRPr="000B30A8">
                <w:rPr>
                  <w:color w:val="000000"/>
                  <w:lang w:eastAsia="cs-CZ"/>
                </w:rPr>
                <w:t>• Non-Food Crops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2" w:tooltip="View the projects for Non-Food Crops" w:history="1">
              <w:r w:rsidRPr="000B30A8">
                <w:rPr>
                  <w:color w:val="000000"/>
                  <w:lang w:eastAsia="cs-CZ"/>
                </w:rPr>
                <w:t>127</w:t>
              </w:r>
            </w:hyperlink>
          </w:p>
        </w:tc>
      </w:tr>
      <w:bookmarkStart w:id="261" w:name="RANGE!A27"/>
      <w:bookmarkEnd w:id="261"/>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"http://randd.defra.gov.uk/Default.aspx?Menu=Menu&amp;Module=Detail&amp;Completed=0&amp;FOSID=19" \o "More details about Organic Farming" </w:instrText>
            </w:r>
            <w:r w:rsidRPr="000B30A8">
              <w:rPr>
                <w:color w:val="000000"/>
                <w:lang w:eastAsia="cs-CZ"/>
              </w:rPr>
              <w:fldChar w:fldCharType="separate"/>
            </w:r>
            <w:r w:rsidRPr="000B30A8">
              <w:rPr>
                <w:color w:val="000000"/>
                <w:lang w:eastAsia="cs-CZ"/>
              </w:rPr>
              <w:t>• Organic Farming</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3" w:tooltip="View the projects for Organic Farming" w:history="1">
              <w:r w:rsidRPr="000B30A8">
                <w:rPr>
                  <w:color w:val="000000"/>
                  <w:lang w:eastAsia="cs-CZ"/>
                </w:rPr>
                <w:t>167</w:t>
              </w:r>
            </w:hyperlink>
          </w:p>
        </w:tc>
      </w:tr>
      <w:bookmarkStart w:id="262" w:name="RANGE!A28"/>
      <w:bookmarkEnd w:id="262"/>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"http://randd.defra.gov.uk/Default.aspx?Menu=Menu&amp;Module=Detail&amp;Completed=0&amp;FOSID=20" \o "More details about Pesticide Safety" </w:instrText>
            </w:r>
            <w:r w:rsidRPr="000B30A8">
              <w:rPr>
                <w:color w:val="000000"/>
                <w:lang w:eastAsia="cs-CZ"/>
              </w:rPr>
              <w:fldChar w:fldCharType="separate"/>
            </w:r>
            <w:r w:rsidRPr="000B30A8">
              <w:rPr>
                <w:color w:val="000000"/>
                <w:lang w:eastAsia="cs-CZ"/>
              </w:rPr>
              <w:t>• Pesticide Safety</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4" w:tooltip="View the projects for Pesticide Safety" w:history="1">
              <w:r w:rsidRPr="000B30A8">
                <w:rPr>
                  <w:color w:val="000000"/>
                  <w:lang w:eastAsia="cs-CZ"/>
                </w:rPr>
                <w:t>669</w:t>
              </w:r>
            </w:hyperlink>
          </w:p>
        </w:tc>
      </w:tr>
      <w:tr w:rsidR="005A63D9" w:rsidRPr="00E27ED8" w:rsidTr="00444F6D">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55" w:tooltip="More details about Plant Genetics" w:history="1">
              <w:r w:rsidRPr="000B30A8">
                <w:rPr>
                  <w:color w:val="000000"/>
                  <w:lang w:eastAsia="cs-CZ"/>
                </w:rPr>
                <w:t>• Plant Genetics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6" w:tooltip="View the projects for Plant Genetics" w:history="1">
              <w:r w:rsidRPr="000B30A8">
                <w:rPr>
                  <w:color w:val="000000"/>
                  <w:lang w:eastAsia="cs-CZ"/>
                </w:rPr>
                <w:t>35</w:t>
              </w:r>
            </w:hyperlink>
          </w:p>
        </w:tc>
      </w:tr>
      <w:tr w:rsidR="005A63D9" w:rsidRPr="00E27ED8" w:rsidTr="00444F6D">
        <w:trPr>
          <w:trHeight w:val="284"/>
        </w:trPr>
        <w:tc>
          <w:tcPr>
            <w:tcW w:w="4145" w:type="pct"/>
            <w:tcBorders>
              <w:top w:val="single" w:sz="4" w:space="0" w:color="auto"/>
              <w:left w:val="single" w:sz="4" w:space="0" w:color="auto"/>
              <w:bottom w:val="single" w:sz="4" w:space="0" w:color="auto"/>
              <w:right w:val="single" w:sz="4" w:space="0" w:color="auto"/>
            </w:tcBorders>
            <w:noWrap/>
            <w:vAlign w:val="bottom"/>
          </w:tcPr>
          <w:p w:rsidR="005A63D9" w:rsidRPr="00E27ED8" w:rsidRDefault="005A63D9" w:rsidP="00444F6D">
            <w:pPr>
              <w:spacing w:afterLines="0" w:line="240" w:lineRule="auto"/>
              <w:contextualSpacing w:val="0"/>
              <w:jc w:val="center"/>
            </w:pPr>
            <w:r w:rsidRPr="000B30A8">
              <w:rPr>
                <w:color w:val="000000"/>
                <w:lang w:eastAsia="cs-CZ"/>
              </w:rPr>
              <w:t>Oblast</w:t>
            </w:r>
          </w:p>
        </w:tc>
        <w:tc>
          <w:tcPr>
            <w:tcW w:w="855" w:type="pct"/>
            <w:tcBorders>
              <w:top w:val="single" w:sz="4" w:space="0" w:color="auto"/>
              <w:left w:val="single" w:sz="4" w:space="0" w:color="auto"/>
              <w:bottom w:val="single" w:sz="4" w:space="0" w:color="auto"/>
              <w:right w:val="single" w:sz="4" w:space="0" w:color="auto"/>
            </w:tcBorders>
            <w:noWrap/>
            <w:vAlign w:val="bottom"/>
          </w:tcPr>
          <w:p w:rsidR="005A63D9" w:rsidRPr="00E27ED8" w:rsidRDefault="005A63D9" w:rsidP="00444F6D">
            <w:pPr>
              <w:spacing w:afterLines="0" w:line="240" w:lineRule="auto"/>
              <w:contextualSpacing w:val="0"/>
              <w:jc w:val="center"/>
            </w:pPr>
            <w:r w:rsidRPr="000B30A8">
              <w:rPr>
                <w:color w:val="000000"/>
                <w:lang w:eastAsia="cs-CZ"/>
              </w:rPr>
              <w:t>Počet projektů</w:t>
            </w:r>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57" w:tooltip="More details about Plant Health" w:history="1">
              <w:r w:rsidRPr="000B30A8">
                <w:rPr>
                  <w:color w:val="000000"/>
                  <w:lang w:eastAsia="cs-CZ"/>
                </w:rPr>
                <w:t>• Plant Health</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58" w:tooltip="View the projects for Plant Health" w:history="1">
              <w:r w:rsidRPr="000B30A8">
                <w:rPr>
                  <w:color w:val="000000"/>
                  <w:lang w:eastAsia="cs-CZ"/>
                </w:rPr>
                <w:t>190</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59" w:tooltip="More details about Plant Varieties and Seeds" w:history="1">
              <w:r w:rsidRPr="000B30A8">
                <w:rPr>
                  <w:color w:val="000000"/>
                  <w:lang w:eastAsia="cs-CZ"/>
                </w:rPr>
                <w:t>• Plant Varieties and Seeds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0" w:tooltip="View the projects for Plant Varieties and Seeds" w:history="1">
              <w:r w:rsidRPr="000B30A8">
                <w:rPr>
                  <w:color w:val="000000"/>
                  <w:lang w:eastAsia="cs-CZ"/>
                </w:rPr>
                <w:t>66</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61" w:tooltip="More details about Radioactive Substances" w:history="1">
              <w:r w:rsidRPr="000B30A8">
                <w:rPr>
                  <w:color w:val="000000"/>
                  <w:lang w:eastAsia="cs-CZ"/>
                </w:rPr>
                <w:t>• Radioactive Substances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2" w:tooltip="View the projects for Radioactive Substances" w:history="1">
              <w:r w:rsidRPr="000B30A8">
                <w:rPr>
                  <w:color w:val="000000"/>
                  <w:lang w:eastAsia="cs-CZ"/>
                </w:rPr>
                <w:t>26</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63" w:tooltip="More details about Resource Efficient and Resilient Food Chain" w:history="1">
              <w:r w:rsidRPr="000B30A8">
                <w:rPr>
                  <w:color w:val="000000"/>
                  <w:lang w:eastAsia="cs-CZ"/>
                </w:rPr>
                <w:t>• Resource Efficient and Resilient Food Chain</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4" w:tooltip="View the projects for Resource Efficient and Resilient Food Chain" w:history="1">
              <w:r w:rsidRPr="000B30A8">
                <w:rPr>
                  <w:color w:val="000000"/>
                  <w:lang w:eastAsia="cs-CZ"/>
                </w:rPr>
                <w:t>358</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65" w:tooltip="More details about Rural Affairs" w:history="1">
              <w:r w:rsidRPr="000B30A8">
                <w:rPr>
                  <w:color w:val="000000"/>
                  <w:lang w:eastAsia="cs-CZ"/>
                </w:rPr>
                <w:t>• Rural Affairs</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6" w:tooltip="View the projects for Rural Affairs" w:history="1">
              <w:r w:rsidRPr="000B30A8">
                <w:rPr>
                  <w:color w:val="000000"/>
                  <w:lang w:eastAsia="cs-CZ"/>
                </w:rPr>
                <w:t>104</w:t>
              </w:r>
            </w:hyperlink>
          </w:p>
        </w:tc>
      </w:tr>
      <w:bookmarkStart w:id="263" w:name="RANGE!A35"/>
      <w:bookmarkEnd w:id="263"/>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"http://randd.defra.gov.uk/Default.aspx?Menu=Menu&amp;Module=Detail&amp;Completed=0&amp;FOSID=26" \o "More details about Soil Protection" </w:instrText>
            </w:r>
            <w:r w:rsidRPr="000B30A8">
              <w:rPr>
                <w:color w:val="000000"/>
                <w:lang w:eastAsia="cs-CZ"/>
              </w:rPr>
              <w:fldChar w:fldCharType="separate"/>
            </w:r>
            <w:r w:rsidRPr="000B30A8">
              <w:rPr>
                <w:color w:val="000000"/>
                <w:lang w:eastAsia="cs-CZ"/>
              </w:rPr>
              <w:t>• Soil Protection</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7" w:tooltip="View the projects for Soil Protection" w:history="1">
              <w:r w:rsidRPr="000B30A8">
                <w:rPr>
                  <w:color w:val="000000"/>
                  <w:lang w:eastAsia="cs-CZ"/>
                </w:rPr>
                <w:t>179</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68" w:tooltip="More details about Sustainable Consumption and Production" w:history="1">
              <w:r w:rsidRPr="000B30A8">
                <w:rPr>
                  <w:color w:val="000000"/>
                  <w:lang w:eastAsia="cs-CZ"/>
                </w:rPr>
                <w:t>• Sustainable Consumption and Production</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69" w:tooltip="View the projects for Sustainable Consumption and Production" w:history="1">
              <w:r w:rsidRPr="000B30A8">
                <w:rPr>
                  <w:color w:val="000000"/>
                  <w:lang w:eastAsia="cs-CZ"/>
                </w:rPr>
                <w:t>125</w:t>
              </w:r>
            </w:hyperlink>
          </w:p>
        </w:tc>
      </w:tr>
      <w:bookmarkStart w:id="264" w:name="RANGE!A37"/>
      <w:bookmarkEnd w:id="264"/>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"http://randd.defra.gov.uk/Default.aspx?Menu=Menu&amp;Module=Detail&amp;Completed=0&amp;FOSID=27" \o "More details about Veterinary Fellowships" </w:instrText>
            </w:r>
            <w:r w:rsidRPr="000B30A8">
              <w:rPr>
                <w:color w:val="000000"/>
                <w:lang w:eastAsia="cs-CZ"/>
              </w:rPr>
              <w:fldChar w:fldCharType="separate"/>
            </w:r>
            <w:r w:rsidRPr="000B30A8">
              <w:rPr>
                <w:color w:val="000000"/>
                <w:lang w:eastAsia="cs-CZ"/>
              </w:rPr>
              <w:t>• Veterinary Fellowships</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0" w:tooltip="View the projects for Veterinary Fellowships" w:history="1">
              <w:r w:rsidRPr="000B30A8">
                <w:rPr>
                  <w:color w:val="000000"/>
                  <w:lang w:eastAsia="cs-CZ"/>
                </w:rPr>
                <w:t>0</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71" w:tooltip="More details about Veterinary Medicine" w:history="1">
              <w:r w:rsidRPr="000B30A8">
                <w:rPr>
                  <w:color w:val="000000"/>
                  <w:lang w:eastAsia="cs-CZ"/>
                </w:rPr>
                <w:t>• Veterinary Medicine</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2" w:tooltip="View the projects for Veterinary Medicine" w:history="1">
              <w:r w:rsidRPr="000B30A8">
                <w:rPr>
                  <w:color w:val="000000"/>
                  <w:lang w:eastAsia="cs-CZ"/>
                </w:rPr>
                <w:t>218</w:t>
              </w:r>
            </w:hyperlink>
          </w:p>
        </w:tc>
      </w:tr>
      <w:bookmarkStart w:id="265" w:name="RANGE!A39"/>
      <w:bookmarkEnd w:id="265"/>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r w:rsidRPr="000B30A8">
              <w:rPr>
                <w:color w:val="000000"/>
                <w:lang w:eastAsia="cs-CZ"/>
              </w:rPr>
              <w:fldChar w:fldCharType="begin"/>
            </w:r>
            <w:r w:rsidRPr="000B30A8">
              <w:rPr>
                <w:color w:val="000000"/>
                <w:lang w:eastAsia="cs-CZ"/>
              </w:rPr>
              <w:instrText xml:space="preserve"> HYPERLINK "http://randd.defra.gov.uk/Default.aspx?Menu=Menu&amp;Module=Detail&amp;Completed=0&amp;FOSID=31" \o "More details about Waste Management" </w:instrText>
            </w:r>
            <w:r w:rsidRPr="000B30A8">
              <w:rPr>
                <w:color w:val="000000"/>
                <w:lang w:eastAsia="cs-CZ"/>
              </w:rPr>
              <w:fldChar w:fldCharType="separate"/>
            </w:r>
            <w:r w:rsidRPr="000B30A8">
              <w:rPr>
                <w:color w:val="000000"/>
                <w:lang w:eastAsia="cs-CZ"/>
              </w:rPr>
              <w:t>• Waste Management</w:t>
            </w:r>
            <w:r w:rsidRPr="000B30A8">
              <w:rPr>
                <w:color w:val="000000"/>
                <w:lang w:eastAsia="cs-CZ"/>
              </w:rPr>
              <w:fldChar w:fldCharType="end"/>
            </w:r>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3" w:tooltip="View the projects for Waste Management" w:history="1">
              <w:r w:rsidRPr="000B30A8">
                <w:rPr>
                  <w:color w:val="000000"/>
                  <w:lang w:eastAsia="cs-CZ"/>
                </w:rPr>
                <w:t>107</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74" w:tooltip="More details about Water Quality" w:history="1">
              <w:r w:rsidRPr="000B30A8">
                <w:rPr>
                  <w:color w:val="000000"/>
                  <w:lang w:eastAsia="cs-CZ"/>
                </w:rPr>
                <w:t>• Water Quality</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5" w:tooltip="View the projects for Water Quality" w:history="1">
              <w:r w:rsidRPr="000B30A8">
                <w:rPr>
                  <w:color w:val="000000"/>
                  <w:lang w:eastAsia="cs-CZ"/>
                </w:rPr>
                <w:t>297</w:t>
              </w:r>
            </w:hyperlink>
          </w:p>
        </w:tc>
      </w:tr>
      <w:tr w:rsidR="005A63D9" w:rsidRPr="00E27ED8" w:rsidTr="000B30A8">
        <w:trPr>
          <w:trHeight w:val="284"/>
        </w:trPr>
        <w:tc>
          <w:tcPr>
            <w:tcW w:w="4145" w:type="pct"/>
            <w:tcBorders>
              <w:top w:val="nil"/>
              <w:left w:val="single" w:sz="8" w:space="0" w:color="auto"/>
              <w:bottom w:val="single" w:sz="4"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76" w:tooltip="More details about Wildlife Conservation" w:history="1">
              <w:r w:rsidRPr="000B30A8">
                <w:rPr>
                  <w:color w:val="000000"/>
                  <w:lang w:eastAsia="cs-CZ"/>
                </w:rPr>
                <w:t>• Wildlife Conservation</w:t>
              </w:r>
            </w:hyperlink>
          </w:p>
        </w:tc>
        <w:tc>
          <w:tcPr>
            <w:tcW w:w="855" w:type="pct"/>
            <w:tcBorders>
              <w:top w:val="nil"/>
              <w:left w:val="nil"/>
              <w:bottom w:val="single" w:sz="4"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7" w:tooltip="View the projects for Wildlife Conservation" w:history="1">
              <w:r w:rsidRPr="000B30A8">
                <w:rPr>
                  <w:color w:val="000000"/>
                  <w:lang w:eastAsia="cs-CZ"/>
                </w:rPr>
                <w:t>212</w:t>
              </w:r>
            </w:hyperlink>
          </w:p>
        </w:tc>
      </w:tr>
      <w:tr w:rsidR="005A63D9" w:rsidRPr="00E27ED8" w:rsidTr="000B30A8">
        <w:trPr>
          <w:trHeight w:val="284"/>
        </w:trPr>
        <w:tc>
          <w:tcPr>
            <w:tcW w:w="4145" w:type="pct"/>
            <w:tcBorders>
              <w:top w:val="nil"/>
              <w:left w:val="single" w:sz="8" w:space="0" w:color="auto"/>
              <w:bottom w:val="single" w:sz="8" w:space="0" w:color="auto"/>
              <w:right w:val="single" w:sz="4" w:space="0" w:color="auto"/>
            </w:tcBorders>
            <w:noWrap/>
            <w:vAlign w:val="bottom"/>
          </w:tcPr>
          <w:p w:rsidR="005A63D9" w:rsidRPr="000B30A8" w:rsidRDefault="005A63D9" w:rsidP="00FA77AB">
            <w:pPr>
              <w:spacing w:afterLines="0" w:line="240" w:lineRule="auto"/>
              <w:contextualSpacing w:val="0"/>
              <w:rPr>
                <w:color w:val="000000"/>
                <w:lang w:eastAsia="cs-CZ"/>
              </w:rPr>
            </w:pPr>
            <w:hyperlink r:id="rId78" w:tooltip="More details about Wildlife Management" w:history="1">
              <w:r w:rsidRPr="000B30A8">
                <w:rPr>
                  <w:color w:val="000000"/>
                  <w:lang w:eastAsia="cs-CZ"/>
                </w:rPr>
                <w:t>• Wildlife Management</w:t>
              </w:r>
            </w:hyperlink>
          </w:p>
        </w:tc>
        <w:tc>
          <w:tcPr>
            <w:tcW w:w="855" w:type="pct"/>
            <w:tcBorders>
              <w:top w:val="nil"/>
              <w:left w:val="nil"/>
              <w:bottom w:val="single" w:sz="8" w:space="0" w:color="auto"/>
              <w:right w:val="single" w:sz="8" w:space="0" w:color="auto"/>
            </w:tcBorders>
            <w:noWrap/>
            <w:vAlign w:val="bottom"/>
          </w:tcPr>
          <w:p w:rsidR="005A63D9" w:rsidRPr="000B30A8" w:rsidRDefault="005A63D9" w:rsidP="00FA77AB">
            <w:pPr>
              <w:spacing w:afterLines="0" w:line="240" w:lineRule="auto"/>
              <w:contextualSpacing w:val="0"/>
              <w:jc w:val="center"/>
              <w:rPr>
                <w:color w:val="000000"/>
                <w:lang w:eastAsia="cs-CZ"/>
              </w:rPr>
            </w:pPr>
            <w:hyperlink r:id="rId79" w:tooltip="View the projects for Wildlife Management" w:history="1">
              <w:r w:rsidRPr="000B30A8">
                <w:rPr>
                  <w:color w:val="000000"/>
                  <w:lang w:eastAsia="cs-CZ"/>
                </w:rPr>
                <w:t>126</w:t>
              </w:r>
            </w:hyperlink>
          </w:p>
        </w:tc>
      </w:tr>
    </w:tbl>
    <w:p w:rsidR="005A63D9" w:rsidRDefault="005A63D9" w:rsidP="000B30A8">
      <w:pPr>
        <w:spacing w:afterLines="0" w:line="259" w:lineRule="auto"/>
        <w:contextualSpacing w:val="0"/>
        <w:rPr>
          <w:rFonts w:cs="Times New Roman"/>
          <w:b/>
          <w:highlight w:val="yellow"/>
          <w:lang w:eastAsia="cs-CZ"/>
        </w:rPr>
      </w:pPr>
    </w:p>
    <w:p w:rsidR="005A63D9" w:rsidRDefault="005A63D9">
      <w:pPr>
        <w:spacing w:afterLines="0" w:line="259" w:lineRule="auto"/>
        <w:contextualSpacing w:val="0"/>
        <w:rPr>
          <w:rFonts w:cs="Times New Roman"/>
          <w:b/>
          <w:highlight w:val="yellow"/>
          <w:lang w:eastAsia="cs-CZ"/>
        </w:rPr>
      </w:pPr>
      <w:r>
        <w:rPr>
          <w:rFonts w:cs="Times New Roman"/>
          <w:b/>
          <w:highlight w:val="yellow"/>
          <w:lang w:eastAsia="cs-CZ"/>
        </w:rPr>
        <w:br w:type="page"/>
      </w:r>
    </w:p>
    <w:p w:rsidR="005A63D9" w:rsidRPr="00062D2F" w:rsidRDefault="005A63D9" w:rsidP="00062D2F">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66" w:name="_Toc440897471"/>
      <w:bookmarkStart w:id="267" w:name="_Toc441760873"/>
      <w:bookmarkStart w:id="268" w:name="_Toc441849536"/>
      <w:r>
        <w:rPr>
          <w:rFonts w:cs="Arial"/>
          <w:bCs/>
          <w:iCs/>
          <w:color w:val="000000"/>
          <w:shd w:val="clear" w:color="auto" w:fill="FFFFFF"/>
          <w:lang/>
        </w:rPr>
        <w:t xml:space="preserve">7.5. </w:t>
      </w:r>
      <w:r w:rsidRPr="00062D2F">
        <w:rPr>
          <w:rFonts w:cs="Arial"/>
          <w:bCs/>
          <w:iCs/>
          <w:color w:val="000000"/>
          <w:shd w:val="clear" w:color="auto" w:fill="FFFFFF"/>
          <w:lang/>
        </w:rPr>
        <w:t>Dodatek 5 (Evropská unie)</w:t>
      </w:r>
      <w:bookmarkEnd w:id="266"/>
      <w:bookmarkEnd w:id="267"/>
      <w:bookmarkEnd w:id="268"/>
    </w:p>
    <w:p w:rsidR="005A63D9" w:rsidRPr="00062D2F" w:rsidRDefault="005A63D9" w:rsidP="00062D2F">
      <w:pPr>
        <w:pStyle w:val="Heading3"/>
        <w:keepNext/>
        <w:keepLines/>
        <w:spacing w:before="240" w:afterLines="0" w:line="240" w:lineRule="auto"/>
        <w:contextualSpacing w:val="0"/>
        <w:rPr>
          <w:bCs/>
          <w:shd w:val="clear" w:color="auto" w:fill="FFFFFF"/>
          <w:lang/>
        </w:rPr>
      </w:pPr>
      <w:bookmarkStart w:id="269" w:name="_Toc440897472"/>
      <w:bookmarkStart w:id="270" w:name="_Toc441760874"/>
      <w:bookmarkStart w:id="271" w:name="_Toc441849537"/>
      <w:r w:rsidRPr="00062D2F">
        <w:rPr>
          <w:bCs/>
          <w:shd w:val="clear" w:color="auto" w:fill="FFFFFF"/>
          <w:lang/>
        </w:rPr>
        <w:t>Rámcové programy EU na podpor</w:t>
      </w:r>
      <w:r>
        <w:rPr>
          <w:bCs/>
          <w:shd w:val="clear" w:color="auto" w:fill="FFFFFF"/>
          <w:lang/>
        </w:rPr>
        <w:t>u výzkumu, vývoje technologií a </w:t>
      </w:r>
      <w:r w:rsidRPr="00062D2F">
        <w:rPr>
          <w:bCs/>
          <w:shd w:val="clear" w:color="auto" w:fill="FFFFFF"/>
          <w:lang/>
        </w:rPr>
        <w:t>demonstrací</w:t>
      </w:r>
      <w:bookmarkEnd w:id="269"/>
      <w:bookmarkEnd w:id="270"/>
      <w:bookmarkEnd w:id="271"/>
    </w:p>
    <w:p w:rsidR="005A63D9" w:rsidRPr="00743350" w:rsidRDefault="005A63D9" w:rsidP="002D69B6">
      <w:pPr>
        <w:spacing w:after="14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1"/>
        <w:gridCol w:w="907"/>
        <w:gridCol w:w="907"/>
        <w:gridCol w:w="907"/>
        <w:gridCol w:w="907"/>
        <w:gridCol w:w="907"/>
        <w:gridCol w:w="907"/>
        <w:gridCol w:w="907"/>
      </w:tblGrid>
      <w:tr w:rsidR="005A63D9" w:rsidRPr="00E27ED8" w:rsidTr="00E27ED8">
        <w:trPr>
          <w:trHeight w:val="142"/>
        </w:trPr>
        <w:tc>
          <w:tcPr>
            <w:tcW w:w="1151" w:type="dxa"/>
            <w:tcBorders>
              <w:top w:val="single" w:sz="12" w:space="0" w:color="auto"/>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1984</w:t>
            </w: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b/>
                <w:sz w:val="16"/>
                <w:szCs w:val="16"/>
                <w:lang w:val="en-US"/>
              </w:rPr>
            </w:pPr>
            <w:r w:rsidRPr="00E27ED8">
              <w:rPr>
                <w:rFonts w:ascii="Calibri" w:hAnsi="Calibri"/>
                <w:b/>
                <w:sz w:val="16"/>
                <w:szCs w:val="16"/>
                <w:lang w:val="en-US"/>
              </w:rPr>
              <w:t>1.RP = 3 271 mil. ECU</w:t>
            </w:r>
          </w:p>
        </w:tc>
        <w:tc>
          <w:tcPr>
            <w:tcW w:w="907" w:type="dxa"/>
            <w:vMerge w:val="restart"/>
            <w:tcBorders>
              <w:top w:val="nil"/>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nil"/>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nil"/>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nil"/>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val="restart"/>
            <w:tcBorders>
              <w:top w:val="nil"/>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1985</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1986</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1987</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b/>
                <w:sz w:val="16"/>
                <w:szCs w:val="16"/>
                <w:lang w:val="en-US"/>
              </w:rPr>
            </w:pPr>
            <w:r w:rsidRPr="00E27ED8">
              <w:rPr>
                <w:rFonts w:ascii="Calibri" w:hAnsi="Calibri"/>
                <w:b/>
                <w:sz w:val="16"/>
                <w:szCs w:val="16"/>
                <w:lang w:val="en-US"/>
              </w:rPr>
              <w:t>2.RO = 5 357 mil. ECU</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1988</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1989</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1990</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1991</w:t>
            </w: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b/>
                <w:sz w:val="12"/>
                <w:szCs w:val="12"/>
                <w:lang w:val="en-US"/>
              </w:rPr>
            </w:pPr>
            <w:r w:rsidRPr="00E27ED8">
              <w:rPr>
                <w:rFonts w:ascii="Calibri" w:hAnsi="Calibri"/>
                <w:b/>
                <w:sz w:val="12"/>
                <w:szCs w:val="12"/>
                <w:lang w:val="en-US"/>
              </w:rPr>
              <w:t>3.RP ´6 652 mil. ECU</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1992</w:t>
            </w:r>
          </w:p>
        </w:tc>
        <w:tc>
          <w:tcPr>
            <w:tcW w:w="907" w:type="dxa"/>
            <w:vMerge w:val="restart"/>
            <w:tcBorders>
              <w:top w:val="single" w:sz="12" w:space="0" w:color="auto"/>
              <w:left w:val="single" w:sz="12" w:space="0" w:color="auto"/>
              <w:bottom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1993</w:t>
            </w:r>
          </w:p>
        </w:tc>
        <w:tc>
          <w:tcPr>
            <w:tcW w:w="907" w:type="dxa"/>
            <w:vMerge/>
            <w:tcBorders>
              <w:left w:val="single" w:sz="12" w:space="0" w:color="auto"/>
              <w:bottom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1994</w:t>
            </w:r>
          </w:p>
        </w:tc>
        <w:tc>
          <w:tcPr>
            <w:tcW w:w="907" w:type="dxa"/>
            <w:vMerge/>
            <w:tcBorders>
              <w:left w:val="single" w:sz="12" w:space="0" w:color="auto"/>
              <w:bottom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1995</w:t>
            </w:r>
          </w:p>
        </w:tc>
        <w:tc>
          <w:tcPr>
            <w:tcW w:w="907" w:type="dxa"/>
            <w:vMerge/>
            <w:tcBorders>
              <w:left w:val="single" w:sz="12" w:space="0" w:color="auto"/>
              <w:bottom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sz w:val="22"/>
                <w:szCs w:val="22"/>
                <w:lang w:val="en-US"/>
              </w:rPr>
            </w:pPr>
            <w:r w:rsidRPr="00E27ED8">
              <w:rPr>
                <w:rFonts w:ascii="Calibri" w:hAnsi="Calibri"/>
                <w:b/>
                <w:sz w:val="12"/>
                <w:szCs w:val="12"/>
                <w:lang w:val="en-US"/>
              </w:rPr>
              <w:t>4.RP ´13 121 mil. ECU</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1996</w:t>
            </w:r>
          </w:p>
        </w:tc>
        <w:tc>
          <w:tcPr>
            <w:tcW w:w="907" w:type="dxa"/>
            <w:vMerge w:val="restart"/>
            <w:tcBorders>
              <w:top w:val="nil"/>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1997</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1998</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1999</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sz w:val="22"/>
                <w:szCs w:val="22"/>
                <w:lang w:val="en-US"/>
              </w:rPr>
            </w:pPr>
            <w:r w:rsidRPr="00E27ED8">
              <w:rPr>
                <w:rFonts w:ascii="Calibri" w:hAnsi="Calibri"/>
                <w:b/>
                <w:sz w:val="12"/>
                <w:szCs w:val="12"/>
                <w:lang w:val="en-US"/>
              </w:rPr>
              <w:t>5.RP ´14 871 mil. Euro</w:t>
            </w:r>
          </w:p>
        </w:tc>
        <w:tc>
          <w:tcPr>
            <w:tcW w:w="1814" w:type="dxa"/>
            <w:gridSpan w:val="2"/>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2000</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2001</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2012</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1814" w:type="dxa"/>
            <w:gridSpan w:val="2"/>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2003</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sz w:val="22"/>
                <w:szCs w:val="22"/>
                <w:lang w:val="en-US"/>
              </w:rPr>
            </w:pPr>
            <w:r w:rsidRPr="00E27ED8">
              <w:rPr>
                <w:rFonts w:ascii="Calibri" w:hAnsi="Calibri"/>
                <w:b/>
                <w:sz w:val="12"/>
                <w:szCs w:val="12"/>
                <w:lang w:val="en-US"/>
              </w:rPr>
              <w:t>6.RP ´19 656 mil. Euro</w:t>
            </w:r>
          </w:p>
        </w:tc>
        <w:tc>
          <w:tcPr>
            <w:tcW w:w="907" w:type="dxa"/>
            <w:vMerge w:val="restart"/>
            <w:tcBorders>
              <w:top w:val="nil"/>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2004</w:t>
            </w:r>
          </w:p>
        </w:tc>
        <w:tc>
          <w:tcPr>
            <w:tcW w:w="907" w:type="dxa"/>
            <w:vMerge/>
            <w:tcBorders>
              <w:left w:val="single" w:sz="12" w:space="0" w:color="auto"/>
              <w:bottom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2005</w:t>
            </w:r>
          </w:p>
        </w:tc>
        <w:tc>
          <w:tcPr>
            <w:tcW w:w="907" w:type="dxa"/>
            <w:vMerge w:val="restart"/>
            <w:tcBorders>
              <w:top w:val="nil"/>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2006</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top w:val="single" w:sz="12" w:space="0" w:color="auto"/>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2007</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val="restart"/>
            <w:tcBorders>
              <w:top w:val="single" w:sz="12" w:space="0" w:color="auto"/>
              <w:left w:val="single" w:sz="12" w:space="0" w:color="auto"/>
              <w:bottom w:val="single" w:sz="12" w:space="0" w:color="auto"/>
              <w:right w:val="single" w:sz="12" w:space="0" w:color="auto"/>
            </w:tcBorders>
            <w:textDirection w:val="btLr"/>
            <w:vAlign w:val="center"/>
          </w:tcPr>
          <w:p w:rsidR="005A63D9" w:rsidRPr="00E27ED8" w:rsidRDefault="005A63D9" w:rsidP="00E27ED8">
            <w:pPr>
              <w:pStyle w:val="NormalWeb"/>
              <w:spacing w:after="144"/>
              <w:ind w:left="113" w:right="113"/>
              <w:jc w:val="center"/>
              <w:rPr>
                <w:rFonts w:ascii="Calibri" w:hAnsi="Calibri"/>
                <w:sz w:val="22"/>
                <w:szCs w:val="22"/>
                <w:lang w:val="en-US"/>
              </w:rPr>
            </w:pPr>
            <w:r w:rsidRPr="00E27ED8">
              <w:rPr>
                <w:rFonts w:ascii="Calibri" w:hAnsi="Calibri"/>
                <w:b/>
                <w:sz w:val="12"/>
                <w:szCs w:val="12"/>
                <w:lang w:val="en-US"/>
              </w:rPr>
              <w:t>7.RP ´55 806 mil. Euro</w:t>
            </w: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2009</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2010</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2011</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2012</w:t>
            </w:r>
          </w:p>
        </w:tc>
        <w:tc>
          <w:tcPr>
            <w:tcW w:w="907" w:type="dxa"/>
            <w:vMerge/>
            <w:tcBorders>
              <w:left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1151" w:type="dxa"/>
            <w:tcBorders>
              <w:left w:val="single" w:sz="12" w:space="0" w:color="auto"/>
              <w:bottom w:val="single" w:sz="12" w:space="0" w:color="auto"/>
              <w:right w:val="single" w:sz="12" w:space="0" w:color="auto"/>
            </w:tcBorders>
            <w:vAlign w:val="center"/>
          </w:tcPr>
          <w:p w:rsidR="005A63D9" w:rsidRPr="00E27ED8" w:rsidRDefault="005A63D9" w:rsidP="00E27ED8">
            <w:pPr>
              <w:pStyle w:val="NormalWeb"/>
              <w:spacing w:after="144"/>
              <w:jc w:val="center"/>
              <w:rPr>
                <w:rFonts w:ascii="Calibri" w:hAnsi="Calibri"/>
                <w:sz w:val="16"/>
                <w:szCs w:val="16"/>
                <w:lang w:val="en-US"/>
              </w:rPr>
            </w:pPr>
            <w:r w:rsidRPr="00E27ED8">
              <w:rPr>
                <w:rFonts w:ascii="Calibri" w:hAnsi="Calibri"/>
                <w:sz w:val="16"/>
                <w:szCs w:val="16"/>
                <w:lang w:val="en-US"/>
              </w:rPr>
              <w:t>2013</w:t>
            </w:r>
          </w:p>
        </w:tc>
        <w:tc>
          <w:tcPr>
            <w:tcW w:w="907" w:type="dxa"/>
            <w:vMerge/>
            <w:tcBorders>
              <w:left w:val="single" w:sz="12" w:space="0" w:color="auto"/>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bottom w:val="single" w:sz="12" w:space="0" w:color="auto"/>
              <w:right w:val="nil"/>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nil"/>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c>
          <w:tcPr>
            <w:tcW w:w="907" w:type="dxa"/>
            <w:vMerge/>
            <w:tcBorders>
              <w:left w:val="single" w:sz="12" w:space="0" w:color="auto"/>
              <w:bottom w:val="single" w:sz="12" w:space="0" w:color="auto"/>
              <w:right w:val="single" w:sz="12" w:space="0" w:color="auto"/>
            </w:tcBorders>
          </w:tcPr>
          <w:p w:rsidR="005A63D9" w:rsidRPr="00E27ED8" w:rsidRDefault="005A63D9" w:rsidP="00E27ED8">
            <w:pPr>
              <w:pStyle w:val="NormalWeb"/>
              <w:spacing w:after="144"/>
              <w:jc w:val="both"/>
              <w:rPr>
                <w:rFonts w:ascii="Calibri" w:hAnsi="Calibri"/>
                <w:sz w:val="22"/>
                <w:szCs w:val="22"/>
                <w:lang w:val="en-US"/>
              </w:rPr>
            </w:pPr>
          </w:p>
        </w:tc>
      </w:tr>
      <w:tr w:rsidR="005A63D9" w:rsidRPr="00E27ED8" w:rsidTr="00E27ED8">
        <w:trPr>
          <w:trHeight w:val="142"/>
        </w:trPr>
        <w:tc>
          <w:tcPr>
            <w:tcW w:w="7500" w:type="dxa"/>
            <w:gridSpan w:val="8"/>
            <w:tcBorders>
              <w:top w:val="single" w:sz="12" w:space="0" w:color="auto"/>
              <w:left w:val="single" w:sz="12" w:space="0" w:color="auto"/>
              <w:bottom w:val="single" w:sz="12" w:space="0" w:color="auto"/>
            </w:tcBorders>
            <w:vAlign w:val="center"/>
          </w:tcPr>
          <w:p w:rsidR="005A63D9" w:rsidRPr="00E27ED8" w:rsidRDefault="005A63D9" w:rsidP="00E27ED8">
            <w:pPr>
              <w:pStyle w:val="NormalWeb"/>
              <w:spacing w:after="144"/>
              <w:jc w:val="right"/>
              <w:rPr>
                <w:rFonts w:ascii="Calibri" w:hAnsi="Calibri"/>
                <w:color w:val="000000"/>
                <w:sz w:val="22"/>
                <w:szCs w:val="22"/>
                <w:lang w:val="en-US"/>
              </w:rPr>
            </w:pPr>
            <w:r w:rsidRPr="00E27ED8">
              <w:rPr>
                <w:rFonts w:ascii="Calibri" w:hAnsi="Calibri" w:cs="Calibri"/>
                <w:b/>
                <w:color w:val="000000"/>
                <w:sz w:val="22"/>
                <w:szCs w:val="22"/>
                <w:lang w:val="en-US"/>
              </w:rPr>
              <w:t>Rámcové programy celkem – 118 233,3 mil. €</w:t>
            </w:r>
          </w:p>
        </w:tc>
      </w:tr>
    </w:tbl>
    <w:p w:rsidR="005A63D9" w:rsidRPr="000A5E0F" w:rsidRDefault="005A63D9" w:rsidP="002D69B6">
      <w:pPr>
        <w:spacing w:before="60" w:after="144" w:line="240" w:lineRule="auto"/>
        <w:rPr>
          <w:i/>
          <w:sz w:val="20"/>
        </w:rPr>
      </w:pPr>
      <w:r w:rsidRPr="000A5E0F">
        <w:rPr>
          <w:rFonts w:cs="Calibri"/>
          <w:b/>
          <w:i/>
          <w:sz w:val="18"/>
          <w:szCs w:val="20"/>
        </w:rPr>
        <w:t xml:space="preserve">Zdroj: </w:t>
      </w:r>
      <w:r w:rsidRPr="000A5E0F">
        <w:rPr>
          <w:rFonts w:cs="Calibri"/>
          <w:i/>
          <w:sz w:val="18"/>
          <w:szCs w:val="20"/>
        </w:rPr>
        <w:t>Development of Community research –commitments 1984–2012, DG Research 2012.</w:t>
      </w:r>
    </w:p>
    <w:p w:rsidR="005A63D9" w:rsidRDefault="005A63D9" w:rsidP="000B30A8">
      <w:pPr>
        <w:spacing w:afterLines="0" w:line="259" w:lineRule="auto"/>
        <w:contextualSpacing w:val="0"/>
        <w:rPr>
          <w:rFonts w:cs="Times New Roman"/>
          <w:b/>
          <w:highlight w:val="yellow"/>
          <w:lang w:eastAsia="cs-CZ"/>
        </w:rPr>
      </w:pPr>
    </w:p>
    <w:p w:rsidR="005A63D9" w:rsidRDefault="005A63D9" w:rsidP="000B30A8">
      <w:pPr>
        <w:spacing w:afterLines="0" w:line="259" w:lineRule="auto"/>
        <w:contextualSpacing w:val="0"/>
        <w:rPr>
          <w:rFonts w:cs="Times New Roman"/>
          <w:b/>
          <w:highlight w:val="yellow"/>
          <w:lang w:eastAsia="cs-CZ"/>
        </w:rPr>
      </w:pPr>
    </w:p>
    <w:p w:rsidR="005A63D9" w:rsidRPr="00062D2F" w:rsidRDefault="005A63D9" w:rsidP="00062D2F">
      <w:pPr>
        <w:pStyle w:val="Heading3"/>
        <w:keepNext/>
        <w:keepLines/>
        <w:spacing w:before="240" w:afterLines="0" w:line="240" w:lineRule="auto"/>
        <w:contextualSpacing w:val="0"/>
        <w:rPr>
          <w:bCs/>
          <w:shd w:val="clear" w:color="auto" w:fill="FFFFFF"/>
          <w:lang/>
        </w:rPr>
      </w:pPr>
      <w:bookmarkStart w:id="272" w:name="_Toc440897473"/>
      <w:bookmarkStart w:id="273" w:name="_Toc441760875"/>
      <w:bookmarkStart w:id="274" w:name="_Toc441849538"/>
      <w:r w:rsidRPr="00062D2F">
        <w:rPr>
          <w:bCs/>
          <w:shd w:val="clear" w:color="auto" w:fill="FFFFFF"/>
          <w:lang/>
        </w:rPr>
        <w:t>Seznam projektů řešených ve společenství Climate–KIC</w:t>
      </w:r>
      <w:bookmarkEnd w:id="272"/>
      <w:bookmarkEnd w:id="273"/>
      <w:bookmarkEnd w:id="274"/>
    </w:p>
    <w:p w:rsidR="005A63D9" w:rsidRPr="002D69B6" w:rsidRDefault="005A63D9" w:rsidP="002D69B6">
      <w:pPr>
        <w:spacing w:afterLines="0" w:line="259" w:lineRule="auto"/>
        <w:contextualSpacing w:val="0"/>
        <w:rPr>
          <w:lang w:eastAsia="cs-CZ"/>
        </w:rPr>
      </w:pPr>
      <w:r w:rsidRPr="002D69B6">
        <w:rPr>
          <w:lang w:eastAsia="cs-CZ"/>
        </w:rPr>
        <w:t>Accompany cities in energy strategy</w:t>
      </w:r>
    </w:p>
    <w:p w:rsidR="005A63D9" w:rsidRPr="002D69B6" w:rsidRDefault="005A63D9" w:rsidP="002D69B6">
      <w:pPr>
        <w:spacing w:afterLines="0" w:line="259" w:lineRule="auto"/>
        <w:contextualSpacing w:val="0"/>
        <w:rPr>
          <w:lang w:eastAsia="cs-CZ"/>
        </w:rPr>
      </w:pPr>
      <w:r w:rsidRPr="002D69B6">
        <w:rPr>
          <w:lang w:eastAsia="cs-CZ"/>
        </w:rPr>
        <w:t>Adaptation Tool for Local Authorities</w:t>
      </w:r>
    </w:p>
    <w:p w:rsidR="005A63D9" w:rsidRPr="002D69B6" w:rsidRDefault="005A63D9" w:rsidP="002D69B6">
      <w:pPr>
        <w:spacing w:afterLines="0" w:line="259" w:lineRule="auto"/>
        <w:contextualSpacing w:val="0"/>
        <w:rPr>
          <w:lang w:eastAsia="cs-CZ"/>
        </w:rPr>
      </w:pPr>
      <w:r w:rsidRPr="002D69B6">
        <w:rPr>
          <w:lang w:eastAsia="cs-CZ"/>
        </w:rPr>
        <w:t>Azofast</w:t>
      </w:r>
    </w:p>
    <w:p w:rsidR="005A63D9" w:rsidRPr="002D69B6" w:rsidRDefault="005A63D9" w:rsidP="002D69B6">
      <w:pPr>
        <w:spacing w:afterLines="0" w:line="259" w:lineRule="auto"/>
        <w:contextualSpacing w:val="0"/>
        <w:rPr>
          <w:lang w:eastAsia="cs-CZ"/>
        </w:rPr>
      </w:pPr>
      <w:r w:rsidRPr="002D69B6">
        <w:rPr>
          <w:lang w:eastAsia="cs-CZ"/>
        </w:rPr>
        <w:t>CarboCount: Carbon accounting of Europe’s regions</w:t>
      </w:r>
    </w:p>
    <w:p w:rsidR="005A63D9" w:rsidRPr="002D69B6" w:rsidRDefault="005A63D9" w:rsidP="002D69B6">
      <w:pPr>
        <w:spacing w:afterLines="0" w:line="259" w:lineRule="auto"/>
        <w:contextualSpacing w:val="0"/>
        <w:rPr>
          <w:lang w:eastAsia="cs-CZ"/>
        </w:rPr>
      </w:pPr>
      <w:r w:rsidRPr="002D69B6">
        <w:rPr>
          <w:lang w:eastAsia="cs-CZ"/>
        </w:rPr>
        <w:t>Carbon Emissions from Cities</w:t>
      </w:r>
    </w:p>
    <w:p w:rsidR="005A63D9" w:rsidRPr="002D69B6" w:rsidRDefault="005A63D9" w:rsidP="002D69B6">
      <w:pPr>
        <w:spacing w:afterLines="0" w:line="259" w:lineRule="auto"/>
        <w:contextualSpacing w:val="0"/>
        <w:rPr>
          <w:lang w:eastAsia="cs-CZ"/>
        </w:rPr>
      </w:pPr>
      <w:r w:rsidRPr="002D69B6">
        <w:rPr>
          <w:lang w:eastAsia="cs-CZ"/>
        </w:rPr>
        <w:t>Carbon-neutral, Low Emission Gas Turbine using Steam Injection</w:t>
      </w:r>
    </w:p>
    <w:p w:rsidR="005A63D9" w:rsidRPr="002D69B6" w:rsidRDefault="005A63D9" w:rsidP="002D69B6">
      <w:pPr>
        <w:spacing w:afterLines="0" w:line="259" w:lineRule="auto"/>
        <w:contextualSpacing w:val="0"/>
        <w:rPr>
          <w:lang w:eastAsia="cs-CZ"/>
        </w:rPr>
      </w:pPr>
      <w:r w:rsidRPr="002D69B6">
        <w:rPr>
          <w:lang w:eastAsia="cs-CZ"/>
        </w:rPr>
        <w:t>Catalysing Green Infrastructures</w:t>
      </w:r>
    </w:p>
    <w:p w:rsidR="005A63D9" w:rsidRPr="002D69B6" w:rsidRDefault="005A63D9" w:rsidP="002D69B6">
      <w:pPr>
        <w:spacing w:afterLines="0" w:line="259" w:lineRule="auto"/>
        <w:contextualSpacing w:val="0"/>
        <w:rPr>
          <w:lang w:eastAsia="cs-CZ"/>
        </w:rPr>
      </w:pPr>
      <w:r w:rsidRPr="002D69B6">
        <w:rPr>
          <w:lang w:eastAsia="cs-CZ"/>
        </w:rPr>
        <w:t>Climate Data Factory</w:t>
      </w:r>
    </w:p>
    <w:p w:rsidR="005A63D9" w:rsidRPr="002D69B6" w:rsidRDefault="005A63D9" w:rsidP="002D69B6">
      <w:pPr>
        <w:spacing w:afterLines="0" w:line="259" w:lineRule="auto"/>
        <w:contextualSpacing w:val="0"/>
        <w:rPr>
          <w:lang w:eastAsia="cs-CZ"/>
        </w:rPr>
      </w:pPr>
      <w:r w:rsidRPr="002D69B6">
        <w:rPr>
          <w:lang w:eastAsia="cs-CZ"/>
        </w:rPr>
        <w:t>Climate Impact Expert SystemClosed Loop Communities</w:t>
      </w:r>
    </w:p>
    <w:p w:rsidR="005A63D9" w:rsidRPr="002D69B6" w:rsidRDefault="005A63D9" w:rsidP="002D69B6">
      <w:pPr>
        <w:spacing w:afterLines="0" w:line="259" w:lineRule="auto"/>
        <w:contextualSpacing w:val="0"/>
        <w:rPr>
          <w:lang w:eastAsia="cs-CZ"/>
        </w:rPr>
      </w:pPr>
      <w:r w:rsidRPr="002D69B6">
        <w:rPr>
          <w:lang w:eastAsia="cs-CZ"/>
        </w:rPr>
        <w:t>Community of Practice for Integrated Food Clusters</w:t>
      </w:r>
    </w:p>
    <w:p w:rsidR="005A63D9" w:rsidRPr="002D69B6" w:rsidRDefault="005A63D9" w:rsidP="002D69B6">
      <w:pPr>
        <w:spacing w:afterLines="0" w:line="259" w:lineRule="auto"/>
        <w:contextualSpacing w:val="0"/>
        <w:rPr>
          <w:lang w:eastAsia="cs-CZ"/>
        </w:rPr>
      </w:pPr>
      <w:r w:rsidRPr="002D69B6">
        <w:rPr>
          <w:lang w:eastAsia="cs-CZ"/>
        </w:rPr>
        <w:t>Cool Farm Tool Space</w:t>
      </w:r>
    </w:p>
    <w:p w:rsidR="005A63D9" w:rsidRPr="002D69B6" w:rsidRDefault="005A63D9" w:rsidP="002D69B6">
      <w:pPr>
        <w:spacing w:afterLines="0" w:line="259" w:lineRule="auto"/>
        <w:contextualSpacing w:val="0"/>
        <w:rPr>
          <w:lang w:eastAsia="cs-CZ"/>
        </w:rPr>
      </w:pPr>
      <w:r w:rsidRPr="002D69B6">
        <w:rPr>
          <w:lang w:eastAsia="cs-CZ"/>
        </w:rPr>
        <w:t>CO</w:t>
      </w:r>
      <w:r w:rsidRPr="002D69B6">
        <w:rPr>
          <w:rFonts w:ascii="Cambria Math" w:hAnsi="Cambria Math" w:cs="Cambria Math"/>
          <w:lang w:eastAsia="cs-CZ"/>
        </w:rPr>
        <w:t>₂</w:t>
      </w:r>
      <w:r w:rsidRPr="002D69B6">
        <w:rPr>
          <w:lang w:eastAsia="cs-CZ"/>
        </w:rPr>
        <w:t xml:space="preserve"> Base Products – From Dream to Reality</w:t>
      </w:r>
    </w:p>
    <w:p w:rsidR="005A63D9" w:rsidRPr="002D69B6" w:rsidRDefault="005A63D9" w:rsidP="002D69B6">
      <w:pPr>
        <w:spacing w:afterLines="0" w:line="259" w:lineRule="auto"/>
        <w:contextualSpacing w:val="0"/>
        <w:rPr>
          <w:lang w:eastAsia="cs-CZ"/>
        </w:rPr>
      </w:pPr>
      <w:r w:rsidRPr="002D69B6">
        <w:rPr>
          <w:lang w:eastAsia="cs-CZ"/>
        </w:rPr>
        <w:t>CSA Booster</w:t>
      </w:r>
    </w:p>
    <w:p w:rsidR="005A63D9" w:rsidRPr="002D69B6" w:rsidRDefault="005A63D9" w:rsidP="002D69B6">
      <w:pPr>
        <w:spacing w:afterLines="0" w:line="259" w:lineRule="auto"/>
        <w:contextualSpacing w:val="0"/>
        <w:rPr>
          <w:lang w:eastAsia="cs-CZ"/>
        </w:rPr>
      </w:pPr>
      <w:r w:rsidRPr="002D69B6">
        <w:rPr>
          <w:lang w:eastAsia="cs-CZ"/>
        </w:rPr>
        <w:t>Delivering sustainable energy solutions for ports</w:t>
      </w:r>
    </w:p>
    <w:p w:rsidR="005A63D9" w:rsidRPr="002D69B6" w:rsidRDefault="005A63D9" w:rsidP="002D69B6">
      <w:pPr>
        <w:spacing w:afterLines="0" w:line="259" w:lineRule="auto"/>
        <w:contextualSpacing w:val="0"/>
        <w:rPr>
          <w:lang w:eastAsia="cs-CZ"/>
        </w:rPr>
      </w:pPr>
      <w:r w:rsidRPr="002D69B6">
        <w:rPr>
          <w:lang w:eastAsia="cs-CZ"/>
        </w:rPr>
        <w:t>Demand supply mapping for adaptation of local actors</w:t>
      </w:r>
    </w:p>
    <w:p w:rsidR="005A63D9" w:rsidRPr="002D69B6" w:rsidRDefault="005A63D9" w:rsidP="002D69B6">
      <w:pPr>
        <w:spacing w:afterLines="0" w:line="259" w:lineRule="auto"/>
        <w:contextualSpacing w:val="0"/>
        <w:rPr>
          <w:lang w:eastAsia="cs-CZ"/>
        </w:rPr>
      </w:pPr>
      <w:r w:rsidRPr="002D69B6">
        <w:rPr>
          <w:lang w:eastAsia="cs-CZ"/>
        </w:rPr>
        <w:t>Diffusion of E-Bikes</w:t>
      </w:r>
    </w:p>
    <w:p w:rsidR="005A63D9" w:rsidRPr="002D69B6" w:rsidRDefault="005A63D9" w:rsidP="002D69B6">
      <w:pPr>
        <w:spacing w:afterLines="0" w:line="259" w:lineRule="auto"/>
        <w:contextualSpacing w:val="0"/>
        <w:rPr>
          <w:lang w:eastAsia="cs-CZ"/>
        </w:rPr>
      </w:pPr>
      <w:r w:rsidRPr="002D69B6">
        <w:rPr>
          <w:lang w:eastAsia="cs-CZ"/>
        </w:rPr>
        <w:t>Employer led CO</w:t>
      </w:r>
      <w:r w:rsidRPr="002D69B6">
        <w:rPr>
          <w:rFonts w:ascii="Cambria Math" w:hAnsi="Cambria Math" w:cs="Cambria Math"/>
          <w:lang w:eastAsia="cs-CZ"/>
        </w:rPr>
        <w:t>₂</w:t>
      </w:r>
      <w:r w:rsidRPr="002D69B6">
        <w:rPr>
          <w:lang w:eastAsia="cs-CZ"/>
        </w:rPr>
        <w:t xml:space="preserve"> and Energy Reductions by Employees</w:t>
      </w:r>
    </w:p>
    <w:p w:rsidR="005A63D9" w:rsidRPr="002D69B6" w:rsidRDefault="005A63D9" w:rsidP="002D69B6">
      <w:pPr>
        <w:spacing w:afterLines="0" w:line="259" w:lineRule="auto"/>
        <w:contextualSpacing w:val="0"/>
        <w:rPr>
          <w:lang w:eastAsia="cs-CZ"/>
        </w:rPr>
      </w:pPr>
      <w:r w:rsidRPr="002D69B6">
        <w:rPr>
          <w:lang w:eastAsia="cs-CZ"/>
        </w:rPr>
        <w:t>Eurbanlab: Accelerating urban innovations</w:t>
      </w:r>
    </w:p>
    <w:p w:rsidR="005A63D9" w:rsidRPr="002D69B6" w:rsidRDefault="005A63D9" w:rsidP="002D69B6">
      <w:pPr>
        <w:spacing w:afterLines="0" w:line="259" w:lineRule="auto"/>
        <w:contextualSpacing w:val="0"/>
        <w:rPr>
          <w:lang w:eastAsia="cs-CZ"/>
        </w:rPr>
      </w:pPr>
      <w:r w:rsidRPr="002D69B6">
        <w:rPr>
          <w:lang w:eastAsia="cs-CZ"/>
        </w:rPr>
        <w:t>Europe-wide Use of Sustainable Energy from Aquifers</w:t>
      </w:r>
    </w:p>
    <w:p w:rsidR="005A63D9" w:rsidRPr="002D69B6" w:rsidRDefault="005A63D9" w:rsidP="002D69B6">
      <w:pPr>
        <w:spacing w:afterLines="0" w:line="259" w:lineRule="auto"/>
        <w:contextualSpacing w:val="0"/>
        <w:rPr>
          <w:lang w:eastAsia="cs-CZ"/>
        </w:rPr>
      </w:pPr>
      <w:r w:rsidRPr="002D69B6">
        <w:rPr>
          <w:lang w:eastAsia="cs-CZ"/>
        </w:rPr>
        <w:t>European Energy Performance of Properties Analysis</w:t>
      </w:r>
    </w:p>
    <w:p w:rsidR="005A63D9" w:rsidRPr="002D69B6" w:rsidRDefault="005A63D9" w:rsidP="002D69B6">
      <w:pPr>
        <w:spacing w:afterLines="0" w:line="259" w:lineRule="auto"/>
        <w:contextualSpacing w:val="0"/>
        <w:rPr>
          <w:lang w:eastAsia="cs-CZ"/>
        </w:rPr>
      </w:pPr>
      <w:r w:rsidRPr="002D69B6">
        <w:rPr>
          <w:lang w:eastAsia="cs-CZ"/>
        </w:rPr>
        <w:t>Extreme Events for Energy Providers</w:t>
      </w:r>
    </w:p>
    <w:p w:rsidR="005A63D9" w:rsidRPr="002D69B6" w:rsidRDefault="005A63D9" w:rsidP="002D69B6">
      <w:pPr>
        <w:spacing w:afterLines="0" w:line="259" w:lineRule="auto"/>
        <w:contextualSpacing w:val="0"/>
        <w:rPr>
          <w:lang w:eastAsia="cs-CZ"/>
        </w:rPr>
      </w:pPr>
      <w:r w:rsidRPr="002D69B6">
        <w:rPr>
          <w:lang w:eastAsia="cs-CZ"/>
        </w:rPr>
        <w:t>Flexibilization of industries enables sustainable energy systems</w:t>
      </w:r>
    </w:p>
    <w:p w:rsidR="005A63D9" w:rsidRPr="002D69B6" w:rsidRDefault="005A63D9" w:rsidP="002D69B6">
      <w:pPr>
        <w:spacing w:afterLines="0" w:line="259" w:lineRule="auto"/>
        <w:contextualSpacing w:val="0"/>
        <w:rPr>
          <w:lang w:eastAsia="cs-CZ"/>
        </w:rPr>
      </w:pPr>
      <w:r w:rsidRPr="002D69B6">
        <w:rPr>
          <w:lang w:eastAsia="cs-CZ"/>
        </w:rPr>
        <w:t>Fuel Supply Chain Development and Flight Operations</w:t>
      </w:r>
    </w:p>
    <w:p w:rsidR="005A63D9" w:rsidRPr="002D69B6" w:rsidRDefault="005A63D9" w:rsidP="002D69B6">
      <w:pPr>
        <w:spacing w:afterLines="0" w:line="259" w:lineRule="auto"/>
        <w:contextualSpacing w:val="0"/>
        <w:rPr>
          <w:lang w:eastAsia="cs-CZ"/>
        </w:rPr>
      </w:pPr>
      <w:r w:rsidRPr="002D69B6">
        <w:rPr>
          <w:lang w:eastAsia="cs-CZ"/>
        </w:rPr>
        <w:t>Fugitive Methane Emissions from hard-to tackle sites and sources</w:t>
      </w:r>
    </w:p>
    <w:p w:rsidR="005A63D9" w:rsidRPr="002D69B6" w:rsidRDefault="005A63D9" w:rsidP="002D69B6">
      <w:pPr>
        <w:spacing w:afterLines="0" w:line="259" w:lineRule="auto"/>
        <w:contextualSpacing w:val="0"/>
        <w:rPr>
          <w:lang w:eastAsia="cs-CZ"/>
        </w:rPr>
      </w:pPr>
      <w:r w:rsidRPr="002D69B6">
        <w:rPr>
          <w:lang w:eastAsia="cs-CZ"/>
        </w:rPr>
        <w:t>Fully Optimised and Reliable Emissions Tool</w:t>
      </w:r>
    </w:p>
    <w:p w:rsidR="005A63D9" w:rsidRPr="002D69B6" w:rsidRDefault="005A63D9" w:rsidP="002D69B6">
      <w:pPr>
        <w:spacing w:afterLines="0" w:line="259" w:lineRule="auto"/>
        <w:contextualSpacing w:val="0"/>
        <w:rPr>
          <w:lang w:eastAsia="cs-CZ"/>
        </w:rPr>
      </w:pPr>
      <w:r w:rsidRPr="002D69B6">
        <w:rPr>
          <w:lang w:eastAsia="cs-CZ"/>
        </w:rPr>
        <w:t>Global facility for calculating investments needed to bridge the climate induced water gap</w:t>
      </w:r>
    </w:p>
    <w:p w:rsidR="005A63D9" w:rsidRPr="002D69B6" w:rsidRDefault="005A63D9" w:rsidP="002D69B6">
      <w:pPr>
        <w:spacing w:afterLines="0" w:line="259" w:lineRule="auto"/>
        <w:contextualSpacing w:val="0"/>
        <w:rPr>
          <w:lang w:eastAsia="cs-CZ"/>
        </w:rPr>
      </w:pPr>
      <w:r w:rsidRPr="002D69B6">
        <w:rPr>
          <w:lang w:eastAsia="cs-CZ"/>
        </w:rPr>
        <w:t>Greenhouse Gas Data for Investment Decisions</w:t>
      </w:r>
    </w:p>
    <w:p w:rsidR="005A63D9" w:rsidRPr="002D69B6" w:rsidRDefault="005A63D9" w:rsidP="002D69B6">
      <w:pPr>
        <w:spacing w:afterLines="0" w:line="259" w:lineRule="auto"/>
        <w:contextualSpacing w:val="0"/>
        <w:rPr>
          <w:lang w:eastAsia="cs-CZ"/>
        </w:rPr>
      </w:pPr>
      <w:r w:rsidRPr="002D69B6">
        <w:rPr>
          <w:lang w:eastAsia="cs-CZ"/>
        </w:rPr>
        <w:t>Horizon scanning the European Bioeconomy</w:t>
      </w:r>
    </w:p>
    <w:p w:rsidR="005A63D9" w:rsidRDefault="005A63D9" w:rsidP="002D69B6">
      <w:pPr>
        <w:spacing w:afterLines="0" w:line="259" w:lineRule="auto"/>
        <w:contextualSpacing w:val="0"/>
        <w:rPr>
          <w:lang w:eastAsia="cs-CZ"/>
        </w:rPr>
      </w:pPr>
      <w:r w:rsidRPr="002D69B6">
        <w:rPr>
          <w:lang w:eastAsia="cs-CZ"/>
        </w:rPr>
        <w:t>Implementation &amp; Adoption of Carbon footprint in Tourism travel packages</w:t>
      </w:r>
    </w:p>
    <w:p w:rsidR="005A63D9" w:rsidRDefault="005A63D9">
      <w:pPr>
        <w:spacing w:afterLines="0" w:line="259" w:lineRule="auto"/>
        <w:contextualSpacing w:val="0"/>
        <w:rPr>
          <w:lang w:eastAsia="cs-CZ"/>
        </w:rPr>
      </w:pPr>
      <w:r>
        <w:rPr>
          <w:lang w:eastAsia="cs-CZ"/>
        </w:rPr>
        <w:br w:type="page"/>
      </w:r>
    </w:p>
    <w:p w:rsidR="005A63D9" w:rsidRPr="00062D2F" w:rsidRDefault="005A63D9" w:rsidP="00062D2F">
      <w:pPr>
        <w:pStyle w:val="Heading3"/>
        <w:keepNext/>
        <w:keepLines/>
        <w:spacing w:before="240" w:afterLines="0" w:line="240" w:lineRule="auto"/>
        <w:contextualSpacing w:val="0"/>
        <w:rPr>
          <w:bCs/>
          <w:shd w:val="clear" w:color="auto" w:fill="FFFFFF"/>
          <w:lang/>
        </w:rPr>
      </w:pPr>
      <w:bookmarkStart w:id="275" w:name="_Toc440897474"/>
      <w:bookmarkStart w:id="276" w:name="_Toc441760876"/>
      <w:bookmarkStart w:id="277" w:name="_Toc441849539"/>
      <w:r w:rsidRPr="00062D2F">
        <w:rPr>
          <w:bCs/>
          <w:shd w:val="clear" w:color="auto" w:fill="FFFFFF"/>
          <w:lang/>
        </w:rPr>
        <w:t>Přehled technologický</w:t>
      </w:r>
      <w:r>
        <w:rPr>
          <w:bCs/>
          <w:shd w:val="clear" w:color="auto" w:fill="FFFFFF"/>
          <w:lang/>
        </w:rPr>
        <w:t>ch</w:t>
      </w:r>
      <w:r w:rsidRPr="00062D2F">
        <w:rPr>
          <w:bCs/>
          <w:shd w:val="clear" w:color="auto" w:fill="FFFFFF"/>
          <w:lang/>
        </w:rPr>
        <w:t xml:space="preserve"> platforem v EU</w:t>
      </w:r>
      <w:bookmarkEnd w:id="275"/>
      <w:bookmarkEnd w:id="276"/>
      <w:bookmarkEnd w:id="277"/>
    </w:p>
    <w:tbl>
      <w:tblPr>
        <w:tblW w:w="5000" w:type="pct"/>
        <w:tblCellMar>
          <w:left w:w="70" w:type="dxa"/>
          <w:right w:w="70" w:type="dxa"/>
        </w:tblCellMar>
        <w:tblLook w:val="00A0"/>
      </w:tblPr>
      <w:tblGrid>
        <w:gridCol w:w="2231"/>
        <w:gridCol w:w="1265"/>
        <w:gridCol w:w="1558"/>
        <w:gridCol w:w="2048"/>
        <w:gridCol w:w="2903"/>
        <w:gridCol w:w="1290"/>
      </w:tblGrid>
      <w:tr w:rsidR="005A63D9" w:rsidRPr="00E27ED8" w:rsidTr="00E5722A">
        <w:trPr>
          <w:trHeight w:val="300"/>
        </w:trPr>
        <w:tc>
          <w:tcPr>
            <w:tcW w:w="945" w:type="pct"/>
            <w:tcBorders>
              <w:top w:val="single" w:sz="4" w:space="0" w:color="auto"/>
              <w:left w:val="single" w:sz="4" w:space="0" w:color="auto"/>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Bio-based economy</w:t>
            </w:r>
          </w:p>
        </w:tc>
        <w:tc>
          <w:tcPr>
            <w:tcW w:w="604" w:type="pct"/>
            <w:tcBorders>
              <w:top w:val="single" w:sz="4" w:space="0" w:color="auto"/>
              <w:left w:val="nil"/>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Energy</w:t>
            </w:r>
          </w:p>
        </w:tc>
        <w:tc>
          <w:tcPr>
            <w:tcW w:w="638" w:type="pct"/>
            <w:tcBorders>
              <w:top w:val="single" w:sz="4" w:space="0" w:color="auto"/>
              <w:left w:val="nil"/>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Environ</w:t>
            </w:r>
            <w:r>
              <w:rPr>
                <w:b/>
                <w:bCs/>
                <w:color w:val="000000"/>
                <w:lang w:eastAsia="cs-CZ"/>
              </w:rPr>
              <w:t>-</w:t>
            </w:r>
            <w:r w:rsidRPr="00E5722A">
              <w:rPr>
                <w:b/>
                <w:bCs/>
                <w:color w:val="000000"/>
                <w:lang w:eastAsia="cs-CZ"/>
              </w:rPr>
              <w:t>ment</w:t>
            </w:r>
          </w:p>
        </w:tc>
        <w:tc>
          <w:tcPr>
            <w:tcW w:w="974" w:type="pct"/>
            <w:tcBorders>
              <w:top w:val="single" w:sz="4" w:space="0" w:color="auto"/>
              <w:left w:val="nil"/>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ICT</w:t>
            </w:r>
          </w:p>
        </w:tc>
        <w:tc>
          <w:tcPr>
            <w:tcW w:w="1216" w:type="pct"/>
            <w:tcBorders>
              <w:top w:val="single" w:sz="4" w:space="0" w:color="auto"/>
              <w:left w:val="nil"/>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Production and processes</w:t>
            </w:r>
          </w:p>
        </w:tc>
        <w:tc>
          <w:tcPr>
            <w:tcW w:w="622" w:type="pct"/>
            <w:tcBorders>
              <w:top w:val="single" w:sz="4" w:space="0" w:color="auto"/>
              <w:left w:val="nil"/>
              <w:bottom w:val="single" w:sz="4" w:space="0" w:color="auto"/>
              <w:right w:val="single" w:sz="4" w:space="0" w:color="auto"/>
            </w:tcBorders>
            <w:shd w:val="clear" w:color="000000" w:fill="BFBFBF"/>
            <w:noWrap/>
            <w:vAlign w:val="center"/>
          </w:tcPr>
          <w:p w:rsidR="005A63D9" w:rsidRPr="00E5722A" w:rsidRDefault="005A63D9" w:rsidP="00E5722A">
            <w:pPr>
              <w:spacing w:afterLines="0" w:line="240" w:lineRule="auto"/>
              <w:contextualSpacing w:val="0"/>
              <w:jc w:val="center"/>
              <w:rPr>
                <w:b/>
                <w:bCs/>
                <w:color w:val="000000"/>
                <w:lang w:eastAsia="cs-CZ"/>
              </w:rPr>
            </w:pPr>
            <w:r w:rsidRPr="00E5722A">
              <w:rPr>
                <w:b/>
                <w:bCs/>
                <w:color w:val="000000"/>
                <w:lang w:eastAsia="cs-CZ"/>
              </w:rPr>
              <w:t>Trans</w:t>
            </w:r>
            <w:r>
              <w:rPr>
                <w:b/>
                <w:bCs/>
                <w:color w:val="000000"/>
                <w:lang w:eastAsia="cs-CZ"/>
              </w:rPr>
              <w:t>-</w:t>
            </w:r>
            <w:r w:rsidRPr="00E5722A">
              <w:rPr>
                <w:b/>
                <w:bCs/>
                <w:color w:val="000000"/>
                <w:lang w:eastAsia="cs-CZ"/>
              </w:rPr>
              <w:t>port</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EATIP</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Biofuels</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WssTP</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ARTEMIS</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ECTP</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ACARE</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ETPGAH</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EU PV TP</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ENIAC</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ESTEP</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ALICE</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FABRE TP</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TP OCEAN</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EPoSS</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EuMaT</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ERRAC</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Food for Life</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RHC</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ETP4HPC</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FTC</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ERTRAC</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Forest-based</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SmartGrids</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euRobotics [AISBL]</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Manufuture</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Waterborne</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Plants</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SNETP</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NEM</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Nanomedicine</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TP Organics</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TPWind</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NESSI</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SMR</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ZEP</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Networld 2020</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SusChem</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r>
      <w:tr w:rsidR="005A63D9" w:rsidRPr="00E27ED8" w:rsidTr="00E5722A">
        <w:trPr>
          <w:trHeight w:val="300"/>
        </w:trPr>
        <w:tc>
          <w:tcPr>
            <w:tcW w:w="945" w:type="pct"/>
            <w:tcBorders>
              <w:top w:val="nil"/>
              <w:left w:val="single" w:sz="4" w:space="0" w:color="auto"/>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60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638"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974"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bdr w:val="none" w:sz="0" w:space="0" w:color="auto" w:frame="1"/>
                <w:lang w:eastAsia="cs-CZ"/>
              </w:rPr>
              <w:t>Photonics 21</w:t>
            </w:r>
          </w:p>
        </w:tc>
        <w:tc>
          <w:tcPr>
            <w:tcW w:w="1216"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c>
          <w:tcPr>
            <w:tcW w:w="622" w:type="pct"/>
            <w:tcBorders>
              <w:top w:val="nil"/>
              <w:left w:val="nil"/>
              <w:bottom w:val="single" w:sz="4" w:space="0" w:color="auto"/>
              <w:right w:val="single" w:sz="4" w:space="0" w:color="auto"/>
            </w:tcBorders>
            <w:noWrap/>
            <w:vAlign w:val="center"/>
          </w:tcPr>
          <w:p w:rsidR="005A63D9" w:rsidRPr="00E5722A" w:rsidRDefault="005A63D9" w:rsidP="00E5722A">
            <w:pPr>
              <w:spacing w:afterLines="0" w:line="240" w:lineRule="auto"/>
              <w:contextualSpacing w:val="0"/>
              <w:jc w:val="center"/>
              <w:rPr>
                <w:color w:val="000000"/>
                <w:lang w:eastAsia="cs-CZ"/>
              </w:rPr>
            </w:pPr>
            <w:r w:rsidRPr="00E5722A">
              <w:rPr>
                <w:color w:val="000000"/>
                <w:lang w:eastAsia="cs-CZ"/>
              </w:rPr>
              <w:t> </w:t>
            </w:r>
          </w:p>
        </w:tc>
      </w:tr>
    </w:tbl>
    <w:p w:rsidR="005A63D9" w:rsidRDefault="005A63D9" w:rsidP="002D69B6">
      <w:pPr>
        <w:spacing w:after="144"/>
        <w:rPr>
          <w:highlight w:val="yellow"/>
        </w:rPr>
      </w:pPr>
    </w:p>
    <w:p w:rsidR="005A63D9" w:rsidRDefault="005A63D9">
      <w:pPr>
        <w:spacing w:afterLines="0" w:line="259" w:lineRule="auto"/>
        <w:contextualSpacing w:val="0"/>
        <w:rPr>
          <w:highlight w:val="yellow"/>
        </w:rPr>
      </w:pPr>
      <w:r>
        <w:rPr>
          <w:highlight w:val="yellow"/>
        </w:rPr>
        <w:br w:type="page"/>
      </w:r>
    </w:p>
    <w:p w:rsidR="005A63D9" w:rsidRPr="00062D2F" w:rsidRDefault="005A63D9" w:rsidP="00062D2F">
      <w:pPr>
        <w:pStyle w:val="Heading2"/>
        <w:keepLines w:val="0"/>
        <w:widowControl w:val="0"/>
        <w:adjustRightInd w:val="0"/>
        <w:spacing w:afterLines="0"/>
        <w:contextualSpacing w:val="0"/>
        <w:jc w:val="both"/>
        <w:textAlignment w:val="baseline"/>
        <w:rPr>
          <w:rFonts w:cs="Arial"/>
          <w:bCs/>
          <w:iCs/>
          <w:color w:val="000000"/>
          <w:shd w:val="clear" w:color="auto" w:fill="FFFFFF"/>
          <w:lang/>
        </w:rPr>
      </w:pPr>
      <w:bookmarkStart w:id="278" w:name="_Toc440897475"/>
      <w:bookmarkStart w:id="279" w:name="_Toc441760877"/>
      <w:bookmarkStart w:id="280" w:name="_Toc441849540"/>
      <w:r>
        <w:rPr>
          <w:rFonts w:cs="Arial"/>
          <w:bCs/>
          <w:iCs/>
          <w:color w:val="000000"/>
          <w:shd w:val="clear" w:color="auto" w:fill="FFFFFF"/>
          <w:lang/>
        </w:rPr>
        <w:t xml:space="preserve">7.6. </w:t>
      </w:r>
      <w:r w:rsidRPr="00062D2F">
        <w:rPr>
          <w:rFonts w:cs="Arial"/>
          <w:bCs/>
          <w:iCs/>
          <w:color w:val="000000"/>
          <w:shd w:val="clear" w:color="auto" w:fill="FFFFFF"/>
          <w:lang/>
        </w:rPr>
        <w:t>Dodatek 6 (Zdroje)</w:t>
      </w:r>
      <w:bookmarkEnd w:id="278"/>
      <w:bookmarkEnd w:id="279"/>
      <w:bookmarkEnd w:id="280"/>
    </w:p>
    <w:p w:rsidR="005A63D9" w:rsidRPr="00062D2F" w:rsidRDefault="005A63D9" w:rsidP="00062D2F">
      <w:pPr>
        <w:pStyle w:val="Heading3"/>
        <w:keepNext/>
        <w:keepLines/>
        <w:spacing w:before="240" w:afterLines="0" w:line="240" w:lineRule="auto"/>
        <w:contextualSpacing w:val="0"/>
        <w:rPr>
          <w:bCs/>
          <w:shd w:val="clear" w:color="auto" w:fill="FFFFFF"/>
          <w:lang/>
        </w:rPr>
      </w:pPr>
      <w:bookmarkStart w:id="281" w:name="_Toc440897476"/>
      <w:bookmarkStart w:id="282" w:name="_Toc441760878"/>
      <w:bookmarkStart w:id="283" w:name="_Toc441849541"/>
      <w:r w:rsidRPr="00062D2F">
        <w:rPr>
          <w:bCs/>
          <w:shd w:val="clear" w:color="auto" w:fill="FFFFFF"/>
          <w:lang/>
        </w:rPr>
        <w:t>Seznam použitých internetových adres</w:t>
      </w:r>
      <w:bookmarkEnd w:id="281"/>
      <w:bookmarkEnd w:id="282"/>
      <w:bookmarkEnd w:id="283"/>
    </w:p>
    <w:p w:rsidR="005A63D9" w:rsidRPr="00062D2F" w:rsidRDefault="005A63D9" w:rsidP="00062D2F">
      <w:pPr>
        <w:spacing w:afterLines="0"/>
        <w:jc w:val="both"/>
        <w:rPr>
          <w:b/>
        </w:rPr>
      </w:pPr>
      <w:r w:rsidRPr="00062D2F">
        <w:rPr>
          <w:b/>
        </w:rPr>
        <w:t>Rakousko</w:t>
      </w:r>
    </w:p>
    <w:p w:rsidR="005A63D9" w:rsidRPr="00062D2F" w:rsidRDefault="005A63D9" w:rsidP="00062D2F">
      <w:pPr>
        <w:pStyle w:val="ListParagraph"/>
        <w:numPr>
          <w:ilvl w:val="0"/>
          <w:numId w:val="86"/>
        </w:numPr>
        <w:spacing w:afterLines="0"/>
        <w:ind w:left="850" w:hanging="493"/>
        <w:contextualSpacing w:val="0"/>
      </w:pPr>
      <w:r w:rsidRPr="00062D2F">
        <w:t>Spolkové ministerstvo pro vědu, výzkum a hospodářství – www.bmwfw.gv.at)</w:t>
      </w:r>
    </w:p>
    <w:p w:rsidR="005A63D9" w:rsidRPr="00062D2F" w:rsidRDefault="005A63D9" w:rsidP="00062D2F">
      <w:pPr>
        <w:pStyle w:val="ListParagraph"/>
        <w:numPr>
          <w:ilvl w:val="0"/>
          <w:numId w:val="86"/>
        </w:numPr>
        <w:spacing w:afterLines="0"/>
        <w:ind w:left="850" w:hanging="493"/>
        <w:contextualSpacing w:val="0"/>
      </w:pPr>
      <w:r w:rsidRPr="00062D2F">
        <w:t>Spolkové ministerstvo pro dopravu, inovace a technologie – www.bmvit.gv.at</w:t>
      </w:r>
    </w:p>
    <w:p w:rsidR="005A63D9" w:rsidRPr="00062D2F" w:rsidRDefault="005A63D9" w:rsidP="00062D2F">
      <w:pPr>
        <w:pStyle w:val="ListParagraph"/>
        <w:numPr>
          <w:ilvl w:val="0"/>
          <w:numId w:val="86"/>
        </w:numPr>
        <w:spacing w:afterLines="0"/>
        <w:ind w:left="850" w:hanging="493"/>
        <w:contextualSpacing w:val="0"/>
      </w:pPr>
      <w:r w:rsidRPr="00062D2F">
        <w:t>Spolkové ministerstvo pro zemědělství, lesnictví, životní prostředí a vodní hospodářství, BMLFUW– www.bmlfuw.gv.at.</w:t>
      </w:r>
    </w:p>
    <w:p w:rsidR="005A63D9" w:rsidRPr="00062D2F" w:rsidRDefault="005A63D9" w:rsidP="00062D2F">
      <w:pPr>
        <w:pStyle w:val="ListParagraph"/>
        <w:numPr>
          <w:ilvl w:val="0"/>
          <w:numId w:val="86"/>
        </w:numPr>
        <w:spacing w:afterLines="0"/>
        <w:ind w:left="850" w:hanging="493"/>
        <w:contextualSpacing w:val="0"/>
        <w:rPr>
          <w:lang w:val="de-LI"/>
        </w:rPr>
      </w:pPr>
      <w:r w:rsidRPr="00062D2F">
        <w:t xml:space="preserve">Rada pro výzkum a technologie – </w:t>
      </w:r>
      <w:hyperlink r:id="rId80" w:history="1">
        <w:r w:rsidRPr="00062D2F">
          <w:rPr>
            <w:rStyle w:val="Hyperlink"/>
            <w:rFonts w:cs="Arial"/>
            <w:color w:val="auto"/>
            <w:u w:val="none"/>
          </w:rPr>
          <w:t>www.rat-fte.at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Fond pro podporu vědeckého výzkumu FWF – </w:t>
      </w:r>
      <w:hyperlink r:id="rId81" w:history="1">
        <w:r w:rsidRPr="00062D2F">
          <w:rPr>
            <w:rStyle w:val="Hyperlink"/>
            <w:rFonts w:cs="Arial"/>
            <w:color w:val="auto"/>
            <w:u w:val="none"/>
          </w:rPr>
          <w:t>www.fwf.ac.at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Společnost pro podporu výzkumu FFG – </w:t>
      </w:r>
      <w:hyperlink r:id="rId82" w:history="1">
        <w:r w:rsidRPr="00062D2F">
          <w:rPr>
            <w:rStyle w:val="Hyperlink"/>
            <w:rFonts w:cs="Arial"/>
            <w:color w:val="auto"/>
            <w:u w:val="none"/>
          </w:rPr>
          <w:t>www.ffg.at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Rakouská společnost pro podporu hospodářství, aws – </w:t>
      </w:r>
      <w:hyperlink r:id="rId83" w:history="1">
        <w:r w:rsidRPr="00062D2F">
          <w:rPr>
            <w:rStyle w:val="Hyperlink"/>
            <w:rFonts w:cs="Arial"/>
            <w:color w:val="auto"/>
            <w:u w:val="none"/>
          </w:rPr>
          <w:t>www.aws.at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Spolkový úřad pro vodní hospodářství – </w:t>
      </w:r>
      <w:hyperlink r:id="rId84" w:history="1">
        <w:r w:rsidRPr="00062D2F">
          <w:rPr>
            <w:rStyle w:val="Hyperlink"/>
            <w:rFonts w:cs="Arial"/>
            <w:color w:val="auto"/>
            <w:u w:val="none"/>
          </w:rPr>
          <w:t>www.baw.at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Spolkový úřad pro ekonomiku zemědělství – </w:t>
      </w:r>
      <w:hyperlink r:id="rId85" w:history="1">
        <w:r w:rsidRPr="00062D2F">
          <w:rPr>
            <w:rStyle w:val="Hyperlink"/>
            <w:rFonts w:cs="Arial"/>
            <w:color w:val="auto"/>
            <w:u w:val="none"/>
          </w:rPr>
          <w:t>www.agraekonomik.at</w:t>
        </w:r>
      </w:hyperlink>
    </w:p>
    <w:p w:rsidR="005A63D9" w:rsidRDefault="005A63D9" w:rsidP="00062D2F">
      <w:pPr>
        <w:pStyle w:val="ListParagraph"/>
        <w:numPr>
          <w:ilvl w:val="0"/>
          <w:numId w:val="86"/>
        </w:numPr>
        <w:spacing w:afterLines="0"/>
        <w:ind w:left="850" w:hanging="493"/>
        <w:contextualSpacing w:val="0"/>
      </w:pPr>
      <w:r w:rsidRPr="00062D2F">
        <w:t>Spolkové zařízení pro vyšší vzdělávání a výzkum v oblasti zemědělství,</w:t>
      </w:r>
    </w:p>
    <w:p w:rsidR="005A63D9" w:rsidRPr="00062D2F" w:rsidRDefault="005A63D9" w:rsidP="00062D2F">
      <w:pPr>
        <w:pStyle w:val="ListParagraph"/>
        <w:numPr>
          <w:ilvl w:val="0"/>
          <w:numId w:val="86"/>
        </w:numPr>
        <w:spacing w:afterLines="0"/>
        <w:ind w:left="850" w:hanging="493"/>
        <w:contextualSpacing w:val="0"/>
      </w:pPr>
      <w:hyperlink r:id="rId86" w:history="1">
        <w:r w:rsidRPr="00062D2F">
          <w:rPr>
            <w:rStyle w:val="Hyperlink"/>
            <w:rFonts w:cs="Arial"/>
            <w:color w:val="auto"/>
            <w:u w:val="none"/>
          </w:rPr>
          <w:t>www.raumberg-gumpenstein.at</w:t>
        </w:r>
      </w:hyperlink>
    </w:p>
    <w:p w:rsidR="005A63D9" w:rsidRPr="00062D2F" w:rsidRDefault="005A63D9" w:rsidP="00062D2F">
      <w:pPr>
        <w:pStyle w:val="ListParagraph"/>
        <w:numPr>
          <w:ilvl w:val="0"/>
          <w:numId w:val="86"/>
        </w:numPr>
        <w:spacing w:afterLines="0"/>
        <w:ind w:left="850" w:hanging="493"/>
        <w:contextualSpacing w:val="0"/>
        <w:rPr>
          <w:lang w:val="de-LI"/>
        </w:rPr>
      </w:pPr>
      <w:r w:rsidRPr="00062D2F">
        <w:t xml:space="preserve">Rakouská společnost pro vodní cesty – </w:t>
      </w:r>
      <w:hyperlink r:id="rId87" w:history="1">
        <w:r w:rsidRPr="00062D2F">
          <w:rPr>
            <w:rStyle w:val="Hyperlink"/>
            <w:rFonts w:cs="Arial"/>
            <w:color w:val="auto"/>
            <w:u w:val="none"/>
          </w:rPr>
          <w:t>www.viadonau.org</w:t>
        </w:r>
      </w:hyperlink>
    </w:p>
    <w:p w:rsidR="005A63D9" w:rsidRPr="00062D2F" w:rsidRDefault="005A63D9" w:rsidP="00062D2F">
      <w:pPr>
        <w:pStyle w:val="ListParagraph"/>
        <w:numPr>
          <w:ilvl w:val="0"/>
          <w:numId w:val="86"/>
        </w:numPr>
        <w:spacing w:afterLines="0"/>
        <w:ind w:left="850" w:hanging="493"/>
        <w:contextualSpacing w:val="0"/>
      </w:pPr>
      <w:r w:rsidRPr="00062D2F">
        <w:t>Rakouský technologický institut, AIT</w:t>
      </w:r>
      <w:r>
        <w:t xml:space="preserve"> </w:t>
      </w:r>
      <w:r w:rsidRPr="00062D2F">
        <w:t xml:space="preserve">– </w:t>
      </w:r>
      <w:hyperlink r:id="rId88" w:history="1">
        <w:r w:rsidRPr="00062D2F">
          <w:rPr>
            <w:rStyle w:val="Hyperlink"/>
            <w:rFonts w:cs="Arial"/>
            <w:color w:val="auto"/>
            <w:u w:val="none"/>
          </w:rPr>
          <w:t>www.ait.ac.at</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Společnost Joanneum Research– </w:t>
      </w:r>
      <w:hyperlink r:id="rId89" w:history="1">
        <w:r w:rsidRPr="00062D2F">
          <w:rPr>
            <w:rStyle w:val="Hyperlink"/>
            <w:rFonts w:cs="Arial"/>
            <w:color w:val="auto"/>
            <w:u w:val="none"/>
          </w:rPr>
          <w:t>www.joanneum.at</w:t>
        </w:r>
      </w:hyperlink>
    </w:p>
    <w:p w:rsidR="005A63D9" w:rsidRPr="00062D2F" w:rsidRDefault="005A63D9" w:rsidP="00062D2F">
      <w:pPr>
        <w:pStyle w:val="ListParagraph"/>
        <w:numPr>
          <w:ilvl w:val="0"/>
          <w:numId w:val="86"/>
        </w:numPr>
        <w:spacing w:afterLines="0"/>
        <w:ind w:left="850" w:hanging="493"/>
        <w:contextualSpacing w:val="0"/>
        <w:rPr>
          <w:lang w:val="de-LI"/>
        </w:rPr>
      </w:pPr>
      <w:r w:rsidRPr="00062D2F">
        <w:t xml:space="preserve">Ústav pro vodu, energie a udržitelnost – </w:t>
      </w:r>
      <w:hyperlink r:id="rId90" w:history="1">
        <w:r w:rsidRPr="00062D2F">
          <w:rPr>
            <w:rStyle w:val="Hyperlink"/>
            <w:rFonts w:cs="Arial"/>
            <w:color w:val="auto"/>
            <w:u w:val="none"/>
          </w:rPr>
          <w:t>www.joanneum.at/resources.html</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t xml:space="preserve">Centrum pro klima, energii a společnost – </w:t>
      </w:r>
      <w:hyperlink r:id="rId91" w:history="1">
        <w:r w:rsidRPr="00062D2F">
          <w:rPr>
            <w:rStyle w:val="Hyperlink"/>
            <w:rFonts w:cs="Arial"/>
            <w:color w:val="auto"/>
            <w:u w:val="none"/>
          </w:rPr>
          <w:t>www.joanneum.at/live.html</w:t>
        </w:r>
      </w:hyperlink>
    </w:p>
    <w:p w:rsidR="005A63D9" w:rsidRPr="00062D2F" w:rsidRDefault="005A63D9" w:rsidP="00062D2F">
      <w:pPr>
        <w:spacing w:afterLines="0"/>
      </w:pPr>
    </w:p>
    <w:p w:rsidR="005A63D9" w:rsidRPr="00062D2F" w:rsidRDefault="005A63D9" w:rsidP="00062D2F">
      <w:pPr>
        <w:spacing w:afterLines="0"/>
      </w:pPr>
      <w:r w:rsidRPr="00062D2F">
        <w:rPr>
          <w:b/>
        </w:rPr>
        <w:t>Švýcarsko</w:t>
      </w:r>
    </w:p>
    <w:p w:rsidR="005A63D9" w:rsidRPr="00062D2F" w:rsidRDefault="005A63D9" w:rsidP="00062D2F">
      <w:pPr>
        <w:pStyle w:val="ListParagraph"/>
        <w:numPr>
          <w:ilvl w:val="0"/>
          <w:numId w:val="86"/>
        </w:numPr>
        <w:spacing w:afterLines="0"/>
        <w:ind w:left="850" w:hanging="493"/>
        <w:contextualSpacing w:val="0"/>
      </w:pPr>
      <w:r w:rsidRPr="00062D2F">
        <w:t xml:space="preserve">Spolkové ministerstvo pro hospodářství vzdělání a výzkum, WBF – </w:t>
      </w:r>
      <w:hyperlink r:id="rId92" w:history="1">
        <w:r w:rsidRPr="00062D2F">
          <w:rPr>
            <w:rStyle w:val="Hyperlink"/>
            <w:rFonts w:cs="Arial"/>
            <w:color w:val="auto"/>
            <w:u w:val="none"/>
          </w:rPr>
          <w:t>www.wbf.admin.ch</w:t>
        </w:r>
      </w:hyperlink>
      <w:r w:rsidRPr="00062D2F">
        <w:t xml:space="preserve">, </w:t>
      </w:r>
    </w:p>
    <w:p w:rsidR="005A63D9" w:rsidRPr="00062D2F" w:rsidRDefault="005A63D9" w:rsidP="00062D2F">
      <w:pPr>
        <w:pStyle w:val="ListParagraph"/>
        <w:numPr>
          <w:ilvl w:val="0"/>
          <w:numId w:val="86"/>
        </w:numPr>
        <w:spacing w:afterLines="0"/>
        <w:ind w:left="850" w:hanging="493"/>
        <w:contextualSpacing w:val="0"/>
      </w:pPr>
      <w:r w:rsidRPr="00062D2F">
        <w:t xml:space="preserve">Švýcarské ministerstvo pro životní prostředí, dopravu, energii a komunikace (UVEK) – </w:t>
      </w:r>
      <w:hyperlink r:id="rId93" w:history="1">
        <w:r w:rsidRPr="00062D2F">
          <w:rPr>
            <w:rStyle w:val="Hyperlink"/>
            <w:rFonts w:cs="Arial"/>
            <w:color w:val="auto"/>
            <w:u w:val="none"/>
          </w:rPr>
          <w:t>www.uvek.admin.ch</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 xml:space="preserve">Sekretariát pro vzdělání, výzkum a inovace – </w:t>
      </w:r>
      <w:hyperlink r:id="rId94" w:history="1">
        <w:r w:rsidRPr="00062D2F">
          <w:rPr>
            <w:rStyle w:val="Hyperlink"/>
            <w:rFonts w:cs="Arial"/>
            <w:color w:val="auto"/>
            <w:u w:val="none"/>
          </w:rPr>
          <w:t>www.sbfi.admin.ch</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 xml:space="preserve">Komise pro technologie a inovace – </w:t>
      </w:r>
      <w:hyperlink r:id="rId95" w:history="1">
        <w:r w:rsidRPr="00062D2F">
          <w:rPr>
            <w:rStyle w:val="Hyperlink"/>
            <w:rFonts w:cs="Arial"/>
            <w:color w:val="auto"/>
            <w:u w:val="none"/>
          </w:rPr>
          <w:t>www.kti.admin.ch</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Spolkový úřad pro statistiku (</w:t>
      </w:r>
      <w:hyperlink r:id="rId96" w:history="1">
        <w:r w:rsidRPr="00062D2F">
          <w:rPr>
            <w:rStyle w:val="Hyperlink"/>
            <w:rFonts w:cs="Arial"/>
            <w:color w:val="auto"/>
            <w:u w:val="none"/>
          </w:rPr>
          <w:t>www.bfs.admin.ch</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 xml:space="preserve">Spolkový úřad pro životní prostředí (Bundesamt für Umwelt – </w:t>
      </w:r>
      <w:hyperlink r:id="rId97" w:history="1">
        <w:r w:rsidRPr="00062D2F">
          <w:rPr>
            <w:rStyle w:val="Hyperlink"/>
            <w:rFonts w:cs="Arial"/>
            <w:color w:val="auto"/>
            <w:u w:val="none"/>
            <w:lang w:val="de-LI"/>
          </w:rPr>
          <w:t>www.bafu.admin.ch</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 xml:space="preserve">Švýcarský národní fondu pro vědecký výzkum (SNF) – </w:t>
      </w:r>
      <w:hyperlink r:id="rId98" w:history="1">
        <w:r w:rsidRPr="00062D2F">
          <w:rPr>
            <w:rStyle w:val="Hyperlink"/>
            <w:rFonts w:cs="Arial"/>
            <w:color w:val="auto"/>
            <w:u w:val="none"/>
          </w:rPr>
          <w:t>www.snf.ch</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Oblast ETH (Švýcarských technických vysokých škol) – </w:t>
      </w:r>
      <w:hyperlink r:id="rId99" w:history="1">
        <w:r w:rsidRPr="00062D2F">
          <w:rPr>
            <w:rStyle w:val="Hyperlink"/>
            <w:rFonts w:cs="Arial"/>
            <w:color w:val="auto"/>
            <w:u w:val="none"/>
          </w:rPr>
          <w:t>www.ethrat.de</w:t>
        </w:r>
      </w:hyperlink>
      <w:r w:rsidRPr="00062D2F">
        <w:t>.</w:t>
      </w:r>
    </w:p>
    <w:p w:rsidR="005A63D9" w:rsidRPr="00062D2F" w:rsidRDefault="005A63D9" w:rsidP="00062D2F">
      <w:pPr>
        <w:pStyle w:val="ListParagraph"/>
        <w:numPr>
          <w:ilvl w:val="0"/>
          <w:numId w:val="86"/>
        </w:numPr>
        <w:spacing w:afterLines="0"/>
        <w:ind w:left="850" w:hanging="493"/>
        <w:contextualSpacing w:val="0"/>
      </w:pPr>
      <w:r w:rsidRPr="00062D2F">
        <w:t xml:space="preserve">Švýcarská (Eidgenössische) technická vysoká škola Curych – </w:t>
      </w:r>
      <w:hyperlink r:id="rId100" w:history="1">
        <w:r w:rsidRPr="00062D2F">
          <w:rPr>
            <w:rStyle w:val="Hyperlink"/>
            <w:rFonts w:cs="Arial"/>
            <w:color w:val="auto"/>
            <w:u w:val="none"/>
          </w:rPr>
          <w:t>www.ethz.ch</w:t>
        </w:r>
      </w:hyperlink>
    </w:p>
    <w:p w:rsidR="005A63D9" w:rsidRPr="00062D2F" w:rsidRDefault="005A63D9" w:rsidP="00062D2F">
      <w:pPr>
        <w:pStyle w:val="ListParagraph"/>
        <w:numPr>
          <w:ilvl w:val="0"/>
          <w:numId w:val="86"/>
        </w:numPr>
        <w:spacing w:afterLines="0"/>
        <w:ind w:left="850" w:hanging="493"/>
        <w:contextualSpacing w:val="0"/>
      </w:pPr>
      <w:r w:rsidRPr="00062D2F">
        <w:rPr>
          <w:lang w:eastAsia="cs-CZ"/>
        </w:rPr>
        <w:t xml:space="preserve">Department stavebnictví, životního prostředí a geomatiky– </w:t>
      </w:r>
      <w:hyperlink r:id="rId101" w:history="1">
        <w:r w:rsidRPr="00062D2F">
          <w:rPr>
            <w:rStyle w:val="Hyperlink"/>
            <w:rFonts w:cs="Arial"/>
            <w:color w:val="auto"/>
            <w:u w:val="none"/>
          </w:rPr>
          <w:t>www.baug.ethz.ch</w:t>
        </w:r>
      </w:hyperlink>
    </w:p>
    <w:p w:rsidR="005A63D9" w:rsidRPr="00062D2F" w:rsidRDefault="005A63D9" w:rsidP="00062D2F">
      <w:pPr>
        <w:pStyle w:val="ListParagraph"/>
        <w:numPr>
          <w:ilvl w:val="0"/>
          <w:numId w:val="86"/>
        </w:numPr>
        <w:spacing w:afterLines="0"/>
        <w:ind w:left="850" w:hanging="493"/>
        <w:contextualSpacing w:val="0"/>
      </w:pPr>
      <w:r w:rsidRPr="00062D2F">
        <w:rPr>
          <w:lang w:eastAsia="cs-CZ"/>
        </w:rPr>
        <w:t xml:space="preserve">Department věd o systému životního prostředí – </w:t>
      </w:r>
      <w:hyperlink r:id="rId102" w:history="1">
        <w:r w:rsidRPr="00062D2F">
          <w:rPr>
            <w:rStyle w:val="Hyperlink"/>
            <w:rFonts w:cs="Arial"/>
            <w:color w:val="auto"/>
            <w:u w:val="none"/>
          </w:rPr>
          <w:t>www.usys.ethz.ch</w:t>
        </w:r>
      </w:hyperlink>
      <w:r w:rsidRPr="00062D2F">
        <w:rPr>
          <w:lang w:eastAsia="cs-CZ"/>
        </w:rPr>
        <w:t>:</w:t>
      </w:r>
    </w:p>
    <w:p w:rsidR="005A63D9" w:rsidRPr="00062D2F" w:rsidRDefault="005A63D9" w:rsidP="00062D2F">
      <w:pPr>
        <w:pStyle w:val="ListParagraph"/>
        <w:numPr>
          <w:ilvl w:val="0"/>
          <w:numId w:val="86"/>
        </w:numPr>
        <w:spacing w:afterLines="0"/>
        <w:ind w:left="850" w:hanging="493"/>
        <w:contextualSpacing w:val="0"/>
      </w:pPr>
      <w:r w:rsidRPr="00062D2F">
        <w:t xml:space="preserve">Švýcarská (Eidgenössische) technická vysoká </w:t>
      </w:r>
      <w:r>
        <w:t xml:space="preserve">škola </w:t>
      </w:r>
      <w:r w:rsidRPr="00062D2F">
        <w:t xml:space="preserve">Lausanne – </w:t>
      </w:r>
      <w:hyperlink r:id="rId103" w:history="1">
        <w:r w:rsidRPr="00062D2F">
          <w:rPr>
            <w:rStyle w:val="Hyperlink"/>
            <w:rFonts w:cs="Arial"/>
            <w:color w:val="auto"/>
            <w:u w:val="none"/>
          </w:rPr>
          <w:t>www.epfl.ch</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Institut Paul Scherrera, PSI – </w:t>
      </w:r>
      <w:hyperlink r:id="rId104" w:history="1">
        <w:r w:rsidRPr="00062D2F">
          <w:rPr>
            <w:rStyle w:val="Hyperlink"/>
            <w:rFonts w:cs="Arial"/>
            <w:color w:val="auto"/>
            <w:u w:val="none"/>
          </w:rPr>
          <w:t>www.psi.ch</w:t>
        </w:r>
      </w:hyperlink>
    </w:p>
    <w:p w:rsidR="005A63D9" w:rsidRPr="00062D2F" w:rsidRDefault="005A63D9" w:rsidP="00062D2F">
      <w:pPr>
        <w:pStyle w:val="ListParagraph"/>
        <w:numPr>
          <w:ilvl w:val="0"/>
          <w:numId w:val="86"/>
        </w:numPr>
        <w:spacing w:afterLines="0"/>
        <w:ind w:left="850" w:hanging="493"/>
        <w:contextualSpacing w:val="0"/>
      </w:pPr>
      <w:r w:rsidRPr="00062D2F">
        <w:t>Švýcarské výzkumné zařízení pro les, sníh a venkovní krajinu (WSL) –</w:t>
      </w:r>
      <w:r>
        <w:t xml:space="preserve"> </w:t>
      </w:r>
      <w:hyperlink r:id="rId105" w:history="1">
        <w:r w:rsidRPr="00062D2F">
          <w:rPr>
            <w:rStyle w:val="Hyperlink"/>
            <w:rFonts w:cs="Arial"/>
            <w:color w:val="auto"/>
            <w:u w:val="none"/>
          </w:rPr>
          <w:t>www.wsl.ch</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Švýcarské výzkumné a zkušební zařízení pro materiály (EMPA) – </w:t>
      </w:r>
      <w:hyperlink r:id="rId106" w:history="1">
        <w:r w:rsidRPr="00062D2F">
          <w:rPr>
            <w:rStyle w:val="Hyperlink"/>
            <w:rFonts w:cs="Arial"/>
            <w:color w:val="auto"/>
            <w:u w:val="none"/>
          </w:rPr>
          <w:t>www.empa.ch</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Švýcarský institut pro zásobování vodou, čištění odpadních vod a ochranu spodních vod – </w:t>
      </w:r>
      <w:hyperlink r:id="rId107" w:history="1">
        <w:r w:rsidRPr="00062D2F">
          <w:rPr>
            <w:rStyle w:val="Hyperlink"/>
            <w:rFonts w:cs="Arial"/>
            <w:color w:val="auto"/>
            <w:u w:val="none"/>
          </w:rPr>
          <w:t>www.eawag.ch</w:t>
        </w:r>
      </w:hyperlink>
    </w:p>
    <w:p w:rsidR="005A63D9" w:rsidRPr="00062D2F" w:rsidRDefault="005A63D9" w:rsidP="00062D2F">
      <w:pPr>
        <w:spacing w:afterLines="0"/>
        <w:ind w:left="851" w:hanging="491"/>
      </w:pPr>
    </w:p>
    <w:p w:rsidR="005A63D9" w:rsidRPr="00062D2F" w:rsidRDefault="005A63D9" w:rsidP="00062D2F">
      <w:pPr>
        <w:spacing w:afterLines="0"/>
      </w:pPr>
      <w:r w:rsidRPr="00062D2F">
        <w:rPr>
          <w:b/>
        </w:rPr>
        <w:t>Německo</w:t>
      </w:r>
    </w:p>
    <w:p w:rsidR="005A63D9" w:rsidRPr="00062D2F" w:rsidRDefault="005A63D9" w:rsidP="00062D2F">
      <w:pPr>
        <w:pStyle w:val="ListParagraph"/>
        <w:numPr>
          <w:ilvl w:val="0"/>
          <w:numId w:val="86"/>
        </w:numPr>
        <w:spacing w:afterLines="0"/>
        <w:ind w:left="851" w:hanging="491"/>
        <w:contextualSpacing w:val="0"/>
      </w:pPr>
      <w:r w:rsidRPr="00062D2F">
        <w:t xml:space="preserve">Spolkové ministerstvo pro vzdělání a výzkum BMBF – </w:t>
      </w:r>
      <w:hyperlink r:id="rId108" w:history="1">
        <w:r w:rsidRPr="00062D2F">
          <w:rPr>
            <w:rStyle w:val="Hyperlink"/>
            <w:rFonts w:cs="Arial"/>
            <w:color w:val="auto"/>
            <w:u w:val="none"/>
          </w:rPr>
          <w:t>www.bmbf.de</w:t>
        </w:r>
      </w:hyperlink>
    </w:p>
    <w:p w:rsidR="005A63D9" w:rsidRPr="00062D2F" w:rsidRDefault="005A63D9" w:rsidP="00062D2F">
      <w:pPr>
        <w:pStyle w:val="ListParagraph"/>
        <w:numPr>
          <w:ilvl w:val="0"/>
          <w:numId w:val="86"/>
        </w:numPr>
        <w:spacing w:afterLines="0"/>
        <w:ind w:left="851" w:hanging="491"/>
        <w:contextualSpacing w:val="0"/>
      </w:pPr>
      <w:r w:rsidRPr="00062D2F">
        <w:t xml:space="preserve">Spolkové ministerstvo pro hospodářství a technologie BMWi – </w:t>
      </w:r>
      <w:hyperlink r:id="rId109" w:history="1">
        <w:r w:rsidRPr="00062D2F">
          <w:rPr>
            <w:rStyle w:val="Hyperlink"/>
            <w:rFonts w:cs="Arial"/>
            <w:color w:val="auto"/>
            <w:u w:val="none"/>
          </w:rPr>
          <w:t>www.bmwi.de</w:t>
        </w:r>
      </w:hyperlink>
    </w:p>
    <w:p w:rsidR="005A63D9" w:rsidRPr="00062D2F" w:rsidRDefault="005A63D9" w:rsidP="00062D2F">
      <w:pPr>
        <w:pStyle w:val="ListParagraph"/>
        <w:numPr>
          <w:ilvl w:val="0"/>
          <w:numId w:val="86"/>
        </w:numPr>
        <w:spacing w:afterLines="0"/>
        <w:ind w:left="851" w:hanging="491"/>
        <w:contextualSpacing w:val="0"/>
      </w:pPr>
      <w:r w:rsidRPr="00062D2F">
        <w:t xml:space="preserve">Spolkové ministerstvo pro životní prostředí, </w:t>
      </w:r>
      <w:r>
        <w:t xml:space="preserve">ochranu přírody, stavebnictví a </w:t>
      </w:r>
      <w:r w:rsidRPr="00062D2F">
        <w:t xml:space="preserve">bezpečnost reaktorů – </w:t>
      </w:r>
      <w:hyperlink r:id="rId110" w:history="1">
        <w:r w:rsidRPr="00062D2F">
          <w:rPr>
            <w:rStyle w:val="Hyperlink"/>
            <w:rFonts w:cs="Arial"/>
            <w:color w:val="auto"/>
            <w:u w:val="none"/>
          </w:rPr>
          <w:t>www.bmub.bund.de</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t xml:space="preserve">Společnost Maxe Plancka – </w:t>
      </w:r>
      <w:hyperlink r:id="rId111" w:history="1">
        <w:r w:rsidRPr="00062D2F">
          <w:rPr>
            <w:rStyle w:val="Hyperlink"/>
            <w:rFonts w:cs="Arial"/>
            <w:color w:val="auto"/>
            <w:u w:val="none"/>
          </w:rPr>
          <w:t>www.mpg.de</w:t>
        </w:r>
      </w:hyperlink>
    </w:p>
    <w:p w:rsidR="005A63D9" w:rsidRPr="00062D2F" w:rsidRDefault="005A63D9" w:rsidP="00062D2F">
      <w:pPr>
        <w:pStyle w:val="ListParagraph"/>
        <w:numPr>
          <w:ilvl w:val="0"/>
          <w:numId w:val="86"/>
        </w:numPr>
        <w:spacing w:afterLines="0"/>
        <w:ind w:left="851" w:hanging="491"/>
        <w:contextualSpacing w:val="0"/>
      </w:pPr>
      <w:r w:rsidRPr="00062D2F">
        <w:t>Ústav Maxe Plancka pro chemickou ekologii</w:t>
      </w:r>
      <w:r w:rsidRPr="00062D2F">
        <w:rPr>
          <w:b/>
        </w:rPr>
        <w:t xml:space="preserve"> </w:t>
      </w:r>
      <w:r w:rsidRPr="00062D2F">
        <w:t xml:space="preserve">– </w:t>
      </w:r>
      <w:hyperlink r:id="rId112" w:history="1">
        <w:r w:rsidRPr="00062D2F">
          <w:rPr>
            <w:rStyle w:val="Hyperlink"/>
            <w:rFonts w:cs="Arial"/>
            <w:color w:val="auto"/>
            <w:u w:val="none"/>
          </w:rPr>
          <w:t>www.ice.mpg.de</w:t>
        </w:r>
      </w:hyperlink>
    </w:p>
    <w:p w:rsidR="005A63D9" w:rsidRPr="00062D2F" w:rsidRDefault="005A63D9" w:rsidP="00062D2F">
      <w:pPr>
        <w:pStyle w:val="ListParagraph"/>
        <w:numPr>
          <w:ilvl w:val="0"/>
          <w:numId w:val="86"/>
        </w:numPr>
        <w:spacing w:afterLines="0"/>
        <w:ind w:left="851" w:hanging="491"/>
        <w:contextualSpacing w:val="0"/>
      </w:pPr>
      <w:r w:rsidRPr="00062D2F">
        <w:t xml:space="preserve">Fraunhoferova společnost – </w:t>
      </w:r>
      <w:hyperlink r:id="rId113" w:history="1">
        <w:r w:rsidRPr="00062D2F">
          <w:rPr>
            <w:rStyle w:val="Hyperlink"/>
            <w:rFonts w:cs="Arial"/>
            <w:color w:val="auto"/>
            <w:u w:val="none"/>
          </w:rPr>
          <w:t>www.fhg.de</w:t>
        </w:r>
      </w:hyperlink>
    </w:p>
    <w:p w:rsidR="005A63D9" w:rsidRPr="00062D2F" w:rsidRDefault="005A63D9" w:rsidP="00062D2F">
      <w:pPr>
        <w:pStyle w:val="ListParagraph"/>
        <w:numPr>
          <w:ilvl w:val="0"/>
          <w:numId w:val="86"/>
        </w:numPr>
        <w:spacing w:afterLines="0"/>
        <w:ind w:left="851" w:hanging="491"/>
        <w:contextualSpacing w:val="0"/>
        <w:rPr>
          <w:bCs/>
        </w:rPr>
      </w:pPr>
      <w:r w:rsidRPr="00062D2F">
        <w:t>Fraunhoferův ústav pro molekulární biologii a aplikovanou ekologii</w:t>
      </w:r>
      <w:r w:rsidRPr="00062D2F">
        <w:rPr>
          <w:b/>
        </w:rPr>
        <w:t xml:space="preserve"> </w:t>
      </w:r>
      <w:r w:rsidRPr="00062D2F">
        <w:rPr>
          <w:bCs/>
        </w:rPr>
        <w:t xml:space="preserve">– </w:t>
      </w:r>
      <w:hyperlink r:id="rId114" w:history="1">
        <w:r w:rsidRPr="00062D2F">
          <w:rPr>
            <w:rStyle w:val="Hyperlink"/>
            <w:rFonts w:cs="Arial"/>
            <w:bCs/>
            <w:color w:val="auto"/>
            <w:u w:val="none"/>
          </w:rPr>
          <w:t>www.ime.fraunhofer.de</w:t>
        </w:r>
      </w:hyperlink>
    </w:p>
    <w:p w:rsidR="005A63D9" w:rsidRPr="00062D2F" w:rsidRDefault="005A63D9" w:rsidP="00062D2F">
      <w:pPr>
        <w:pStyle w:val="ListParagraph"/>
        <w:numPr>
          <w:ilvl w:val="0"/>
          <w:numId w:val="86"/>
        </w:numPr>
        <w:spacing w:afterLines="0"/>
        <w:ind w:left="851" w:hanging="491"/>
        <w:contextualSpacing w:val="0"/>
      </w:pPr>
      <w:r w:rsidRPr="00062D2F">
        <w:t>Fraunhoferův ústav pro technologie a techniku životního prostředí, bezpečnosti a energetických systémů</w:t>
      </w:r>
      <w:r w:rsidRPr="00062D2F">
        <w:rPr>
          <w:b/>
        </w:rPr>
        <w:t xml:space="preserve"> </w:t>
      </w:r>
      <w:r w:rsidRPr="00062D2F">
        <w:t xml:space="preserve">– </w:t>
      </w:r>
      <w:hyperlink r:id="rId115" w:history="1">
        <w:r w:rsidRPr="00062D2F">
          <w:rPr>
            <w:rStyle w:val="Hyperlink"/>
            <w:rFonts w:cs="Arial"/>
            <w:color w:val="auto"/>
            <w:u w:val="none"/>
          </w:rPr>
          <w:t>www.umsicht.fraunhofer.de</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t>Helmholtzovo společenství (Helmholtz Gemeinschaft</w:t>
      </w:r>
      <w:r w:rsidRPr="00062D2F">
        <w:rPr>
          <w:b/>
        </w:rPr>
        <w:t xml:space="preserve"> – </w:t>
      </w:r>
      <w:hyperlink r:id="rId116" w:history="1">
        <w:r w:rsidRPr="00062D2F">
          <w:rPr>
            <w:rStyle w:val="Hyperlink"/>
            <w:rFonts w:cs="Arial"/>
            <w:color w:val="auto"/>
            <w:u w:val="none"/>
          </w:rPr>
          <w:t>www.hgf.de</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t>Ústav Alfréda Wegenera – Helmholtzovo centrum pro polární výzkum a výzkum moří</w:t>
      </w:r>
      <w:r w:rsidRPr="00062D2F">
        <w:rPr>
          <w:b/>
        </w:rPr>
        <w:t xml:space="preserve"> </w:t>
      </w:r>
      <w:r w:rsidRPr="00062D2F">
        <w:t xml:space="preserve">– </w:t>
      </w:r>
      <w:hyperlink r:id="rId117" w:history="1">
        <w:r w:rsidRPr="00062D2F">
          <w:rPr>
            <w:rStyle w:val="Hyperlink"/>
            <w:rFonts w:cs="Arial"/>
            <w:color w:val="auto"/>
            <w:u w:val="none"/>
          </w:rPr>
          <w:t>www.awi.de</w:t>
        </w:r>
      </w:hyperlink>
    </w:p>
    <w:p w:rsidR="005A63D9" w:rsidRPr="00062D2F" w:rsidRDefault="005A63D9" w:rsidP="00062D2F">
      <w:pPr>
        <w:pStyle w:val="ListParagraph"/>
        <w:numPr>
          <w:ilvl w:val="0"/>
          <w:numId w:val="86"/>
        </w:numPr>
        <w:spacing w:afterLines="0"/>
        <w:ind w:left="851" w:hanging="491"/>
        <w:contextualSpacing w:val="0"/>
      </w:pPr>
      <w:r w:rsidRPr="00062D2F">
        <w:t xml:space="preserve">Helmholtzovo centrum pro výzkum životního prostředí – </w:t>
      </w:r>
      <w:hyperlink r:id="rId118" w:history="1">
        <w:r w:rsidRPr="00062D2F">
          <w:rPr>
            <w:rStyle w:val="Hyperlink"/>
            <w:rFonts w:cs="Arial"/>
            <w:color w:val="auto"/>
            <w:u w:val="none"/>
          </w:rPr>
          <w:t>www.ufz.de</w:t>
        </w:r>
      </w:hyperlink>
      <w:r w:rsidRPr="00062D2F">
        <w:t>)</w:t>
      </w:r>
    </w:p>
    <w:p w:rsidR="005A63D9" w:rsidRPr="00062D2F" w:rsidRDefault="005A63D9" w:rsidP="00062D2F">
      <w:pPr>
        <w:pStyle w:val="ListParagraph"/>
        <w:numPr>
          <w:ilvl w:val="0"/>
          <w:numId w:val="86"/>
        </w:numPr>
        <w:spacing w:afterLines="0"/>
        <w:ind w:left="851" w:hanging="491"/>
        <w:contextualSpacing w:val="0"/>
      </w:pPr>
      <w:r w:rsidRPr="00062D2F">
        <w:t xml:space="preserve">Helmholtzovo centrum Mnichov – Německé výzkumné centrum pro zdraví a životní prostředí – </w:t>
      </w:r>
      <w:hyperlink r:id="rId119" w:history="1">
        <w:r w:rsidRPr="00062D2F">
          <w:rPr>
            <w:rStyle w:val="Hyperlink"/>
            <w:rFonts w:cs="Arial"/>
            <w:color w:val="auto"/>
            <w:u w:val="none"/>
          </w:rPr>
          <w:t>www.helmholtz-muenchen.de</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t xml:space="preserve">Leibnizovo společenství – </w:t>
      </w:r>
      <w:hyperlink r:id="rId120" w:history="1">
        <w:r w:rsidRPr="00062D2F">
          <w:rPr>
            <w:rStyle w:val="Hyperlink"/>
            <w:rFonts w:cs="Arial"/>
            <w:color w:val="auto"/>
            <w:u w:val="none"/>
          </w:rPr>
          <w:t>www.leibniz-gemeinschaft.de</w:t>
        </w:r>
      </w:hyperlink>
    </w:p>
    <w:p w:rsidR="005A63D9" w:rsidRPr="00062D2F" w:rsidRDefault="005A63D9" w:rsidP="00062D2F">
      <w:pPr>
        <w:pStyle w:val="ListParagraph"/>
        <w:numPr>
          <w:ilvl w:val="0"/>
          <w:numId w:val="86"/>
        </w:numPr>
        <w:spacing w:afterLines="0"/>
        <w:ind w:left="851" w:hanging="491"/>
        <w:contextualSpacing w:val="0"/>
        <w:rPr>
          <w:lang w:val="de-LI"/>
        </w:rPr>
      </w:pPr>
      <w:r w:rsidRPr="00062D2F">
        <w:rPr>
          <w:lang w:eastAsia="cs-CZ"/>
        </w:rPr>
        <w:t>Leibnizův ústav sladkovodní ekologie a vnitrozemského</w:t>
      </w:r>
      <w:r w:rsidRPr="00062D2F">
        <w:rPr>
          <w:b/>
          <w:lang w:eastAsia="cs-CZ"/>
        </w:rPr>
        <w:t xml:space="preserve"> rybolovu –</w:t>
      </w:r>
      <w:r w:rsidRPr="00062D2F">
        <w:rPr>
          <w:lang w:eastAsia="cs-CZ"/>
        </w:rPr>
        <w:t xml:space="preserve"> </w:t>
      </w:r>
      <w:hyperlink r:id="rId121" w:history="1">
        <w:r w:rsidRPr="00062D2F">
          <w:rPr>
            <w:rStyle w:val="Hyperlink"/>
            <w:rFonts w:cs="Arial"/>
            <w:bCs/>
            <w:color w:val="auto"/>
            <w:u w:val="none"/>
            <w:lang w:eastAsia="cs-CZ"/>
          </w:rPr>
          <w:t>www.igb-berlin.de</w:t>
        </w:r>
      </w:hyperlink>
    </w:p>
    <w:p w:rsidR="005A63D9" w:rsidRPr="00062D2F" w:rsidRDefault="005A63D9" w:rsidP="00062D2F">
      <w:pPr>
        <w:pStyle w:val="ListParagraph"/>
        <w:numPr>
          <w:ilvl w:val="0"/>
          <w:numId w:val="86"/>
        </w:numPr>
        <w:spacing w:afterLines="0"/>
        <w:ind w:left="851" w:hanging="491"/>
        <w:contextualSpacing w:val="0"/>
      </w:pPr>
      <w:r w:rsidRPr="00062D2F">
        <w:rPr>
          <w:lang w:eastAsia="cs-CZ"/>
        </w:rPr>
        <w:t xml:space="preserve">Potsdamský ústav pro změny klimatu – </w:t>
      </w:r>
      <w:hyperlink r:id="rId122" w:history="1">
        <w:r w:rsidRPr="00062D2F">
          <w:rPr>
            <w:rStyle w:val="Hyperlink"/>
            <w:rFonts w:cs="Arial"/>
            <w:bCs/>
            <w:color w:val="auto"/>
            <w:u w:val="none"/>
            <w:lang w:eastAsia="cs-CZ"/>
          </w:rPr>
          <w:t>www.pik-potsdam.de</w:t>
        </w:r>
      </w:hyperlink>
    </w:p>
    <w:p w:rsidR="005A63D9" w:rsidRPr="00062D2F" w:rsidRDefault="005A63D9" w:rsidP="00062D2F">
      <w:pPr>
        <w:pStyle w:val="ListParagraph"/>
        <w:numPr>
          <w:ilvl w:val="0"/>
          <w:numId w:val="86"/>
        </w:numPr>
        <w:spacing w:afterLines="0"/>
        <w:ind w:left="851" w:hanging="491"/>
        <w:contextualSpacing w:val="0"/>
      </w:pPr>
      <w:r w:rsidRPr="00062D2F">
        <w:t xml:space="preserve">Německé výzkumné společenství – </w:t>
      </w:r>
      <w:hyperlink r:id="rId123" w:history="1">
        <w:r w:rsidRPr="00062D2F">
          <w:rPr>
            <w:rStyle w:val="Hyperlink"/>
            <w:rFonts w:cs="Arial"/>
            <w:color w:val="auto"/>
            <w:u w:val="none"/>
          </w:rPr>
          <w:t>www.dfg.de</w:t>
        </w:r>
      </w:hyperlink>
    </w:p>
    <w:p w:rsidR="005A63D9" w:rsidRPr="00062D2F" w:rsidRDefault="005A63D9" w:rsidP="00062D2F">
      <w:pPr>
        <w:spacing w:afterLines="0"/>
      </w:pPr>
    </w:p>
    <w:p w:rsidR="005A63D9" w:rsidRPr="00062D2F" w:rsidRDefault="005A63D9" w:rsidP="00062D2F">
      <w:pPr>
        <w:spacing w:afterLines="0"/>
        <w:rPr>
          <w:b/>
        </w:rPr>
      </w:pPr>
      <w:r w:rsidRPr="00062D2F">
        <w:rPr>
          <w:b/>
        </w:rPr>
        <w:t>Dánsko</w:t>
      </w:r>
    </w:p>
    <w:p w:rsidR="005A63D9" w:rsidRPr="00062D2F" w:rsidRDefault="005A63D9" w:rsidP="00062D2F">
      <w:pPr>
        <w:pStyle w:val="ListParagraph"/>
        <w:numPr>
          <w:ilvl w:val="0"/>
          <w:numId w:val="86"/>
        </w:numPr>
        <w:spacing w:afterLines="0"/>
        <w:ind w:left="850" w:hanging="493"/>
        <w:contextualSpacing w:val="0"/>
      </w:pPr>
      <w:r w:rsidRPr="00062D2F">
        <w:t xml:space="preserve">Ministerstvo pro vysokoškolské vzdělávání a vědu – </w:t>
      </w:r>
      <w:hyperlink r:id="rId124" w:history="1">
        <w:r w:rsidRPr="00062D2F">
          <w:rPr>
            <w:rStyle w:val="Hyperlink"/>
            <w:rFonts w:cs="Arial"/>
            <w:color w:val="auto"/>
            <w:u w:val="none"/>
          </w:rPr>
          <w:t>http://ufm.dk</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Ministerstvo pro životní prostředí a potraviny – </w:t>
      </w:r>
      <w:hyperlink r:id="rId125" w:history="1">
        <w:r w:rsidRPr="00062D2F">
          <w:rPr>
            <w:rStyle w:val="Hyperlink"/>
            <w:rFonts w:cs="Arial"/>
            <w:color w:val="auto"/>
            <w:u w:val="none"/>
          </w:rPr>
          <w:t>www.mfvm.dk</w:t>
        </w:r>
      </w:hyperlink>
    </w:p>
    <w:p w:rsidR="005A63D9" w:rsidRPr="00062D2F" w:rsidRDefault="005A63D9" w:rsidP="00062D2F">
      <w:pPr>
        <w:pStyle w:val="ListParagraph"/>
        <w:numPr>
          <w:ilvl w:val="0"/>
          <w:numId w:val="86"/>
        </w:numPr>
        <w:spacing w:afterLines="0"/>
        <w:ind w:left="850" w:hanging="493"/>
        <w:contextualSpacing w:val="0"/>
        <w:rPr>
          <w:lang w:val="de-LI"/>
        </w:rPr>
      </w:pPr>
      <w:r w:rsidRPr="00FA7281">
        <w:t xml:space="preserve">Dánský technologický institut </w:t>
      </w:r>
      <w:r w:rsidRPr="00062D2F">
        <w:rPr>
          <w:lang w:val="de-LI"/>
        </w:rPr>
        <w:t xml:space="preserve">– </w:t>
      </w:r>
      <w:hyperlink r:id="rId126" w:history="1">
        <w:r w:rsidRPr="00062D2F">
          <w:rPr>
            <w:rStyle w:val="Hyperlink"/>
            <w:rFonts w:cs="Arial"/>
            <w:color w:val="auto"/>
            <w:u w:val="none"/>
            <w:lang w:val="de-LI"/>
          </w:rPr>
          <w:t>www.dti.dk</w:t>
        </w:r>
      </w:hyperlink>
    </w:p>
    <w:p w:rsidR="005A63D9" w:rsidRPr="00062D2F" w:rsidRDefault="005A63D9" w:rsidP="00062D2F">
      <w:pPr>
        <w:pStyle w:val="ListParagraph"/>
        <w:numPr>
          <w:ilvl w:val="0"/>
          <w:numId w:val="86"/>
        </w:numPr>
        <w:spacing w:afterLines="0"/>
        <w:ind w:left="850" w:hanging="493"/>
        <w:contextualSpacing w:val="0"/>
      </w:pPr>
      <w:r w:rsidRPr="00FA7281">
        <w:t>Dánský institut pro vodu a životní</w:t>
      </w:r>
      <w:r w:rsidRPr="00FA7281">
        <w:rPr>
          <w:b/>
        </w:rPr>
        <w:t xml:space="preserve"> </w:t>
      </w:r>
      <w:r w:rsidRPr="00FA7281">
        <w:t>prostředí</w:t>
      </w:r>
      <w:r w:rsidRPr="00062D2F">
        <w:rPr>
          <w:lang w:val="de-LI"/>
        </w:rPr>
        <w:t xml:space="preserve"> – </w:t>
      </w:r>
      <w:hyperlink r:id="rId127" w:history="1">
        <w:r w:rsidRPr="00062D2F">
          <w:rPr>
            <w:rStyle w:val="Hyperlink"/>
            <w:rFonts w:cs="Arial"/>
            <w:color w:val="auto"/>
            <w:u w:val="none"/>
            <w:lang w:val="de-LI"/>
          </w:rPr>
          <w:t>www.dhigroup.com</w:t>
        </w:r>
      </w:hyperlink>
    </w:p>
    <w:p w:rsidR="005A63D9" w:rsidRPr="00062D2F" w:rsidRDefault="005A63D9" w:rsidP="00062D2F">
      <w:pPr>
        <w:pStyle w:val="ListParagraph"/>
        <w:numPr>
          <w:ilvl w:val="0"/>
          <w:numId w:val="86"/>
        </w:numPr>
        <w:spacing w:afterLines="0"/>
        <w:ind w:left="850" w:hanging="493"/>
        <w:contextualSpacing w:val="0"/>
      </w:pPr>
      <w:r w:rsidRPr="00062D2F">
        <w:rPr>
          <w:rStyle w:val="hps"/>
        </w:rPr>
        <w:t xml:space="preserve">Inovační síť potravinářského sektoru – FoodNetwork – </w:t>
      </w:r>
      <w:hyperlink r:id="rId128" w:history="1">
        <w:r w:rsidRPr="00062D2F">
          <w:rPr>
            <w:rStyle w:val="Hyperlink"/>
            <w:rFonts w:cs="Arial"/>
            <w:color w:val="auto"/>
            <w:u w:val="none"/>
          </w:rPr>
          <w:t>www.foodnetwork.dk</w:t>
        </w:r>
      </w:hyperlink>
    </w:p>
    <w:p w:rsidR="005A63D9" w:rsidRPr="00062D2F" w:rsidRDefault="005A63D9" w:rsidP="00062D2F">
      <w:pPr>
        <w:pStyle w:val="ListParagraph"/>
        <w:numPr>
          <w:ilvl w:val="0"/>
          <w:numId w:val="86"/>
        </w:numPr>
        <w:spacing w:afterLines="0"/>
        <w:ind w:left="850" w:hanging="493"/>
        <w:contextualSpacing w:val="0"/>
        <w:rPr>
          <w:rStyle w:val="hps"/>
        </w:rPr>
      </w:pPr>
      <w:r w:rsidRPr="00062D2F">
        <w:rPr>
          <w:rStyle w:val="hps"/>
        </w:rPr>
        <w:t xml:space="preserve">Inovační síť pro biotechnologie – Biopeople – </w:t>
      </w:r>
      <w:hyperlink r:id="rId129" w:history="1">
        <w:r w:rsidRPr="00062D2F">
          <w:rPr>
            <w:rStyle w:val="Hyperlink"/>
            <w:rFonts w:cs="Arial"/>
            <w:color w:val="auto"/>
            <w:u w:val="none"/>
          </w:rPr>
          <w:t>www.biopopeople.dk</w:t>
        </w:r>
      </w:hyperlink>
    </w:p>
    <w:p w:rsidR="005A63D9" w:rsidRPr="00062D2F" w:rsidRDefault="005A63D9" w:rsidP="00062D2F">
      <w:pPr>
        <w:pStyle w:val="ListParagraph"/>
        <w:numPr>
          <w:ilvl w:val="0"/>
          <w:numId w:val="86"/>
        </w:numPr>
        <w:autoSpaceDE w:val="0"/>
        <w:autoSpaceDN w:val="0"/>
        <w:adjustRightInd w:val="0"/>
        <w:spacing w:afterLines="0"/>
        <w:ind w:left="850" w:hanging="493"/>
        <w:contextualSpacing w:val="0"/>
        <w:rPr>
          <w:rStyle w:val="hps"/>
        </w:rPr>
      </w:pPr>
      <w:r w:rsidRPr="00062D2F">
        <w:rPr>
          <w:rStyle w:val="hps"/>
        </w:rPr>
        <w:t xml:space="preserve">Inovační síť pro biomasu – </w:t>
      </w:r>
      <w:hyperlink r:id="rId130" w:history="1">
        <w:r w:rsidRPr="00062D2F">
          <w:rPr>
            <w:rStyle w:val="Hyperlink"/>
            <w:rFonts w:cs="Arial"/>
            <w:color w:val="auto"/>
            <w:u w:val="none"/>
          </w:rPr>
          <w:t>www.inbiom.dk</w:t>
        </w:r>
      </w:hyperlink>
    </w:p>
    <w:p w:rsidR="005A63D9" w:rsidRPr="00062D2F" w:rsidRDefault="005A63D9" w:rsidP="00062D2F">
      <w:pPr>
        <w:pStyle w:val="ListParagraph"/>
        <w:numPr>
          <w:ilvl w:val="0"/>
          <w:numId w:val="86"/>
        </w:numPr>
        <w:autoSpaceDE w:val="0"/>
        <w:autoSpaceDN w:val="0"/>
        <w:adjustRightInd w:val="0"/>
        <w:spacing w:afterLines="0"/>
        <w:ind w:left="850" w:hanging="493"/>
        <w:contextualSpacing w:val="0"/>
        <w:rPr>
          <w:rStyle w:val="hps"/>
        </w:rPr>
      </w:pPr>
      <w:r w:rsidRPr="00062D2F">
        <w:rPr>
          <w:rStyle w:val="hps"/>
        </w:rPr>
        <w:t xml:space="preserve">Inovační síť pro obnovitelné energie –VE-Net – </w:t>
      </w:r>
      <w:hyperlink r:id="rId131" w:history="1">
        <w:r w:rsidRPr="00062D2F">
          <w:rPr>
            <w:rStyle w:val="Hyperlink"/>
            <w:rFonts w:cs="Arial"/>
            <w:color w:val="auto"/>
            <w:u w:val="none"/>
          </w:rPr>
          <w:t>www.ve-net.dk</w:t>
        </w:r>
      </w:hyperlink>
      <w:r w:rsidRPr="00062D2F">
        <w:rPr>
          <w:rStyle w:val="hps"/>
        </w:rPr>
        <w:t xml:space="preserve">; </w:t>
      </w:r>
      <w:hyperlink r:id="rId132" w:history="1">
        <w:r w:rsidRPr="00062D2F">
          <w:rPr>
            <w:rStyle w:val="Hyperlink"/>
            <w:rFonts w:cs="Arial"/>
            <w:color w:val="auto"/>
            <w:u w:val="none"/>
          </w:rPr>
          <w:t>www.ve-net.com</w:t>
        </w:r>
      </w:hyperlink>
    </w:p>
    <w:p w:rsidR="005A63D9" w:rsidRPr="00062D2F" w:rsidRDefault="005A63D9" w:rsidP="00062D2F">
      <w:pPr>
        <w:pStyle w:val="ListParagraph"/>
        <w:numPr>
          <w:ilvl w:val="0"/>
          <w:numId w:val="86"/>
        </w:numPr>
        <w:autoSpaceDE w:val="0"/>
        <w:autoSpaceDN w:val="0"/>
        <w:adjustRightInd w:val="0"/>
        <w:spacing w:afterLines="0"/>
        <w:ind w:left="850" w:hanging="493"/>
        <w:contextualSpacing w:val="0"/>
        <w:rPr>
          <w:rStyle w:val="hps"/>
        </w:rPr>
      </w:pPr>
      <w:r w:rsidRPr="00062D2F">
        <w:rPr>
          <w:rStyle w:val="hps"/>
        </w:rPr>
        <w:t xml:space="preserve">Inovační síť národních partnerů pro vodu v městských prostředích – </w:t>
      </w:r>
      <w:hyperlink r:id="rId133" w:history="1">
        <w:r w:rsidRPr="00062D2F">
          <w:rPr>
            <w:rStyle w:val="Hyperlink"/>
            <w:rFonts w:cs="Arial"/>
            <w:color w:val="auto"/>
            <w:u w:val="none"/>
          </w:rPr>
          <w:t>www.vandiber.dk</w:t>
        </w:r>
      </w:hyperlink>
    </w:p>
    <w:p w:rsidR="005A63D9" w:rsidRPr="00062D2F" w:rsidRDefault="005A63D9" w:rsidP="00062D2F">
      <w:pPr>
        <w:pStyle w:val="ListParagraph"/>
        <w:numPr>
          <w:ilvl w:val="0"/>
          <w:numId w:val="86"/>
        </w:numPr>
        <w:spacing w:afterLines="0"/>
        <w:ind w:left="850" w:hanging="493"/>
        <w:contextualSpacing w:val="0"/>
      </w:pPr>
      <w:r w:rsidRPr="00062D2F">
        <w:t xml:space="preserve">Dánský statistický úřad (Statistics Denmark – </w:t>
      </w:r>
      <w:hyperlink r:id="rId134" w:history="1">
        <w:r w:rsidRPr="00062D2F">
          <w:rPr>
            <w:rStyle w:val="Hyperlink"/>
            <w:rFonts w:cs="Arial"/>
            <w:color w:val="auto"/>
            <w:u w:val="none"/>
          </w:rPr>
          <w:t>www.dst.dk</w:t>
        </w:r>
      </w:hyperlink>
    </w:p>
    <w:p w:rsidR="005A63D9" w:rsidRPr="00062D2F" w:rsidRDefault="005A63D9" w:rsidP="00062D2F">
      <w:pPr>
        <w:spacing w:afterLines="0"/>
        <w:rPr>
          <w:lang w:eastAsia="cs-CZ"/>
        </w:rPr>
      </w:pPr>
    </w:p>
    <w:p w:rsidR="005A63D9" w:rsidRPr="00062D2F" w:rsidRDefault="005A63D9" w:rsidP="00062D2F">
      <w:pPr>
        <w:spacing w:afterLines="0"/>
        <w:rPr>
          <w:b/>
          <w:lang w:eastAsia="cs-CZ"/>
        </w:rPr>
      </w:pPr>
      <w:r w:rsidRPr="00062D2F">
        <w:rPr>
          <w:b/>
          <w:lang w:eastAsia="cs-CZ"/>
        </w:rPr>
        <w:t>Velká Británie</w:t>
      </w:r>
    </w:p>
    <w:p w:rsidR="005A63D9" w:rsidRPr="00062D2F" w:rsidRDefault="005A63D9" w:rsidP="00062D2F">
      <w:pPr>
        <w:pStyle w:val="ListParagraph"/>
        <w:numPr>
          <w:ilvl w:val="0"/>
          <w:numId w:val="86"/>
        </w:numPr>
        <w:spacing w:afterLines="0"/>
        <w:ind w:left="851" w:hanging="425"/>
        <w:contextualSpacing w:val="0"/>
      </w:pPr>
      <w:r w:rsidRPr="00062D2F">
        <w:t xml:space="preserve">Ministerstvo pro podnikání, inovace a znalosti, DBIS – </w:t>
      </w:r>
      <w:hyperlink r:id="rId135" w:history="1">
        <w:r w:rsidRPr="00062D2F">
          <w:rPr>
            <w:rStyle w:val="Hyperlink"/>
            <w:rFonts w:cs="Arial"/>
            <w:color w:val="auto"/>
            <w:u w:val="none"/>
          </w:rPr>
          <w:t>www.bis.gov.uk</w:t>
        </w:r>
      </w:hyperlink>
    </w:p>
    <w:p w:rsidR="005A63D9" w:rsidRPr="00062D2F" w:rsidRDefault="005A63D9" w:rsidP="00062D2F">
      <w:pPr>
        <w:pStyle w:val="ListParagraph"/>
        <w:numPr>
          <w:ilvl w:val="0"/>
          <w:numId w:val="86"/>
        </w:numPr>
        <w:spacing w:afterLines="0"/>
        <w:ind w:left="851" w:hanging="425"/>
        <w:contextualSpacing w:val="0"/>
      </w:pPr>
      <w:r w:rsidRPr="00062D2F">
        <w:t xml:space="preserve">Rada pro vědu a technologie, CST – </w:t>
      </w:r>
      <w:hyperlink r:id="rId136" w:history="1">
        <w:r w:rsidRPr="00062D2F">
          <w:rPr>
            <w:rStyle w:val="Hyperlink"/>
            <w:rFonts w:cs="Arial"/>
            <w:color w:val="auto"/>
            <w:u w:val="none"/>
          </w:rPr>
          <w:t>www.gov.uk/cst</w:t>
        </w:r>
      </w:hyperlink>
    </w:p>
    <w:p w:rsidR="005A63D9" w:rsidRPr="00062D2F" w:rsidRDefault="005A63D9" w:rsidP="00062D2F">
      <w:pPr>
        <w:pStyle w:val="ListParagraph"/>
        <w:numPr>
          <w:ilvl w:val="0"/>
          <w:numId w:val="86"/>
        </w:numPr>
        <w:spacing w:afterLines="0"/>
        <w:ind w:left="851" w:hanging="425"/>
        <w:contextualSpacing w:val="0"/>
      </w:pPr>
      <w:r w:rsidRPr="00062D2F">
        <w:t xml:space="preserve">Výzkumné rady (Research Councils UK – </w:t>
      </w:r>
      <w:hyperlink r:id="rId137" w:history="1">
        <w:r w:rsidRPr="00062D2F">
          <w:rPr>
            <w:rStyle w:val="Hyperlink"/>
            <w:rFonts w:cs="Arial"/>
            <w:color w:val="auto"/>
            <w:u w:val="none"/>
          </w:rPr>
          <w:t>www.rcuk.ac.uk</w:t>
        </w:r>
      </w:hyperlink>
      <w:r w:rsidRPr="00062D2F">
        <w:t>.</w:t>
      </w:r>
    </w:p>
    <w:p w:rsidR="005A63D9" w:rsidRPr="00062D2F" w:rsidRDefault="005A63D9" w:rsidP="00062D2F">
      <w:pPr>
        <w:pStyle w:val="ListParagraph"/>
        <w:numPr>
          <w:ilvl w:val="0"/>
          <w:numId w:val="86"/>
        </w:numPr>
        <w:spacing w:afterLines="0"/>
        <w:ind w:left="851" w:hanging="425"/>
        <w:contextualSpacing w:val="0"/>
      </w:pPr>
      <w:r w:rsidRPr="00062D2F">
        <w:t xml:space="preserve">Rada pro výzkum životního prostředí, NERC – </w:t>
      </w:r>
      <w:hyperlink r:id="rId138" w:history="1">
        <w:r w:rsidRPr="00062D2F">
          <w:rPr>
            <w:rStyle w:val="Hyperlink"/>
            <w:rFonts w:cs="Arial"/>
            <w:color w:val="auto"/>
            <w:u w:val="none"/>
          </w:rPr>
          <w:t>www.nerc.ac.uk</w:t>
        </w:r>
      </w:hyperlink>
      <w:r w:rsidRPr="00062D2F">
        <w:t>)</w:t>
      </w:r>
    </w:p>
    <w:p w:rsidR="005A63D9" w:rsidRPr="00062D2F" w:rsidRDefault="005A63D9" w:rsidP="00062D2F">
      <w:pPr>
        <w:pStyle w:val="ListParagraph"/>
        <w:numPr>
          <w:ilvl w:val="0"/>
          <w:numId w:val="86"/>
        </w:numPr>
        <w:spacing w:afterLines="0"/>
        <w:ind w:left="851" w:hanging="425"/>
        <w:contextualSpacing w:val="0"/>
      </w:pPr>
      <w:r w:rsidRPr="00062D2F">
        <w:t xml:space="preserve">Ministerstvo pro životní prostředí, výživu a záležitosti venkova – </w:t>
      </w:r>
      <w:hyperlink r:id="rId139" w:history="1">
        <w:r w:rsidRPr="00062D2F">
          <w:rPr>
            <w:rStyle w:val="Hyperlink"/>
            <w:rFonts w:cs="Arial"/>
            <w:color w:val="auto"/>
            <w:u w:val="none"/>
          </w:rPr>
          <w:t>www.defra.gov.uk</w:t>
        </w:r>
      </w:hyperlink>
    </w:p>
    <w:p w:rsidR="005A63D9" w:rsidRPr="00062D2F" w:rsidRDefault="005A63D9" w:rsidP="00062D2F">
      <w:pPr>
        <w:pStyle w:val="ListParagraph"/>
        <w:numPr>
          <w:ilvl w:val="0"/>
          <w:numId w:val="86"/>
        </w:numPr>
        <w:spacing w:afterLines="0"/>
        <w:ind w:left="851" w:hanging="425"/>
        <w:contextualSpacing w:val="0"/>
      </w:pPr>
      <w:r w:rsidRPr="00062D2F">
        <w:t>FERA – Agentura pro výzkum potravin a životního</w:t>
      </w:r>
      <w:r w:rsidRPr="00062D2F">
        <w:rPr>
          <w:b/>
        </w:rPr>
        <w:t xml:space="preserve"> </w:t>
      </w:r>
      <w:r w:rsidRPr="00062D2F">
        <w:t>prostředí</w:t>
      </w:r>
      <w:r w:rsidRPr="00062D2F">
        <w:rPr>
          <w:b/>
        </w:rPr>
        <w:t xml:space="preserve"> </w:t>
      </w:r>
      <w:r w:rsidRPr="00062D2F">
        <w:t xml:space="preserve">– </w:t>
      </w:r>
      <w:hyperlink r:id="rId140" w:history="1">
        <w:r w:rsidRPr="00062D2F">
          <w:rPr>
            <w:rStyle w:val="Hyperlink"/>
            <w:rFonts w:cs="Arial"/>
            <w:color w:val="auto"/>
            <w:u w:val="none"/>
          </w:rPr>
          <w:t>www.defra.gov.uk/fera</w:t>
        </w:r>
      </w:hyperlink>
    </w:p>
    <w:p w:rsidR="005A63D9" w:rsidRPr="00062D2F" w:rsidRDefault="005A63D9" w:rsidP="00062D2F">
      <w:pPr>
        <w:pStyle w:val="ListParagraph"/>
        <w:numPr>
          <w:ilvl w:val="0"/>
          <w:numId w:val="86"/>
        </w:numPr>
        <w:spacing w:afterLines="0"/>
        <w:ind w:left="851" w:hanging="425"/>
        <w:contextualSpacing w:val="0"/>
      </w:pPr>
      <w:r w:rsidRPr="00062D2F">
        <w:t>CEFAS – Centrum pro výzkum životního prostředí, rybářství a</w:t>
      </w:r>
      <w:r w:rsidRPr="00062D2F">
        <w:rPr>
          <w:b/>
        </w:rPr>
        <w:t xml:space="preserve"> </w:t>
      </w:r>
      <w:r w:rsidRPr="00062D2F">
        <w:t>akvakultury</w:t>
      </w:r>
      <w:r w:rsidRPr="00062D2F">
        <w:rPr>
          <w:b/>
        </w:rPr>
        <w:t xml:space="preserve"> – </w:t>
      </w:r>
      <w:hyperlink r:id="rId141" w:history="1">
        <w:r w:rsidRPr="00062D2F">
          <w:rPr>
            <w:rStyle w:val="Hyperlink"/>
            <w:rFonts w:cs="Arial"/>
            <w:bCs/>
            <w:color w:val="auto"/>
            <w:u w:val="none"/>
          </w:rPr>
          <w:t>www.cefas.co.uk</w:t>
        </w:r>
      </w:hyperlink>
    </w:p>
    <w:p w:rsidR="005A63D9" w:rsidRPr="00062D2F" w:rsidRDefault="005A63D9" w:rsidP="00062D2F">
      <w:pPr>
        <w:pStyle w:val="ListParagraph"/>
        <w:numPr>
          <w:ilvl w:val="0"/>
          <w:numId w:val="86"/>
        </w:numPr>
        <w:tabs>
          <w:tab w:val="left" w:pos="2127"/>
        </w:tabs>
        <w:autoSpaceDE w:val="0"/>
        <w:autoSpaceDN w:val="0"/>
        <w:adjustRightInd w:val="0"/>
        <w:spacing w:afterLines="0"/>
        <w:ind w:left="851" w:hanging="425"/>
        <w:contextualSpacing w:val="0"/>
        <w:rPr>
          <w:rStyle w:val="Strong"/>
          <w:rFonts w:cs="Arial"/>
          <w:b w:val="0"/>
        </w:rPr>
      </w:pPr>
      <w:r w:rsidRPr="00062D2F">
        <w:rPr>
          <w:rStyle w:val="Strong"/>
          <w:rFonts w:cs="Arial"/>
          <w:b w:val="0"/>
          <w:bCs/>
        </w:rPr>
        <w:t xml:space="preserve">British Antarctic Survey – </w:t>
      </w:r>
      <w:hyperlink r:id="rId142" w:history="1">
        <w:r w:rsidRPr="00062D2F">
          <w:rPr>
            <w:rStyle w:val="Hyperlink"/>
            <w:rFonts w:cs="Arial"/>
            <w:color w:val="auto"/>
            <w:u w:val="none"/>
          </w:rPr>
          <w:t>www.bas.ac.uk</w:t>
        </w:r>
      </w:hyperlink>
    </w:p>
    <w:p w:rsidR="005A63D9" w:rsidRPr="00062D2F" w:rsidRDefault="005A63D9" w:rsidP="00062D2F">
      <w:pPr>
        <w:pStyle w:val="ListParagraph"/>
        <w:numPr>
          <w:ilvl w:val="0"/>
          <w:numId w:val="86"/>
        </w:numPr>
        <w:tabs>
          <w:tab w:val="left" w:pos="2127"/>
        </w:tabs>
        <w:autoSpaceDE w:val="0"/>
        <w:autoSpaceDN w:val="0"/>
        <w:adjustRightInd w:val="0"/>
        <w:spacing w:afterLines="0"/>
        <w:ind w:left="850" w:hanging="425"/>
        <w:contextualSpacing w:val="0"/>
        <w:rPr>
          <w:rStyle w:val="Strong"/>
          <w:rFonts w:cs="Arial"/>
          <w:b w:val="0"/>
        </w:rPr>
      </w:pPr>
      <w:r w:rsidRPr="00062D2F">
        <w:rPr>
          <w:rStyle w:val="Strong"/>
          <w:rFonts w:cs="Arial"/>
          <w:b w:val="0"/>
          <w:bCs/>
        </w:rPr>
        <w:t xml:space="preserve">British Geological Survey – </w:t>
      </w:r>
      <w:hyperlink r:id="rId143" w:history="1">
        <w:r w:rsidRPr="00062D2F">
          <w:rPr>
            <w:rStyle w:val="Hyperlink"/>
            <w:rFonts w:cs="Arial"/>
            <w:color w:val="auto"/>
            <w:u w:val="none"/>
          </w:rPr>
          <w:t>www.gs.ac.uk</w:t>
        </w:r>
      </w:hyperlink>
    </w:p>
    <w:p w:rsidR="005A63D9" w:rsidRPr="00062D2F" w:rsidRDefault="005A63D9" w:rsidP="00062D2F">
      <w:pPr>
        <w:pStyle w:val="ListParagraph"/>
        <w:numPr>
          <w:ilvl w:val="0"/>
          <w:numId w:val="86"/>
        </w:numPr>
        <w:tabs>
          <w:tab w:val="left" w:pos="2127"/>
        </w:tabs>
        <w:autoSpaceDE w:val="0"/>
        <w:autoSpaceDN w:val="0"/>
        <w:adjustRightInd w:val="0"/>
        <w:spacing w:afterLines="0"/>
        <w:ind w:left="851" w:hanging="425"/>
        <w:contextualSpacing w:val="0"/>
        <w:rPr>
          <w:rStyle w:val="Strong"/>
          <w:rFonts w:cs="Arial"/>
          <w:b w:val="0"/>
        </w:rPr>
      </w:pPr>
      <w:r w:rsidRPr="00062D2F">
        <w:rPr>
          <w:rStyle w:val="Strong"/>
          <w:rFonts w:cs="Arial"/>
          <w:b w:val="0"/>
          <w:bCs/>
        </w:rPr>
        <w:t xml:space="preserve">Centre for Ecology &amp; Hydrology – </w:t>
      </w:r>
      <w:hyperlink r:id="rId144" w:history="1">
        <w:r w:rsidRPr="00062D2F">
          <w:rPr>
            <w:rStyle w:val="Hyperlink"/>
            <w:rFonts w:cs="Arial"/>
            <w:color w:val="auto"/>
            <w:u w:val="none"/>
          </w:rPr>
          <w:t>www.ceh.ac.uk</w:t>
        </w:r>
      </w:hyperlink>
    </w:p>
    <w:p w:rsidR="005A63D9" w:rsidRPr="00062D2F" w:rsidRDefault="005A63D9" w:rsidP="00062D2F">
      <w:pPr>
        <w:pStyle w:val="ListParagraph"/>
        <w:numPr>
          <w:ilvl w:val="0"/>
          <w:numId w:val="86"/>
        </w:numPr>
        <w:tabs>
          <w:tab w:val="left" w:pos="2127"/>
        </w:tabs>
        <w:autoSpaceDE w:val="0"/>
        <w:autoSpaceDN w:val="0"/>
        <w:adjustRightInd w:val="0"/>
        <w:spacing w:afterLines="0"/>
        <w:ind w:left="851" w:hanging="425"/>
        <w:contextualSpacing w:val="0"/>
        <w:rPr>
          <w:rStyle w:val="Strong"/>
          <w:rFonts w:cs="Arial"/>
          <w:b w:val="0"/>
        </w:rPr>
      </w:pPr>
      <w:r w:rsidRPr="00062D2F">
        <w:rPr>
          <w:rStyle w:val="Strong"/>
          <w:rFonts w:cs="Arial"/>
          <w:b w:val="0"/>
          <w:bCs/>
        </w:rPr>
        <w:t xml:space="preserve">National Centre for Atmospheric Science – </w:t>
      </w:r>
      <w:hyperlink r:id="rId145" w:history="1">
        <w:r w:rsidRPr="00062D2F">
          <w:rPr>
            <w:rStyle w:val="Hyperlink"/>
            <w:rFonts w:cs="Arial"/>
            <w:color w:val="auto"/>
            <w:u w:val="none"/>
          </w:rPr>
          <w:t>www.ncas.ac.uk</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rPr>
          <w:rStyle w:val="Strong"/>
          <w:rFonts w:cs="Arial"/>
          <w:b w:val="0"/>
        </w:rPr>
      </w:pPr>
      <w:r w:rsidRPr="00062D2F">
        <w:rPr>
          <w:rStyle w:val="Strong"/>
          <w:rFonts w:cs="Arial"/>
          <w:b w:val="0"/>
          <w:bCs/>
        </w:rPr>
        <w:t xml:space="preserve">The National Centre for Earth Observation – </w:t>
      </w:r>
      <w:hyperlink r:id="rId146" w:history="1">
        <w:r w:rsidRPr="00062D2F">
          <w:rPr>
            <w:rStyle w:val="Hyperlink"/>
            <w:rFonts w:cs="Arial"/>
            <w:color w:val="auto"/>
            <w:u w:val="none"/>
          </w:rPr>
          <w:t>www.nceo.ac.uk</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hyperlink r:id="rId147" w:anchor="collapse6" w:history="1">
        <w:r w:rsidRPr="00062D2F">
          <w:t xml:space="preserve">National Oceanography Centre </w:t>
        </w:r>
      </w:hyperlink>
      <w:r w:rsidRPr="00062D2F">
        <w:t xml:space="preserve">– </w:t>
      </w:r>
      <w:hyperlink r:id="rId148" w:history="1">
        <w:r w:rsidRPr="00062D2F">
          <w:rPr>
            <w:rStyle w:val="Hyperlink"/>
            <w:rFonts w:cs="Arial"/>
            <w:color w:val="auto"/>
            <w:u w:val="none"/>
          </w:rPr>
          <w:t>www.noc.ac.uk</w:t>
        </w:r>
      </w:hyperlink>
    </w:p>
    <w:p w:rsidR="005A63D9" w:rsidRPr="00062D2F" w:rsidRDefault="005A63D9" w:rsidP="00062D2F">
      <w:pPr>
        <w:spacing w:afterLines="0"/>
      </w:pPr>
    </w:p>
    <w:p w:rsidR="005A63D9" w:rsidRPr="00062D2F" w:rsidRDefault="005A63D9" w:rsidP="00062D2F">
      <w:pPr>
        <w:spacing w:afterLines="0"/>
        <w:rPr>
          <w:b/>
        </w:rPr>
      </w:pPr>
      <w:r w:rsidRPr="00062D2F">
        <w:rPr>
          <w:b/>
        </w:rPr>
        <w:t>Evropská unie</w:t>
      </w:r>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Evropský parlament – </w:t>
      </w:r>
      <w:hyperlink r:id="rId149" w:history="1">
        <w:r w:rsidRPr="00062D2F">
          <w:t>www.europarl.europa.eu</w:t>
        </w:r>
      </w:hyperlink>
      <w:r w:rsidRPr="00062D2F">
        <w:t>)</w:t>
      </w:r>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Rada Evropy – </w:t>
      </w:r>
      <w:hyperlink r:id="rId150" w:history="1">
        <w:r w:rsidRPr="00062D2F">
          <w:t>www.consilium.europa.eu</w:t>
        </w:r>
      </w:hyperlink>
      <w:r w:rsidRPr="00062D2F">
        <w:t>)</w:t>
      </w:r>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Evropská komise – </w:t>
      </w:r>
      <w:hyperlink r:id="rId151" w:history="1">
        <w:r w:rsidRPr="00062D2F">
          <w:t>http://ec.europa.eu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Generální ředitelství Výzkum a inovace – </w:t>
      </w:r>
      <w:hyperlink r:id="rId152" w:history="1">
        <w:r w:rsidRPr="00062D2F">
          <w:t>http://ec.europa.eu/research</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Generální ředitelství Životní prostředí – </w:t>
      </w:r>
      <w:hyperlink r:id="rId153" w:history="1">
        <w:r w:rsidRPr="00062D2F">
          <w:t>http://ec.europa.eu/environment</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Evropská rada pro výzkum – </w:t>
      </w:r>
      <w:hyperlink r:id="rId154" w:history="1">
        <w:r w:rsidRPr="00062D2F">
          <w:t>http://erc.europa.eu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Exekutivní agentura pro výzkum, REA – </w:t>
      </w:r>
      <w:hyperlink r:id="rId155" w:history="1">
        <w:r w:rsidRPr="00062D2F">
          <w:t>http://ec.europa.eu/rea</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Evropský technologický institut, EIT – </w:t>
      </w:r>
      <w:hyperlink r:id="rId156" w:history="1">
        <w:r w:rsidRPr="00062D2F">
          <w:t>http://eit.europa.eu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Společenství Climate–KIC – </w:t>
      </w:r>
      <w:hyperlink r:id="rId157" w:history="1">
        <w:r w:rsidRPr="00062D2F">
          <w:t>http://climate-kic.org</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Společné výzkumné centrum, JRC – </w:t>
      </w:r>
      <w:hyperlink r:id="rId158" w:history="1">
        <w:r w:rsidRPr="00062D2F">
          <w:t>http://ec.europa.eu/jrc</w:t>
        </w:r>
      </w:hyperlink>
      <w:r w:rsidRPr="00062D2F">
        <w:t>)</w:t>
      </w:r>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Letectví a letecká doprava iniciativa (Clean Sky) – </w:t>
      </w:r>
      <w:hyperlink r:id="rId159" w:history="1">
        <w:r w:rsidRPr="00062D2F">
          <w:t>www.cleansky.eu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PPP Biobased Industry – </w:t>
      </w:r>
      <w:hyperlink r:id="rId160" w:history="1">
        <w:r w:rsidRPr="00062D2F">
          <w:t>http://biconsortium.eu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PPP Energy Eficient Bulding – </w:t>
      </w:r>
      <w:hyperlink r:id="rId161" w:history="1">
        <w:r w:rsidRPr="00062D2F">
          <w:t>www.e2b-ei.eu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PPP European Green Car Initiatives – </w:t>
      </w:r>
      <w:hyperlink r:id="rId162" w:history="1">
        <w:r w:rsidRPr="00062D2F">
          <w:t>www.egvi.eu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PPP Sustainble Process Industry, SPIRE –</w:t>
      </w:r>
      <w:hyperlink r:id="rId163" w:history="1">
        <w:r w:rsidRPr="00062D2F">
          <w:t>www.spire2030.eu</w:t>
        </w:r>
      </w:hyperlink>
    </w:p>
    <w:p w:rsidR="005A63D9" w:rsidRPr="00062D2F" w:rsidRDefault="005A63D9" w:rsidP="00062D2F">
      <w:pPr>
        <w:pStyle w:val="ListParagraph"/>
        <w:numPr>
          <w:ilvl w:val="0"/>
          <w:numId w:val="86"/>
        </w:numPr>
        <w:shd w:val="clear" w:color="auto" w:fill="FFFFFF"/>
        <w:tabs>
          <w:tab w:val="left" w:pos="2127"/>
        </w:tabs>
        <w:autoSpaceDE w:val="0"/>
        <w:autoSpaceDN w:val="0"/>
        <w:adjustRightInd w:val="0"/>
        <w:spacing w:afterLines="0"/>
        <w:ind w:left="851" w:hanging="425"/>
        <w:contextualSpacing w:val="0"/>
      </w:pPr>
      <w:r w:rsidRPr="00062D2F">
        <w:t xml:space="preserve">Technologická Platforma WssTP (Water Supply and Sanitation Technology Platform) – </w:t>
      </w:r>
      <w:hyperlink r:id="rId164" w:history="1">
        <w:r w:rsidRPr="00062D2F">
          <w:t>http://wstt.eu</w:t>
        </w:r>
      </w:hyperlink>
    </w:p>
    <w:sectPr w:rsidR="005A63D9" w:rsidRPr="00062D2F" w:rsidSect="00221B9C">
      <w:headerReference w:type="even" r:id="rId165"/>
      <w:headerReference w:type="default" r:id="rId166"/>
      <w:footerReference w:type="even" r:id="rId167"/>
      <w:footerReference w:type="default" r:id="rId168"/>
      <w:headerReference w:type="first" r:id="rId169"/>
      <w:footerReference w:type="first" r:id="rId170"/>
      <w:type w:val="continuous"/>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3D9" w:rsidRDefault="005A63D9" w:rsidP="00AE2811">
      <w:pPr>
        <w:spacing w:after="144" w:line="240" w:lineRule="auto"/>
      </w:pPr>
      <w:r>
        <w:separator/>
      </w:r>
    </w:p>
  </w:endnote>
  <w:endnote w:type="continuationSeparator" w:id="0">
    <w:p w:rsidR="005A63D9" w:rsidRDefault="005A63D9" w:rsidP="00AE2811">
      <w:pPr>
        <w:spacing w:after="144"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Light">
    <w:panose1 w:val="00000000000000000000"/>
    <w:charset w:val="EE"/>
    <w:family w:val="swiss"/>
    <w:notTrueType/>
    <w:pitch w:val="variable"/>
    <w:sig w:usb0="00000007" w:usb1="00000000" w:usb2="00000000" w:usb3="00000000" w:csb0="00000003" w:csb1="00000000"/>
  </w:font>
  <w:font w:name="SimSun">
    <w:altName w:val="??¨§?"/>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61002A87" w:usb1="80000000" w:usb2="00000008" w:usb3="00000000" w:csb0="000101FF" w:csb1="00000000"/>
  </w:font>
  <w:font w:name="BundesSans Bold">
    <w:altName w:val="Arial"/>
    <w:panose1 w:val="00000000000000000000"/>
    <w:charset w:val="00"/>
    <w:family w:val="swiss"/>
    <w:notTrueType/>
    <w:pitch w:val="default"/>
    <w:sig w:usb0="00000003" w:usb1="00000000" w:usb2="00000000" w:usb3="00000000" w:csb0="00000001" w:csb1="00000000"/>
  </w:font>
  <w:font w:name="MetaCorr">
    <w:altName w:val="Arial"/>
    <w:panose1 w:val="00000000000000000000"/>
    <w:charset w:val="00"/>
    <w:family w:val="swiss"/>
    <w:notTrueType/>
    <w:pitch w:val="default"/>
    <w:sig w:usb0="00000003" w:usb1="00000000" w:usb2="00000000" w:usb3="00000000" w:csb0="00000001" w:csb1="00000000"/>
  </w:font>
  <w:font w:name="Frutiger">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pPr>
      <w:pStyle w:val="Footer"/>
      <w:spacing w:after="14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rsidP="00BF2811">
    <w:pPr>
      <w:pStyle w:val="Footer"/>
      <w:spacing w:after="144"/>
      <w:jc w:val="center"/>
    </w:pPr>
    <w:fldSimple w:instr="PAGE   \* MERGEFORMAT">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pPr>
      <w:pStyle w:val="Footer"/>
      <w:spacing w:after="14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3D9" w:rsidRDefault="005A63D9" w:rsidP="00AE2811">
      <w:pPr>
        <w:spacing w:after="144" w:line="240" w:lineRule="auto"/>
      </w:pPr>
      <w:r>
        <w:separator/>
      </w:r>
    </w:p>
  </w:footnote>
  <w:footnote w:type="continuationSeparator" w:id="0">
    <w:p w:rsidR="005A63D9" w:rsidRDefault="005A63D9" w:rsidP="00AE2811">
      <w:pPr>
        <w:spacing w:after="144" w:line="240" w:lineRule="auto"/>
      </w:pPr>
      <w:r>
        <w:continuationSeparator/>
      </w:r>
    </w:p>
  </w:footnote>
  <w:footnote w:id="1">
    <w:p w:rsidR="005A63D9" w:rsidRDefault="005A63D9" w:rsidP="00375D9F">
      <w:pPr>
        <w:pStyle w:val="FootnoteText"/>
        <w:spacing w:after="60"/>
      </w:pPr>
      <w:r w:rsidRPr="00C15709">
        <w:rPr>
          <w:rStyle w:val="FootnoteReference"/>
          <w:rFonts w:ascii="Arial" w:hAnsi="Arial" w:cs="Arial"/>
          <w:sz w:val="18"/>
        </w:rPr>
        <w:footnoteRef/>
      </w:r>
      <w:r w:rsidRPr="00C15709">
        <w:rPr>
          <w:rFonts w:ascii="Arial" w:hAnsi="Arial" w:cs="Arial"/>
          <w:sz w:val="18"/>
          <w:lang w:val="cs-CZ"/>
        </w:rPr>
        <w:t xml:space="preserve"> </w:t>
      </w:r>
      <w:hyperlink r:id="rId1" w:history="1">
        <w:r w:rsidRPr="00C15709">
          <w:rPr>
            <w:rFonts w:ascii="Arial" w:hAnsi="Arial" w:cs="Arial"/>
            <w:sz w:val="18"/>
            <w:lang w:val="cs-CZ"/>
          </w:rPr>
          <w:t>http://oe.cd/frascati</w:t>
        </w:r>
      </w:hyperlink>
    </w:p>
  </w:footnote>
  <w:footnote w:id="2">
    <w:p w:rsidR="005A63D9" w:rsidRDefault="005A63D9" w:rsidP="00375D9F">
      <w:pPr>
        <w:pStyle w:val="FootnoteText"/>
        <w:spacing w:after="60"/>
      </w:pPr>
      <w:r w:rsidRPr="00C15709">
        <w:rPr>
          <w:rStyle w:val="FootnoteReference"/>
          <w:rFonts w:ascii="Arial" w:hAnsi="Arial" w:cs="Arial"/>
          <w:sz w:val="18"/>
        </w:rPr>
        <w:footnoteRef/>
      </w:r>
      <w:r w:rsidRPr="00C15709">
        <w:rPr>
          <w:rStyle w:val="FootnoteReference"/>
          <w:rFonts w:ascii="Arial" w:hAnsi="Arial" w:cs="Arial"/>
        </w:rPr>
        <w:t xml:space="preserve"> </w:t>
      </w:r>
      <w:r w:rsidRPr="00C15709">
        <w:rPr>
          <w:rFonts w:ascii="Arial" w:hAnsi="Arial" w:cs="Arial"/>
          <w:sz w:val="18"/>
          <w:lang w:val="cs-CZ"/>
        </w:rPr>
        <w:t>Aktualizaci připravila skupina NEST (National Experts on Science and Technology Indocators) ve spolupráci s Divizí ekonomických analýz a statistiky (EAS) Ředitelství pro vědu, technologie a Inovace (STI) OECD. Frascati – město v severní Itálii, kde byla připravena první verze metodiky statistiky VaVaI koncem šedesátých let minulého století.</w:t>
      </w:r>
    </w:p>
  </w:footnote>
  <w:footnote w:id="3">
    <w:p w:rsidR="005A63D9" w:rsidRDefault="005A63D9" w:rsidP="00375D9F">
      <w:pPr>
        <w:pStyle w:val="FootnoteText"/>
        <w:spacing w:after="60"/>
      </w:pPr>
      <w:r w:rsidRPr="00552D6F">
        <w:rPr>
          <w:rStyle w:val="FootnoteReference"/>
          <w:rFonts w:ascii="Arial" w:hAnsi="Arial" w:cs="Arial"/>
          <w:sz w:val="18"/>
        </w:rPr>
        <w:footnoteRef/>
      </w:r>
      <w:r w:rsidRPr="00552D6F">
        <w:rPr>
          <w:rFonts w:ascii="Arial" w:hAnsi="Arial" w:cs="Arial"/>
          <w:sz w:val="18"/>
          <w:lang w:val="cs-CZ"/>
        </w:rPr>
        <w:t xml:space="preserve"> Klasifikace je založena Nomenklatuře Eurostatu pro analýzy a srovnání výzkumných programů a rozpočtů (NABS 2007)</w:t>
      </w:r>
    </w:p>
  </w:footnote>
  <w:footnote w:id="4">
    <w:p w:rsidR="005A63D9" w:rsidRDefault="005A63D9" w:rsidP="00375D9F">
      <w:pPr>
        <w:pStyle w:val="FootnoteText"/>
        <w:spacing w:after="60"/>
      </w:pPr>
      <w:r w:rsidRPr="00C15709">
        <w:rPr>
          <w:rStyle w:val="FootnoteReference"/>
          <w:rFonts w:ascii="Arial" w:hAnsi="Arial" w:cs="Arial"/>
          <w:sz w:val="18"/>
        </w:rPr>
        <w:footnoteRef/>
      </w:r>
      <w:r w:rsidRPr="00C15709">
        <w:rPr>
          <w:rFonts w:ascii="Arial" w:hAnsi="Arial" w:cs="Arial"/>
          <w:sz w:val="18"/>
          <w:lang w:val="cs-CZ"/>
        </w:rPr>
        <w:t xml:space="preserve"> Například Rakouskou ve svých statistikách VaV uvádí 17 oblastí státních výdajů na VaV</w:t>
      </w:r>
    </w:p>
  </w:footnote>
  <w:footnote w:id="5">
    <w:p w:rsidR="005A63D9" w:rsidRDefault="005A63D9" w:rsidP="00C15709">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V některých dokumentech je tento fond označován jako The Danish Innovation Foundation.</w:t>
      </w:r>
    </w:p>
  </w:footnote>
  <w:footnote w:id="6">
    <w:p w:rsidR="005A63D9" w:rsidRDefault="005A63D9" w:rsidP="00466AF8">
      <w:pPr>
        <w:pStyle w:val="FootnoteText"/>
        <w:spacing w:after="144"/>
      </w:pPr>
      <w:r>
        <w:rPr>
          <w:rStyle w:val="FootnoteReference"/>
        </w:rPr>
        <w:footnoteRef/>
      </w:r>
      <w:r w:rsidRPr="00CD4AC4">
        <w:rPr>
          <w:lang w:val="cs-CZ"/>
        </w:rPr>
        <w:t xml:space="preserve"> </w:t>
      </w:r>
      <w:r w:rsidRPr="008E2C82">
        <w:rPr>
          <w:rFonts w:ascii="Arial" w:hAnsi="Arial" w:cs="Arial"/>
          <w:sz w:val="18"/>
          <w:lang w:val="cs-CZ"/>
        </w:rPr>
        <w:t>Jde pravděpodobně o výzkumné zakázky Ministerstva pro životní prostředí a potraviny. Podpora VaVaI je v Dánsku silně centralizovaná do působnosti Ministerstva pro vysokoškolské v</w:t>
      </w:r>
      <w:r>
        <w:rPr>
          <w:rFonts w:ascii="Arial" w:hAnsi="Arial" w:cs="Arial"/>
          <w:sz w:val="18"/>
          <w:lang w:val="cs-CZ"/>
        </w:rPr>
        <w:t>zdělávání a vědu, respektive do </w:t>
      </w:r>
      <w:r w:rsidRPr="008E2C82">
        <w:rPr>
          <w:rFonts w:ascii="Arial" w:hAnsi="Arial" w:cs="Arial"/>
          <w:sz w:val="18"/>
          <w:lang w:val="cs-CZ"/>
        </w:rPr>
        <w:t xml:space="preserve">jeho prováděcích agentur. </w:t>
      </w:r>
    </w:p>
  </w:footnote>
  <w:footnote w:id="7">
    <w:p w:rsidR="005A63D9" w:rsidRDefault="005A63D9" w:rsidP="00466AF8">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V Dánsku neexistují „ministerské“ programy VaVaI.</w:t>
      </w:r>
    </w:p>
  </w:footnote>
  <w:footnote w:id="8">
    <w:p w:rsidR="005A63D9" w:rsidRDefault="005A63D9" w:rsidP="00466AF8">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U Dánského inovačního fondu nejsou uvedeny všechny položky</w:t>
      </w:r>
    </w:p>
  </w:footnote>
  <w:footnote w:id="9">
    <w:p w:rsidR="005A63D9" w:rsidRDefault="005A63D9" w:rsidP="00466AF8">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Oxford Research je nadnárodní společnost se zaměřením na hodnocení hospodářského a regionálního rozvoje při zachování dobrých životních podmínek s pobočkami v Dánsku, Norsku, Švédsku, Finsku a Belgii. </w:t>
      </w:r>
    </w:p>
  </w:footnote>
  <w:footnote w:id="10">
    <w:p w:rsidR="005A63D9" w:rsidRDefault="005A63D9" w:rsidP="008C07E9">
      <w:pPr>
        <w:pStyle w:val="FootnoteText"/>
        <w:spacing w:after="144"/>
      </w:pPr>
      <w:r w:rsidRPr="008E2C82">
        <w:rPr>
          <w:rStyle w:val="FootnoteReference"/>
          <w:rFonts w:ascii="Arial" w:hAnsi="Arial" w:cs="Arial"/>
          <w:sz w:val="18"/>
        </w:rPr>
        <w:footnoteRef/>
      </w:r>
      <w:r w:rsidRPr="008E2C82">
        <w:rPr>
          <w:rFonts w:ascii="Arial" w:hAnsi="Arial" w:cs="Arial"/>
          <w:sz w:val="18"/>
        </w:rPr>
        <w:t xml:space="preserve"> </w:t>
      </w:r>
      <w:r w:rsidRPr="008E2C82">
        <w:rPr>
          <w:rFonts w:ascii="Arial" w:hAnsi="Arial" w:cs="Arial"/>
          <w:sz w:val="18"/>
          <w:lang w:val="cs-CZ"/>
        </w:rPr>
        <w:t>Nyní s termínem splnění do roku 2020.</w:t>
      </w:r>
    </w:p>
  </w:footnote>
  <w:footnote w:id="11">
    <w:p w:rsidR="005A63D9" w:rsidRDefault="005A63D9" w:rsidP="008C07E9">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Rakousko je další zemí, které k působnosti pro VaV připojilo i působnost pro hospodářství. Následovalo tím například Spojené království a Švýcarsko.</w:t>
      </w:r>
    </w:p>
  </w:footnote>
  <w:footnote w:id="12">
    <w:p w:rsidR="005A63D9" w:rsidRDefault="005A63D9" w:rsidP="008C07E9">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Připomenutí jednoho ze dvou cílů rakouské Národní strategie VaVaI do roku 2020.</w:t>
      </w:r>
    </w:p>
  </w:footnote>
  <w:footnote w:id="13">
    <w:p w:rsidR="005A63D9" w:rsidRDefault="005A63D9" w:rsidP="008C07E9">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Höhere Bundeslehreanstalt (Spolkové zařízení pro vyšší vzdělávání). Je jednou z forem středoškolského studia v Rakousku.</w:t>
      </w:r>
    </w:p>
  </w:footnote>
  <w:footnote w:id="14">
    <w:p w:rsidR="005A63D9" w:rsidRDefault="005A63D9" w:rsidP="008C07E9">
      <w:pPr>
        <w:pStyle w:val="FootnoteText"/>
        <w:spacing w:after="144"/>
      </w:pPr>
      <w:r w:rsidRPr="008E2C82">
        <w:rPr>
          <w:rStyle w:val="FootnoteReference"/>
          <w:rFonts w:ascii="Arial" w:hAnsi="Arial" w:cs="Arial"/>
          <w:sz w:val="18"/>
          <w:szCs w:val="18"/>
        </w:rPr>
        <w:footnoteRef/>
      </w:r>
      <w:r w:rsidRPr="008E2C82">
        <w:rPr>
          <w:rFonts w:ascii="Arial" w:hAnsi="Arial" w:cs="Arial"/>
          <w:sz w:val="18"/>
          <w:szCs w:val="18"/>
          <w:lang w:val="cs-CZ"/>
        </w:rPr>
        <w:t xml:space="preserve"> Seibersdorf - místo první a jediné rakouské jaderné elektrárny, která však nikdy nebyla uvedena do provozu. Elektrárna byla likvidována a v lokalitě, která byla upravena na vědeckotechnický park, působí několik výzkumných organizací.</w:t>
      </w:r>
    </w:p>
  </w:footnote>
  <w:footnote w:id="15">
    <w:p w:rsidR="005A63D9" w:rsidRDefault="005A63D9" w:rsidP="008C07E9">
      <w:pPr>
        <w:pStyle w:val="FootnoteText"/>
        <w:spacing w:after="144"/>
      </w:pPr>
      <w:r w:rsidRPr="008E2C82">
        <w:rPr>
          <w:rStyle w:val="FootnoteReference"/>
          <w:rFonts w:ascii="Arial" w:hAnsi="Arial" w:cs="Arial"/>
          <w:sz w:val="18"/>
          <w:szCs w:val="18"/>
        </w:rPr>
        <w:footnoteRef/>
      </w:r>
      <w:r w:rsidRPr="008E2C82">
        <w:rPr>
          <w:rFonts w:ascii="Arial" w:hAnsi="Arial" w:cs="Arial"/>
          <w:sz w:val="18"/>
          <w:szCs w:val="18"/>
          <w:lang w:val="cs-CZ"/>
        </w:rPr>
        <w:t xml:space="preserve"> Joanneum Research byla i jedním z členů zahraničního konsorcia, které provádělo evaluaci systému podpory VaV v ČR.</w:t>
      </w:r>
    </w:p>
  </w:footnote>
  <w:footnote w:id="16">
    <w:p w:rsidR="005A63D9" w:rsidRDefault="005A63D9" w:rsidP="008C07E9">
      <w:pPr>
        <w:pStyle w:val="FootnoteText"/>
        <w:spacing w:after="144"/>
      </w:pPr>
      <w:r w:rsidRPr="008E2C82">
        <w:rPr>
          <w:rStyle w:val="FootnoteReference"/>
          <w:rFonts w:ascii="Arial" w:hAnsi="Arial" w:cs="Arial"/>
          <w:sz w:val="18"/>
        </w:rPr>
        <w:footnoteRef/>
      </w:r>
      <w:r w:rsidRPr="008E2C82">
        <w:rPr>
          <w:rFonts w:ascii="Arial" w:hAnsi="Arial" w:cs="Arial"/>
          <w:sz w:val="18"/>
          <w:lang w:val="cs-CZ"/>
        </w:rPr>
        <w:t xml:space="preserve"> Počet pracovníků centra není nikde uveden.</w:t>
      </w:r>
    </w:p>
  </w:footnote>
  <w:footnote w:id="17">
    <w:p w:rsidR="005A63D9" w:rsidRDefault="005A63D9" w:rsidP="009B0A4A">
      <w:pPr>
        <w:pStyle w:val="FootnoteText"/>
        <w:spacing w:after="144"/>
      </w:pPr>
      <w:r w:rsidRPr="00C77C67">
        <w:rPr>
          <w:rStyle w:val="FootnoteReference"/>
          <w:rFonts w:ascii="Arial" w:hAnsi="Arial" w:cs="Arial"/>
          <w:sz w:val="18"/>
          <w:lang w:val="cs-CZ"/>
        </w:rPr>
        <w:footnoteRef/>
      </w:r>
      <w:r w:rsidRPr="00C77C67">
        <w:rPr>
          <w:rFonts w:ascii="Arial" w:hAnsi="Arial" w:cs="Arial"/>
          <w:sz w:val="18"/>
          <w:lang w:val="cs-CZ"/>
        </w:rPr>
        <w:t xml:space="preserve"> Ve Švýcarsku patří většina vysokých škol do působnosti kantonálních vlád. Do působní federální vlády patří jen</w:t>
      </w:r>
      <w:r>
        <w:rPr>
          <w:rFonts w:ascii="Arial" w:hAnsi="Arial" w:cs="Arial"/>
          <w:sz w:val="18"/>
          <w:lang w:val="cs-CZ"/>
        </w:rPr>
        <w:t> </w:t>
      </w:r>
      <w:r w:rsidRPr="00C77C67">
        <w:rPr>
          <w:rFonts w:ascii="Arial" w:hAnsi="Arial" w:cs="Arial"/>
          <w:sz w:val="18"/>
          <w:lang w:val="cs-CZ"/>
        </w:rPr>
        <w:t>technické univerzity v Curychu a Lausanne.</w:t>
      </w:r>
    </w:p>
  </w:footnote>
  <w:footnote w:id="18">
    <w:p w:rsidR="005A63D9" w:rsidRDefault="005A63D9" w:rsidP="009B0A4A">
      <w:pPr>
        <w:pStyle w:val="FootnoteText"/>
        <w:spacing w:after="144"/>
      </w:pPr>
      <w:r w:rsidRPr="008E2C82">
        <w:rPr>
          <w:rStyle w:val="FootnoteReference"/>
          <w:rFonts w:ascii="Arial" w:hAnsi="Arial" w:cs="Arial"/>
          <w:sz w:val="18"/>
        </w:rPr>
        <w:footnoteRef/>
      </w:r>
      <w:r w:rsidRPr="003A5845">
        <w:rPr>
          <w:rFonts w:ascii="Arial" w:hAnsi="Arial" w:cs="Arial"/>
          <w:sz w:val="18"/>
          <w:lang w:val="cs-CZ"/>
        </w:rPr>
        <w:t xml:space="preserve"> </w:t>
      </w:r>
      <w:r w:rsidRPr="003A5845">
        <w:rPr>
          <w:rFonts w:ascii="Arial" w:hAnsi="Arial" w:cs="Arial"/>
          <w:color w:val="000000"/>
          <w:sz w:val="18"/>
          <w:lang w:val="cs-CZ"/>
        </w:rPr>
        <w:t>Komunikace vědy – komunikace mezi výzkumnými pracovníky a komunikace vědy s veřejností (publikace, workshopy - včetně mezinárodních, semináře, mobilita).</w:t>
      </w:r>
    </w:p>
  </w:footnote>
  <w:footnote w:id="19">
    <w:p w:rsidR="005A63D9" w:rsidRDefault="005A63D9" w:rsidP="0059419D">
      <w:pPr>
        <w:tabs>
          <w:tab w:val="left" w:pos="4536"/>
        </w:tabs>
        <w:spacing w:after="144"/>
      </w:pPr>
      <w:r w:rsidRPr="008E2C82">
        <w:rPr>
          <w:rStyle w:val="FootnoteReference"/>
          <w:rFonts w:cs="Arial"/>
          <w:sz w:val="18"/>
          <w:szCs w:val="18"/>
        </w:rPr>
        <w:footnoteRef/>
      </w:r>
      <w:r w:rsidRPr="008E2C82">
        <w:rPr>
          <w:sz w:val="18"/>
          <w:szCs w:val="18"/>
        </w:rPr>
        <w:t xml:space="preserve"> </w:t>
      </w:r>
      <w:r w:rsidRPr="008E2C82">
        <w:rPr>
          <w:color w:val="000000"/>
          <w:sz w:val="18"/>
          <w:szCs w:val="18"/>
        </w:rPr>
        <w:t>Výzkumný program NFP 60 Rovnost pohlaví doposud nebyl ukončen.</w:t>
      </w:r>
    </w:p>
  </w:footnote>
  <w:footnote w:id="20">
    <w:p w:rsidR="005A63D9" w:rsidRDefault="005A63D9">
      <w:pPr>
        <w:pStyle w:val="FootnoteText"/>
      </w:pPr>
      <w:r w:rsidRPr="007601CC">
        <w:rPr>
          <w:rStyle w:val="FootnoteReference"/>
          <w:rFonts w:ascii="Arial" w:hAnsi="Arial" w:cs="Arial"/>
          <w:sz w:val="18"/>
          <w:szCs w:val="18"/>
          <w:lang w:val="cs-CZ"/>
        </w:rPr>
        <w:footnoteRef/>
      </w:r>
      <w:r w:rsidRPr="007601CC">
        <w:rPr>
          <w:rFonts w:ascii="Arial" w:hAnsi="Arial" w:cs="Arial"/>
          <w:sz w:val="18"/>
          <w:szCs w:val="18"/>
          <w:lang w:val="cs-CZ"/>
        </w:rPr>
        <w:t xml:space="preserve"> </w:t>
      </w:r>
      <w:r w:rsidRPr="007601CC">
        <w:rPr>
          <w:rFonts w:ascii="Arial" w:hAnsi="Arial" w:cs="Arial"/>
          <w:color w:val="000000"/>
          <w:sz w:val="18"/>
          <w:szCs w:val="18"/>
          <w:shd w:val="clear" w:color="auto" w:fill="FFFFFF"/>
          <w:lang w:val="cs-CZ"/>
        </w:rPr>
        <w:t>Rada ETH organizuje a finančně podporu vznik a provoz center kompetence, na jejichž činnosti se podílů vždy alespoň dvě instituce oblasti ETH (2 univerzity, 5 výzkumných ústavů). V současné době existují čtyři centra kompetence: CCES Životní prostředí a udržitelnost; CCEM Energie a mobilita; CCMX Materiálové vědy a technologie; NCCBI Vzdělávací postupy v biomedicíně.</w:t>
      </w:r>
    </w:p>
  </w:footnote>
  <w:footnote w:id="21">
    <w:p w:rsidR="005A63D9" w:rsidRDefault="005A63D9">
      <w:pPr>
        <w:pStyle w:val="FootnoteText"/>
      </w:pPr>
      <w:r w:rsidRPr="007601CC">
        <w:rPr>
          <w:rStyle w:val="FootnoteReference"/>
          <w:rFonts w:ascii="Arial" w:hAnsi="Arial" w:cs="Arial"/>
          <w:sz w:val="18"/>
          <w:szCs w:val="18"/>
          <w:lang w:val="cs-CZ"/>
        </w:rPr>
        <w:footnoteRef/>
      </w:r>
      <w:r w:rsidRPr="007601CC">
        <w:rPr>
          <w:rFonts w:ascii="Arial" w:hAnsi="Arial" w:cs="Arial"/>
          <w:sz w:val="18"/>
          <w:szCs w:val="18"/>
          <w:lang w:val="cs-CZ"/>
        </w:rPr>
        <w:t xml:space="preserve"> </w:t>
      </w:r>
      <w:r w:rsidRPr="007601CC">
        <w:rPr>
          <w:rFonts w:ascii="Arial" w:hAnsi="Arial" w:cs="Arial"/>
          <w:color w:val="000000"/>
          <w:sz w:val="18"/>
          <w:szCs w:val="18"/>
          <w:shd w:val="clear" w:color="auto" w:fill="FFFFFF"/>
          <w:lang w:val="cs-CZ"/>
        </w:rPr>
        <w:t>Účelová podpora – podpora projektů z Národního fondu pro podporu vědeckého výzkumu, státní zakázky, EU.</w:t>
      </w:r>
    </w:p>
  </w:footnote>
  <w:footnote w:id="22">
    <w:p w:rsidR="005A63D9" w:rsidRDefault="005A63D9" w:rsidP="00D10838">
      <w:pPr>
        <w:pStyle w:val="FootnoteText"/>
        <w:spacing w:after="144"/>
      </w:pPr>
      <w:r w:rsidRPr="007D347B">
        <w:rPr>
          <w:rStyle w:val="FootnoteReference"/>
          <w:rFonts w:ascii="Arial" w:hAnsi="Arial" w:cs="Arial"/>
          <w:sz w:val="18"/>
        </w:rPr>
        <w:footnoteRef/>
      </w:r>
      <w:r w:rsidRPr="00FA7281">
        <w:rPr>
          <w:rFonts w:ascii="Arial" w:hAnsi="Arial" w:cs="Arial"/>
          <w:sz w:val="18"/>
          <w:lang w:val="cs-CZ"/>
        </w:rPr>
        <w:t xml:space="preserve"> </w:t>
      </w:r>
      <w:r w:rsidRPr="007D347B">
        <w:rPr>
          <w:rFonts w:ascii="Arial" w:hAnsi="Arial" w:cs="Arial"/>
          <w:sz w:val="18"/>
          <w:lang w:val="cs-CZ"/>
        </w:rPr>
        <w:t>K hlavním výzkumným institucím Německa patří: Německé výzkumné společenství (GWK), Fraunhoferova společnost, Společnost Maxe Plancka, Helmholtzovo společenství výzkumných center; Leibnizovo společenství.</w:t>
      </w:r>
    </w:p>
  </w:footnote>
  <w:footnote w:id="23">
    <w:p w:rsidR="005A63D9" w:rsidRDefault="005A63D9" w:rsidP="00D10838">
      <w:pPr>
        <w:pStyle w:val="FootnoteText"/>
        <w:spacing w:after="144"/>
      </w:pPr>
      <w:r w:rsidRPr="007D347B">
        <w:rPr>
          <w:rStyle w:val="FootnoteReference"/>
          <w:rFonts w:ascii="Arial" w:hAnsi="Arial" w:cs="Arial"/>
          <w:sz w:val="18"/>
        </w:rPr>
        <w:footnoteRef/>
      </w:r>
      <w:r w:rsidRPr="007D347B">
        <w:rPr>
          <w:rFonts w:ascii="Arial" w:hAnsi="Arial" w:cs="Arial"/>
          <w:sz w:val="18"/>
        </w:rPr>
        <w:t xml:space="preserve"> </w:t>
      </w:r>
      <w:r w:rsidRPr="007D347B">
        <w:rPr>
          <w:rFonts w:ascii="Arial" w:hAnsi="Arial" w:cs="Arial"/>
          <w:sz w:val="18"/>
          <w:lang w:val="cs-CZ"/>
        </w:rPr>
        <w:t>Data pro rok 2010 a 2011 nejsou k dispozici. Podíly institucionálního a účelového financování sleduje Eurostat až od roku 2011.</w:t>
      </w:r>
    </w:p>
  </w:footnote>
  <w:footnote w:id="24">
    <w:p w:rsidR="005A63D9" w:rsidRDefault="005A63D9">
      <w:pPr>
        <w:pStyle w:val="FootnoteText"/>
      </w:pPr>
      <w:r w:rsidRPr="007D347B">
        <w:rPr>
          <w:rStyle w:val="FootnoteReference"/>
          <w:rFonts w:ascii="Arial" w:hAnsi="Arial" w:cs="Arial"/>
          <w:sz w:val="18"/>
          <w:szCs w:val="18"/>
        </w:rPr>
        <w:footnoteRef/>
      </w:r>
      <w:r w:rsidRPr="00FA7281">
        <w:rPr>
          <w:rFonts w:ascii="Arial" w:hAnsi="Arial" w:cs="Arial"/>
          <w:sz w:val="18"/>
          <w:szCs w:val="18"/>
          <w:lang w:val="cs-CZ"/>
        </w:rPr>
        <w:t xml:space="preserve"> </w:t>
      </w:r>
      <w:r w:rsidRPr="00797C06">
        <w:rPr>
          <w:rFonts w:ascii="Arial" w:hAnsi="Arial" w:cs="Arial"/>
          <w:sz w:val="18"/>
          <w:szCs w:val="18"/>
          <w:lang w:val="cs-CZ"/>
        </w:rPr>
        <w:t>Rozpočtový předpoklad.</w:t>
      </w:r>
    </w:p>
  </w:footnote>
  <w:footnote w:id="25">
    <w:p w:rsidR="005A63D9" w:rsidRDefault="005A63D9">
      <w:pPr>
        <w:pStyle w:val="FootnoteText"/>
      </w:pPr>
      <w:r w:rsidRPr="007D347B">
        <w:rPr>
          <w:rStyle w:val="FootnoteReference"/>
        </w:rPr>
        <w:footnoteRef/>
      </w:r>
      <w:r w:rsidRPr="00FA7281">
        <w:rPr>
          <w:lang w:val="cs-CZ"/>
        </w:rPr>
        <w:t xml:space="preserve"> </w:t>
      </w:r>
      <w:r w:rsidRPr="00797C06">
        <w:rPr>
          <w:rFonts w:ascii="Arial" w:hAnsi="Arial" w:cs="Arial"/>
          <w:sz w:val="18"/>
          <w:szCs w:val="18"/>
          <w:lang w:val="cs-CZ"/>
        </w:rPr>
        <w:t>Rozpočtový předpoklad.</w:t>
      </w:r>
    </w:p>
  </w:footnote>
  <w:footnote w:id="26">
    <w:p w:rsidR="005A63D9" w:rsidRDefault="005A63D9" w:rsidP="0063579C">
      <w:pPr>
        <w:pStyle w:val="FootnoteText"/>
        <w:spacing w:after="144"/>
      </w:pPr>
      <w:r w:rsidRPr="007D347B">
        <w:rPr>
          <w:rStyle w:val="FootnoteReference"/>
          <w:rFonts w:ascii="Arial" w:hAnsi="Arial" w:cs="Arial"/>
          <w:sz w:val="18"/>
        </w:rPr>
        <w:footnoteRef/>
      </w:r>
      <w:r w:rsidRPr="00FA7281">
        <w:rPr>
          <w:rFonts w:ascii="Arial" w:hAnsi="Arial" w:cs="Arial"/>
          <w:sz w:val="18"/>
          <w:lang w:val="cs-CZ"/>
        </w:rPr>
        <w:t xml:space="preserve"> </w:t>
      </w:r>
      <w:r w:rsidRPr="007D347B">
        <w:rPr>
          <w:rFonts w:ascii="Arial" w:hAnsi="Arial" w:cs="Arial"/>
          <w:sz w:val="18"/>
          <w:lang w:val="cs-CZ"/>
        </w:rPr>
        <w:t>Do působnosti této Rady patří i matematika, astronomie a vědy o Zemi. Vhodn</w:t>
      </w:r>
      <w:r>
        <w:rPr>
          <w:rFonts w:ascii="Arial" w:hAnsi="Arial" w:cs="Arial"/>
          <w:sz w:val="18"/>
          <w:lang w:val="cs-CZ"/>
        </w:rPr>
        <w:t>ější by proto byl název „ … pro </w:t>
      </w:r>
      <w:r w:rsidRPr="007D347B">
        <w:rPr>
          <w:rFonts w:ascii="Arial" w:hAnsi="Arial" w:cs="Arial"/>
          <w:sz w:val="18"/>
          <w:lang w:val="cs-CZ"/>
        </w:rPr>
        <w:t>technické vědy a vědy o neživé přírodě“. Poznámka zpracovatele.</w:t>
      </w:r>
    </w:p>
  </w:footnote>
  <w:footnote w:id="27">
    <w:p w:rsidR="005A63D9" w:rsidRDefault="005A63D9" w:rsidP="0063579C">
      <w:pPr>
        <w:pStyle w:val="FootnoteText"/>
        <w:spacing w:after="144"/>
      </w:pPr>
      <w:r w:rsidRPr="007D347B">
        <w:rPr>
          <w:rStyle w:val="FootnoteReference"/>
          <w:rFonts w:ascii="Arial" w:hAnsi="Arial" w:cs="Arial"/>
          <w:sz w:val="18"/>
        </w:rPr>
        <w:footnoteRef/>
      </w:r>
      <w:r w:rsidRPr="007D347B">
        <w:rPr>
          <w:rFonts w:ascii="Arial" w:hAnsi="Arial" w:cs="Arial"/>
          <w:sz w:val="18"/>
          <w:lang w:val="cs-CZ"/>
        </w:rPr>
        <w:t xml:space="preserve"> Tato Rada poskytuje granty především ve fyzice částic, astronomii a jaderné fyzice.</w:t>
      </w:r>
    </w:p>
  </w:footnote>
  <w:footnote w:id="28">
    <w:p w:rsidR="005A63D9" w:rsidRDefault="005A63D9" w:rsidP="00E30271">
      <w:pPr>
        <w:pStyle w:val="FootnoteText"/>
        <w:spacing w:after="144"/>
      </w:pPr>
      <w:r w:rsidRPr="007D347B">
        <w:rPr>
          <w:rStyle w:val="FootnoteReference"/>
          <w:rFonts w:ascii="Arial" w:hAnsi="Arial" w:cs="Arial"/>
          <w:sz w:val="18"/>
        </w:rPr>
        <w:footnoteRef/>
      </w:r>
      <w:r w:rsidRPr="007D347B">
        <w:rPr>
          <w:rFonts w:ascii="Arial" w:hAnsi="Arial" w:cs="Arial"/>
          <w:sz w:val="18"/>
          <w:lang w:val="cs-CZ"/>
        </w:rPr>
        <w:t xml:space="preserve"> Vysoký podíl státních výdajů na lékařský a zdravotnický výzkum vykazují I USA a některé skandinávské země.</w:t>
      </w:r>
    </w:p>
  </w:footnote>
  <w:footnote w:id="29">
    <w:p w:rsidR="005A63D9" w:rsidRDefault="005A63D9" w:rsidP="00E30271">
      <w:pPr>
        <w:pStyle w:val="FootnoteText"/>
        <w:spacing w:after="144"/>
      </w:pPr>
      <w:r w:rsidRPr="00461688">
        <w:rPr>
          <w:rStyle w:val="FootnoteReference"/>
          <w:rFonts w:ascii="Arial" w:hAnsi="Arial" w:cs="Arial"/>
          <w:sz w:val="18"/>
        </w:rPr>
        <w:footnoteRef/>
      </w:r>
      <w:r w:rsidRPr="00461688">
        <w:rPr>
          <w:rFonts w:ascii="Arial" w:hAnsi="Arial" w:cs="Arial"/>
          <w:sz w:val="18"/>
          <w:lang w:val="cs-CZ"/>
        </w:rPr>
        <w:t xml:space="preserve"> Aquakultura, někdy též aquafarming je chov vodních organismů jako jsou ryby, korýši, měkkýši a vodní rostliny. Aquakultura zahrnuje kultivaci sladkovodní a mořské populace za kontrolovaných podmínek. </w:t>
      </w:r>
    </w:p>
  </w:footnote>
  <w:footnote w:id="30">
    <w:p w:rsidR="005A63D9" w:rsidRDefault="005A63D9" w:rsidP="00E30271">
      <w:pPr>
        <w:pStyle w:val="FootnoteText"/>
        <w:spacing w:after="144"/>
      </w:pPr>
      <w:r w:rsidRPr="00461688">
        <w:rPr>
          <w:rStyle w:val="FootnoteReference"/>
          <w:rFonts w:ascii="Arial" w:hAnsi="Arial" w:cs="Arial"/>
          <w:sz w:val="18"/>
        </w:rPr>
        <w:footnoteRef/>
      </w:r>
      <w:r w:rsidRPr="00461688">
        <w:rPr>
          <w:rFonts w:ascii="Arial" w:hAnsi="Arial" w:cs="Arial"/>
          <w:sz w:val="18"/>
          <w:lang w:val="cs-CZ"/>
        </w:rPr>
        <w:t xml:space="preserve"> „Haldane principle“ – Richard Burdon Haldan, řadu let od 1904 vedl nejrůznější výbory a komise pro politiku vědy. Liberál a mnohaletý člen parlamentu.</w:t>
      </w:r>
    </w:p>
  </w:footnote>
  <w:footnote w:id="31">
    <w:p w:rsidR="005A63D9" w:rsidRDefault="005A63D9" w:rsidP="00E30271">
      <w:pPr>
        <w:pStyle w:val="FootnoteText"/>
        <w:spacing w:after="144"/>
      </w:pPr>
      <w:r w:rsidRPr="00461688">
        <w:rPr>
          <w:rStyle w:val="FootnoteReference"/>
          <w:rFonts w:ascii="Arial" w:hAnsi="Arial" w:cs="Arial"/>
          <w:sz w:val="18"/>
        </w:rPr>
        <w:footnoteRef/>
      </w:r>
      <w:r w:rsidRPr="00FA7281">
        <w:rPr>
          <w:rFonts w:ascii="Arial" w:hAnsi="Arial" w:cs="Arial"/>
          <w:sz w:val="18"/>
          <w:lang w:val="cs-CZ"/>
        </w:rPr>
        <w:t xml:space="preserve"> </w:t>
      </w:r>
      <w:r w:rsidRPr="00461688">
        <w:rPr>
          <w:rFonts w:ascii="Arial" w:hAnsi="Arial" w:cs="Arial"/>
          <w:sz w:val="18"/>
          <w:lang w:val="cs-CZ"/>
        </w:rPr>
        <w:t>Do působnosti této Rady patří i matematika, astronomie a vědy o Zemi. Vhodně</w:t>
      </w:r>
      <w:r>
        <w:rPr>
          <w:rFonts w:ascii="Arial" w:hAnsi="Arial" w:cs="Arial"/>
          <w:sz w:val="18"/>
          <w:lang w:val="cs-CZ"/>
        </w:rPr>
        <w:t>jší by tedy proto byl název „ … </w:t>
      </w:r>
      <w:r w:rsidRPr="00461688">
        <w:rPr>
          <w:rFonts w:ascii="Arial" w:hAnsi="Arial" w:cs="Arial"/>
          <w:sz w:val="18"/>
          <w:lang w:val="cs-CZ"/>
        </w:rPr>
        <w:t>pro technické vědy a vědy o neživé přírodě“.</w:t>
      </w:r>
    </w:p>
  </w:footnote>
  <w:footnote w:id="32">
    <w:p w:rsidR="005A63D9" w:rsidRDefault="005A63D9" w:rsidP="000A5E0F">
      <w:pPr>
        <w:autoSpaceDE w:val="0"/>
        <w:adjustRightInd w:val="0"/>
        <w:spacing w:after="144" w:line="23" w:lineRule="atLeast"/>
        <w:jc w:val="both"/>
      </w:pPr>
      <w:r w:rsidRPr="00E621E3">
        <w:rPr>
          <w:rStyle w:val="FootnoteReference"/>
          <w:rFonts w:cs="Arial"/>
          <w:sz w:val="18"/>
          <w:szCs w:val="18"/>
        </w:rPr>
        <w:footnoteRef/>
      </w:r>
      <w:r w:rsidRPr="00E621E3">
        <w:rPr>
          <w:sz w:val="18"/>
          <w:szCs w:val="18"/>
        </w:rPr>
        <w:t xml:space="preserve"> </w:t>
      </w:r>
      <w:r w:rsidRPr="00E621E3">
        <w:rPr>
          <w:rFonts w:cs="Calibri"/>
          <w:bCs/>
          <w:sz w:val="18"/>
          <w:szCs w:val="18"/>
        </w:rPr>
        <w:t>Rámcový program pro konkurenceschopnost a inovace (CIP – Competitiveness and Innovation Programme) byl převážně zaměřen na malé a střední podniky, podporoval inovační aktivity, včetně eko-inovací, zabezpečoval lepší přístup k finančním prostředkům, zabezpečoval služby pro MSP na regioná</w:t>
      </w:r>
      <w:r>
        <w:rPr>
          <w:rFonts w:cs="Calibri"/>
          <w:bCs/>
          <w:sz w:val="18"/>
          <w:szCs w:val="18"/>
        </w:rPr>
        <w:t>lní úrovni, informační služby a </w:t>
      </w:r>
      <w:r w:rsidRPr="00E621E3">
        <w:rPr>
          <w:rFonts w:cs="Calibri"/>
          <w:bCs/>
          <w:sz w:val="18"/>
          <w:szCs w:val="18"/>
        </w:rPr>
        <w:t>výměnu zkušeností pro gestory inovační politiky.</w:t>
      </w:r>
    </w:p>
  </w:footnote>
  <w:footnote w:id="33">
    <w:p w:rsidR="005A63D9" w:rsidRDefault="005A63D9" w:rsidP="00510C04">
      <w:pPr>
        <w:pStyle w:val="FootnoteText"/>
        <w:spacing w:after="144"/>
      </w:pPr>
      <w:r w:rsidRPr="00221B9C">
        <w:rPr>
          <w:rStyle w:val="FootnoteReference"/>
          <w:rFonts w:ascii="Arial" w:hAnsi="Arial" w:cs="Arial"/>
          <w:sz w:val="18"/>
        </w:rPr>
        <w:footnoteRef/>
      </w:r>
      <w:r w:rsidRPr="00FA7281">
        <w:rPr>
          <w:rFonts w:ascii="Arial" w:hAnsi="Arial" w:cs="Arial"/>
          <w:sz w:val="18"/>
          <w:lang w:val="cs-CZ"/>
        </w:rPr>
        <w:t xml:space="preserve"> V Česku v minulosti občas vznikaly problémy, které ministerstvo má zastupovat naši republiku v Radě Konkurenceschopnost.</w:t>
      </w:r>
    </w:p>
  </w:footnote>
  <w:footnote w:id="34">
    <w:p w:rsidR="005A63D9" w:rsidRDefault="005A63D9" w:rsidP="00510C04">
      <w:pPr>
        <w:pStyle w:val="FootnoteText"/>
        <w:spacing w:after="144"/>
      </w:pPr>
      <w:r w:rsidRPr="00221B9C">
        <w:rPr>
          <w:rStyle w:val="FootnoteReference"/>
          <w:rFonts w:ascii="Arial" w:hAnsi="Arial" w:cs="Arial"/>
          <w:sz w:val="18"/>
        </w:rPr>
        <w:footnoteRef/>
      </w:r>
      <w:r w:rsidRPr="00FA7281">
        <w:rPr>
          <w:rFonts w:ascii="Arial" w:hAnsi="Arial" w:cs="Arial"/>
          <w:sz w:val="18"/>
          <w:lang w:val="cs-CZ"/>
        </w:rPr>
        <w:t xml:space="preserve"> Výbor pro jmenování (Identification Committee) je orgánem Evropské komise pro jmenování do vyšších funkcí. Pro jednotlivé případy se zřizují zvláštní (specifická) skupina. Vědeckou radu ERC pro období programu Horizont 2020 navrhla šestičlenná skupina světově uznávaných vědeckých pracovníků.</w:t>
      </w:r>
    </w:p>
  </w:footnote>
  <w:footnote w:id="35">
    <w:p w:rsidR="005A63D9" w:rsidRDefault="005A63D9" w:rsidP="00510C04">
      <w:pPr>
        <w:pStyle w:val="FootnoteText"/>
        <w:spacing w:after="144"/>
        <w:ind w:left="142" w:hanging="142"/>
      </w:pPr>
      <w:r w:rsidRPr="00221B9C">
        <w:rPr>
          <w:rStyle w:val="FootnoteReference"/>
          <w:rFonts w:ascii="Arial" w:hAnsi="Arial" w:cs="Arial"/>
          <w:sz w:val="18"/>
        </w:rPr>
        <w:footnoteRef/>
      </w:r>
      <w:r w:rsidRPr="00221B9C">
        <w:rPr>
          <w:rFonts w:ascii="Arial" w:hAnsi="Arial" w:cs="Arial"/>
          <w:sz w:val="18"/>
        </w:rPr>
        <w:t xml:space="preserve"> </w:t>
      </w:r>
      <w:r w:rsidRPr="00221B9C">
        <w:rPr>
          <w:rFonts w:ascii="Arial" w:hAnsi="Arial" w:cs="Arial"/>
          <w:bCs/>
          <w:sz w:val="18"/>
        </w:rPr>
        <w:t>Rules of Procedure and code of Conduct of the scientific Council; 27. April 2012.</w:t>
      </w:r>
    </w:p>
  </w:footnote>
  <w:footnote w:id="36">
    <w:p w:rsidR="005A63D9" w:rsidRDefault="005A63D9" w:rsidP="00510C04">
      <w:pPr>
        <w:pStyle w:val="FootnoteText"/>
        <w:spacing w:after="144"/>
      </w:pPr>
      <w:r w:rsidRPr="00221B9C">
        <w:rPr>
          <w:rStyle w:val="FootnoteReference"/>
          <w:rFonts w:ascii="Arial" w:hAnsi="Arial" w:cs="Arial"/>
          <w:sz w:val="18"/>
        </w:rPr>
        <w:footnoteRef/>
      </w:r>
      <w:r w:rsidRPr="00221B9C">
        <w:rPr>
          <w:rFonts w:ascii="Arial" w:hAnsi="Arial" w:cs="Arial"/>
          <w:sz w:val="18"/>
        </w:rPr>
        <w:t xml:space="preserve"> COM(2013) 494 final, Sdělení </w:t>
      </w:r>
      <w:r w:rsidRPr="000B4EE0">
        <w:rPr>
          <w:rFonts w:ascii="Arial" w:hAnsi="Arial" w:cs="Arial"/>
          <w:sz w:val="18"/>
        </w:rPr>
        <w:t>Komise Evropskému parlamentu, Radě, Evropskému hospodářskému a sociálnímu výboru a Výboru regionů</w:t>
      </w:r>
      <w:r w:rsidRPr="00221B9C">
        <w:rPr>
          <w:rFonts w:ascii="Arial" w:hAnsi="Arial" w:cs="Arial"/>
          <w:sz w:val="18"/>
        </w:rPr>
        <w:t xml:space="preserve"> “Partnerství veřejného a soukromého sektoru v programu Horizont 2020: účinný nástroj k dosažení inovací a růstu v Evropě”.</w:t>
      </w:r>
    </w:p>
  </w:footnote>
  <w:footnote w:id="37">
    <w:p w:rsidR="005A63D9" w:rsidRDefault="005A63D9" w:rsidP="00F2207D">
      <w:pPr>
        <w:pStyle w:val="FootnoteText"/>
      </w:pPr>
      <w:r w:rsidRPr="0094169D">
        <w:rPr>
          <w:rStyle w:val="FootnoteReference"/>
          <w:rFonts w:ascii="Arial" w:hAnsi="Arial" w:cs="Arial"/>
          <w:sz w:val="18"/>
          <w:szCs w:val="18"/>
        </w:rPr>
        <w:footnoteRef/>
      </w:r>
      <w:r w:rsidRPr="0094169D">
        <w:rPr>
          <w:rFonts w:ascii="Arial" w:hAnsi="Arial" w:cs="Arial"/>
          <w:sz w:val="18"/>
          <w:szCs w:val="18"/>
          <w:lang w:val="cs-CZ"/>
        </w:rPr>
        <w:t xml:space="preserve"> FORNE – Rámcová strategie výzkumu udržitelnosti dohodnutá spolkovými ministerstvy BMVIT, BMWFW a BMLWUW s podporou Rakouské rad</w:t>
      </w:r>
      <w:r>
        <w:rPr>
          <w:rFonts w:ascii="Arial" w:hAnsi="Arial" w:cs="Arial"/>
          <w:sz w:val="18"/>
          <w:szCs w:val="18"/>
          <w:lang w:val="cs-CZ"/>
        </w:rPr>
        <w:t>y</w:t>
      </w:r>
      <w:r w:rsidRPr="0094169D">
        <w:rPr>
          <w:rFonts w:ascii="Arial" w:hAnsi="Arial" w:cs="Arial"/>
          <w:sz w:val="18"/>
          <w:szCs w:val="18"/>
          <w:lang w:val="cs-CZ"/>
        </w:rPr>
        <w:t xml:space="preserve"> pro výzkum a vývoj technologií.</w:t>
      </w:r>
    </w:p>
  </w:footnote>
  <w:footnote w:id="38">
    <w:p w:rsidR="005A63D9" w:rsidRDefault="005A63D9" w:rsidP="00F2207D">
      <w:pPr>
        <w:pStyle w:val="FootnoteText"/>
      </w:pPr>
      <w:r w:rsidRPr="0094169D">
        <w:rPr>
          <w:rStyle w:val="FootnoteReference"/>
          <w:rFonts w:ascii="Arial" w:hAnsi="Arial" w:cs="Arial"/>
          <w:sz w:val="18"/>
          <w:szCs w:val="18"/>
        </w:rPr>
        <w:footnoteRef/>
      </w:r>
      <w:r w:rsidRPr="0094169D">
        <w:rPr>
          <w:rFonts w:ascii="Arial" w:hAnsi="Arial" w:cs="Arial"/>
          <w:sz w:val="18"/>
          <w:szCs w:val="18"/>
        </w:rPr>
        <w:t xml:space="preserve"> </w:t>
      </w:r>
      <w:r w:rsidRPr="0094169D">
        <w:rPr>
          <w:rFonts w:ascii="Arial" w:hAnsi="Arial" w:cs="Arial"/>
          <w:sz w:val="18"/>
          <w:szCs w:val="18"/>
          <w:lang w:val="cs-CZ"/>
        </w:rPr>
        <w:t>SCAR – Stálý výbor EU pro zemědělský výzkum (Standing Committee on Agricultural Research).</w:t>
      </w:r>
    </w:p>
  </w:footnote>
  <w:footnote w:id="39">
    <w:p w:rsidR="005A63D9" w:rsidRDefault="005A63D9" w:rsidP="00F2207D">
      <w:pPr>
        <w:pStyle w:val="FootnoteText"/>
      </w:pPr>
      <w:r w:rsidRPr="0094169D">
        <w:rPr>
          <w:rStyle w:val="FootnoteReference"/>
          <w:rFonts w:ascii="Arial" w:hAnsi="Arial" w:cs="Arial"/>
          <w:sz w:val="18"/>
          <w:szCs w:val="18"/>
        </w:rPr>
        <w:footnoteRef/>
      </w:r>
      <w:r w:rsidRPr="0094169D">
        <w:rPr>
          <w:rFonts w:ascii="Arial" w:hAnsi="Arial" w:cs="Arial"/>
          <w:sz w:val="18"/>
          <w:szCs w:val="18"/>
        </w:rPr>
        <w:t xml:space="preserve"> </w:t>
      </w:r>
      <w:r w:rsidRPr="0094169D">
        <w:rPr>
          <w:rFonts w:ascii="Arial" w:hAnsi="Arial" w:cs="Arial"/>
          <w:sz w:val="18"/>
          <w:szCs w:val="18"/>
          <w:lang w:val="cs-CZ"/>
        </w:rPr>
        <w:t>INSPIRE – Infrastruktura geodetických dat EU pro účely společné politiky životního prostředí a obdobné činnosti.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pPr>
      <w:pStyle w:val="Header"/>
      <w:spacing w:after="14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rsidP="00F35D7D">
    <w:pPr>
      <w:pStyle w:val="Header"/>
      <w:spacing w:after="144"/>
      <w:jc w:val="center"/>
      <w:rPr>
        <w:i/>
        <w:sz w:val="20"/>
      </w:rPr>
    </w:pPr>
    <w:r w:rsidRPr="00420EDF">
      <w:rPr>
        <w:i/>
        <w:sz w:val="20"/>
      </w:rPr>
      <w:t>Koncepce výzkumu a vývoje Ministerstva životního prostředí na léta 2016 až 2025</w:t>
    </w:r>
  </w:p>
  <w:p w:rsidR="005A63D9" w:rsidRPr="00F35D7D" w:rsidRDefault="005A63D9" w:rsidP="00F35D7D">
    <w:pPr>
      <w:pStyle w:val="Header"/>
      <w:spacing w:after="144"/>
      <w:jc w:val="center"/>
      <w:rPr>
        <w:i/>
        <w:sz w:val="20"/>
      </w:rPr>
    </w:pPr>
    <w:r w:rsidRPr="00F35D7D">
      <w:rPr>
        <w:i/>
        <w:sz w:val="20"/>
      </w:rPr>
      <w:t>Příloha č. 1 - Analýza výzkumu v oblasti životního prostředí v zahraničí</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D9" w:rsidRDefault="005A63D9">
    <w:pPr>
      <w:pStyle w:val="Header"/>
      <w:spacing w:after="14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12F5"/>
    <w:multiLevelType w:val="hybridMultilevel"/>
    <w:tmpl w:val="C810BE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C72FAB"/>
    <w:multiLevelType w:val="hybridMultilevel"/>
    <w:tmpl w:val="D96CAEC6"/>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
    <w:nsid w:val="031B4B87"/>
    <w:multiLevelType w:val="multilevel"/>
    <w:tmpl w:val="7D5CC73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4450B80"/>
    <w:multiLevelType w:val="hybridMultilevel"/>
    <w:tmpl w:val="CFFA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A90277"/>
    <w:multiLevelType w:val="hybridMultilevel"/>
    <w:tmpl w:val="61BAAF58"/>
    <w:lvl w:ilvl="0" w:tplc="04050001">
      <w:start w:val="1"/>
      <w:numFmt w:val="bullet"/>
      <w:lvlText w:val=""/>
      <w:lvlJc w:val="left"/>
      <w:pPr>
        <w:ind w:left="720" w:hanging="360"/>
      </w:pPr>
      <w:rPr>
        <w:rFonts w:ascii="Symbol" w:hAnsi="Symbol" w:hint="default"/>
        <w:sz w:val="28"/>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5681515"/>
    <w:multiLevelType w:val="hybridMultilevel"/>
    <w:tmpl w:val="D90C3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777086A"/>
    <w:multiLevelType w:val="hybridMultilevel"/>
    <w:tmpl w:val="1C08C4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7FF7673"/>
    <w:multiLevelType w:val="hybridMultilevel"/>
    <w:tmpl w:val="B1C432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90370C2"/>
    <w:multiLevelType w:val="hybridMultilevel"/>
    <w:tmpl w:val="59B036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95A7883"/>
    <w:multiLevelType w:val="hybridMultilevel"/>
    <w:tmpl w:val="295CF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9B809FA"/>
    <w:multiLevelType w:val="hybridMultilevel"/>
    <w:tmpl w:val="6B3E9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BE46B9D"/>
    <w:multiLevelType w:val="hybridMultilevel"/>
    <w:tmpl w:val="809C7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C165DB4"/>
    <w:multiLevelType w:val="hybridMultilevel"/>
    <w:tmpl w:val="1C262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0053A1C"/>
    <w:multiLevelType w:val="hybridMultilevel"/>
    <w:tmpl w:val="E7207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20030BB"/>
    <w:multiLevelType w:val="hybridMultilevel"/>
    <w:tmpl w:val="01FA20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78214F7"/>
    <w:multiLevelType w:val="hybridMultilevel"/>
    <w:tmpl w:val="F9A826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9E473FB"/>
    <w:multiLevelType w:val="hybridMultilevel"/>
    <w:tmpl w:val="4FF4C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9EC2091"/>
    <w:multiLevelType w:val="hybridMultilevel"/>
    <w:tmpl w:val="068A1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B7B0491"/>
    <w:multiLevelType w:val="hybridMultilevel"/>
    <w:tmpl w:val="9670B868"/>
    <w:lvl w:ilvl="0" w:tplc="04050001">
      <w:start w:val="1"/>
      <w:numFmt w:val="bullet"/>
      <w:lvlText w:val=""/>
      <w:lvlJc w:val="left"/>
      <w:pPr>
        <w:ind w:left="1134" w:hanging="360"/>
      </w:pPr>
      <w:rPr>
        <w:rFonts w:ascii="Symbol" w:hAnsi="Symbol" w:hint="default"/>
      </w:rPr>
    </w:lvl>
    <w:lvl w:ilvl="1" w:tplc="04050003" w:tentative="1">
      <w:start w:val="1"/>
      <w:numFmt w:val="bullet"/>
      <w:lvlText w:val="o"/>
      <w:lvlJc w:val="left"/>
      <w:pPr>
        <w:ind w:left="1854" w:hanging="360"/>
      </w:pPr>
      <w:rPr>
        <w:rFonts w:ascii="Courier New" w:hAnsi="Courier New" w:hint="default"/>
      </w:rPr>
    </w:lvl>
    <w:lvl w:ilvl="2" w:tplc="04050005" w:tentative="1">
      <w:start w:val="1"/>
      <w:numFmt w:val="bullet"/>
      <w:lvlText w:val=""/>
      <w:lvlJc w:val="left"/>
      <w:pPr>
        <w:ind w:left="2574" w:hanging="360"/>
      </w:pPr>
      <w:rPr>
        <w:rFonts w:ascii="Wingdings" w:hAnsi="Wingdings" w:hint="default"/>
      </w:rPr>
    </w:lvl>
    <w:lvl w:ilvl="3" w:tplc="04050001" w:tentative="1">
      <w:start w:val="1"/>
      <w:numFmt w:val="bullet"/>
      <w:lvlText w:val=""/>
      <w:lvlJc w:val="left"/>
      <w:pPr>
        <w:ind w:left="3294" w:hanging="360"/>
      </w:pPr>
      <w:rPr>
        <w:rFonts w:ascii="Symbol" w:hAnsi="Symbol" w:hint="default"/>
      </w:rPr>
    </w:lvl>
    <w:lvl w:ilvl="4" w:tplc="04050003" w:tentative="1">
      <w:start w:val="1"/>
      <w:numFmt w:val="bullet"/>
      <w:lvlText w:val="o"/>
      <w:lvlJc w:val="left"/>
      <w:pPr>
        <w:ind w:left="4014" w:hanging="360"/>
      </w:pPr>
      <w:rPr>
        <w:rFonts w:ascii="Courier New" w:hAnsi="Courier New" w:hint="default"/>
      </w:rPr>
    </w:lvl>
    <w:lvl w:ilvl="5" w:tplc="04050005" w:tentative="1">
      <w:start w:val="1"/>
      <w:numFmt w:val="bullet"/>
      <w:lvlText w:val=""/>
      <w:lvlJc w:val="left"/>
      <w:pPr>
        <w:ind w:left="4734" w:hanging="360"/>
      </w:pPr>
      <w:rPr>
        <w:rFonts w:ascii="Wingdings" w:hAnsi="Wingdings" w:hint="default"/>
      </w:rPr>
    </w:lvl>
    <w:lvl w:ilvl="6" w:tplc="04050001" w:tentative="1">
      <w:start w:val="1"/>
      <w:numFmt w:val="bullet"/>
      <w:lvlText w:val=""/>
      <w:lvlJc w:val="left"/>
      <w:pPr>
        <w:ind w:left="5454" w:hanging="360"/>
      </w:pPr>
      <w:rPr>
        <w:rFonts w:ascii="Symbol" w:hAnsi="Symbol" w:hint="default"/>
      </w:rPr>
    </w:lvl>
    <w:lvl w:ilvl="7" w:tplc="04050003" w:tentative="1">
      <w:start w:val="1"/>
      <w:numFmt w:val="bullet"/>
      <w:lvlText w:val="o"/>
      <w:lvlJc w:val="left"/>
      <w:pPr>
        <w:ind w:left="6174" w:hanging="360"/>
      </w:pPr>
      <w:rPr>
        <w:rFonts w:ascii="Courier New" w:hAnsi="Courier New" w:hint="default"/>
      </w:rPr>
    </w:lvl>
    <w:lvl w:ilvl="8" w:tplc="04050005" w:tentative="1">
      <w:start w:val="1"/>
      <w:numFmt w:val="bullet"/>
      <w:lvlText w:val=""/>
      <w:lvlJc w:val="left"/>
      <w:pPr>
        <w:ind w:left="6894" w:hanging="360"/>
      </w:pPr>
      <w:rPr>
        <w:rFonts w:ascii="Wingdings" w:hAnsi="Wingdings" w:hint="default"/>
      </w:rPr>
    </w:lvl>
  </w:abstractNum>
  <w:abstractNum w:abstractNumId="19">
    <w:nsid w:val="1EA00EB5"/>
    <w:multiLevelType w:val="hybridMultilevel"/>
    <w:tmpl w:val="1FE4B8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F02434C"/>
    <w:multiLevelType w:val="hybridMultilevel"/>
    <w:tmpl w:val="14267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04F3C53"/>
    <w:multiLevelType w:val="multilevel"/>
    <w:tmpl w:val="F3C0CD5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204F40B0"/>
    <w:multiLevelType w:val="hybridMultilevel"/>
    <w:tmpl w:val="F3083B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0A17BC2"/>
    <w:multiLevelType w:val="hybridMultilevel"/>
    <w:tmpl w:val="75FA84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F">
      <w:start w:val="1"/>
      <w:numFmt w:val="decimal"/>
      <w:lvlText w:val="%3."/>
      <w:lvlJc w:val="left"/>
      <w:pPr>
        <w:ind w:left="2160" w:hanging="360"/>
      </w:pPr>
      <w:rPr>
        <w:rFonts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0AA61B7"/>
    <w:multiLevelType w:val="hybridMultilevel"/>
    <w:tmpl w:val="D7626EB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nsid w:val="21416DF8"/>
    <w:multiLevelType w:val="hybridMultilevel"/>
    <w:tmpl w:val="70142336"/>
    <w:lvl w:ilvl="0" w:tplc="FA30937C">
      <w:start w:val="1"/>
      <w:numFmt w:val="decimal"/>
      <w:lvlText w:val="(%1)"/>
      <w:lvlJc w:val="left"/>
      <w:pPr>
        <w:ind w:left="360" w:hanging="360"/>
      </w:pPr>
      <w:rPr>
        <w:rFonts w:ascii="Calibri" w:hAnsi="Calibri" w:cs="Times New Roman" w:hint="default"/>
        <w:sz w:val="28"/>
        <w:szCs w:val="28"/>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nsid w:val="22140F9A"/>
    <w:multiLevelType w:val="hybridMultilevel"/>
    <w:tmpl w:val="69E61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32D277B"/>
    <w:multiLevelType w:val="multilevel"/>
    <w:tmpl w:val="CDCECD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nsid w:val="23C02AF6"/>
    <w:multiLevelType w:val="hybridMultilevel"/>
    <w:tmpl w:val="C85E42A0"/>
    <w:lvl w:ilvl="0" w:tplc="04050003">
      <w:start w:val="1"/>
      <w:numFmt w:val="bullet"/>
      <w:lvlText w:val="o"/>
      <w:lvlJc w:val="left"/>
      <w:pPr>
        <w:ind w:left="1259" w:hanging="360"/>
      </w:pPr>
      <w:rPr>
        <w:rFonts w:ascii="Courier New" w:hAnsi="Courier New" w:hint="default"/>
      </w:rPr>
    </w:lvl>
    <w:lvl w:ilvl="1" w:tplc="04050003" w:tentative="1">
      <w:start w:val="1"/>
      <w:numFmt w:val="bullet"/>
      <w:lvlText w:val="o"/>
      <w:lvlJc w:val="left"/>
      <w:pPr>
        <w:ind w:left="1979" w:hanging="360"/>
      </w:pPr>
      <w:rPr>
        <w:rFonts w:ascii="Courier New" w:hAnsi="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9">
    <w:nsid w:val="246440B0"/>
    <w:multiLevelType w:val="hybridMultilevel"/>
    <w:tmpl w:val="9DF65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24BF737A"/>
    <w:multiLevelType w:val="hybridMultilevel"/>
    <w:tmpl w:val="9AA64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5833A6A"/>
    <w:multiLevelType w:val="hybridMultilevel"/>
    <w:tmpl w:val="59A68B5A"/>
    <w:lvl w:ilvl="0" w:tplc="04050003">
      <w:start w:val="1"/>
      <w:numFmt w:val="bullet"/>
      <w:lvlText w:val="o"/>
      <w:lvlJc w:val="left"/>
      <w:pPr>
        <w:ind w:left="1259" w:hanging="360"/>
      </w:pPr>
      <w:rPr>
        <w:rFonts w:ascii="Courier New" w:hAnsi="Courier New" w:hint="default"/>
      </w:rPr>
    </w:lvl>
    <w:lvl w:ilvl="1" w:tplc="04050003" w:tentative="1">
      <w:start w:val="1"/>
      <w:numFmt w:val="bullet"/>
      <w:lvlText w:val="o"/>
      <w:lvlJc w:val="left"/>
      <w:pPr>
        <w:ind w:left="1979" w:hanging="360"/>
      </w:pPr>
      <w:rPr>
        <w:rFonts w:ascii="Courier New" w:hAnsi="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2">
    <w:nsid w:val="27372D59"/>
    <w:multiLevelType w:val="hybridMultilevel"/>
    <w:tmpl w:val="DBC24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7F10848"/>
    <w:multiLevelType w:val="hybridMultilevel"/>
    <w:tmpl w:val="C7DE1B9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4">
    <w:nsid w:val="29056827"/>
    <w:multiLevelType w:val="hybridMultilevel"/>
    <w:tmpl w:val="D7ECF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2A7D40AC"/>
    <w:multiLevelType w:val="hybridMultilevel"/>
    <w:tmpl w:val="9E628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2DF55A76"/>
    <w:multiLevelType w:val="hybridMultilevel"/>
    <w:tmpl w:val="32D8F6A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nsid w:val="2E10495E"/>
    <w:multiLevelType w:val="hybridMultilevel"/>
    <w:tmpl w:val="9B2A1E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2F260AA8"/>
    <w:multiLevelType w:val="hybridMultilevel"/>
    <w:tmpl w:val="F808F0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31DF7D27"/>
    <w:multiLevelType w:val="hybridMultilevel"/>
    <w:tmpl w:val="3FAADD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nsid w:val="32B16BAD"/>
    <w:multiLevelType w:val="hybridMultilevel"/>
    <w:tmpl w:val="2A323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32B17C52"/>
    <w:multiLevelType w:val="hybridMultilevel"/>
    <w:tmpl w:val="46BE68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355834F7"/>
    <w:multiLevelType w:val="hybridMultilevel"/>
    <w:tmpl w:val="617E8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372D6712"/>
    <w:multiLevelType w:val="hybridMultilevel"/>
    <w:tmpl w:val="D5FA8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39897720"/>
    <w:multiLevelType w:val="hybridMultilevel"/>
    <w:tmpl w:val="B1EE96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nsid w:val="3CC0464C"/>
    <w:multiLevelType w:val="hybridMultilevel"/>
    <w:tmpl w:val="0C6E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3D3A1158"/>
    <w:multiLevelType w:val="hybridMultilevel"/>
    <w:tmpl w:val="FC003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3D3E22DE"/>
    <w:multiLevelType w:val="hybridMultilevel"/>
    <w:tmpl w:val="AAB8F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41A81B5A"/>
    <w:multiLevelType w:val="hybridMultilevel"/>
    <w:tmpl w:val="EB1C3F4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nsid w:val="42614F20"/>
    <w:multiLevelType w:val="hybridMultilevel"/>
    <w:tmpl w:val="7D86F1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sz w:val="28"/>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435563AB"/>
    <w:multiLevelType w:val="hybridMultilevel"/>
    <w:tmpl w:val="D91EF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43A724F0"/>
    <w:multiLevelType w:val="hybridMultilevel"/>
    <w:tmpl w:val="96025C4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nsid w:val="44DE45D6"/>
    <w:multiLevelType w:val="hybridMultilevel"/>
    <w:tmpl w:val="D26C0F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46637A51"/>
    <w:multiLevelType w:val="hybridMultilevel"/>
    <w:tmpl w:val="43C446CC"/>
    <w:lvl w:ilvl="0" w:tplc="0405000F">
      <w:start w:val="1"/>
      <w:numFmt w:val="decimal"/>
      <w:lvlText w:val="%1."/>
      <w:lvlJc w:val="left"/>
      <w:pPr>
        <w:ind w:left="2160" w:hanging="360"/>
      </w:pPr>
      <w:rPr>
        <w:rFonts w:cs="Times New Roman"/>
      </w:rPr>
    </w:lvl>
    <w:lvl w:ilvl="1" w:tplc="04050019" w:tentative="1">
      <w:start w:val="1"/>
      <w:numFmt w:val="lowerLetter"/>
      <w:lvlText w:val="%2."/>
      <w:lvlJc w:val="left"/>
      <w:pPr>
        <w:ind w:left="2880" w:hanging="360"/>
      </w:pPr>
      <w:rPr>
        <w:rFonts w:cs="Times New Roman"/>
      </w:rPr>
    </w:lvl>
    <w:lvl w:ilvl="2" w:tplc="0405001B" w:tentative="1">
      <w:start w:val="1"/>
      <w:numFmt w:val="lowerRoman"/>
      <w:lvlText w:val="%3."/>
      <w:lvlJc w:val="right"/>
      <w:pPr>
        <w:ind w:left="3600" w:hanging="180"/>
      </w:pPr>
      <w:rPr>
        <w:rFonts w:cs="Times New Roman"/>
      </w:rPr>
    </w:lvl>
    <w:lvl w:ilvl="3" w:tplc="0405000F" w:tentative="1">
      <w:start w:val="1"/>
      <w:numFmt w:val="decimal"/>
      <w:lvlText w:val="%4."/>
      <w:lvlJc w:val="left"/>
      <w:pPr>
        <w:ind w:left="4320" w:hanging="360"/>
      </w:pPr>
      <w:rPr>
        <w:rFonts w:cs="Times New Roman"/>
      </w:rPr>
    </w:lvl>
    <w:lvl w:ilvl="4" w:tplc="04050019" w:tentative="1">
      <w:start w:val="1"/>
      <w:numFmt w:val="lowerLetter"/>
      <w:lvlText w:val="%5."/>
      <w:lvlJc w:val="left"/>
      <w:pPr>
        <w:ind w:left="5040" w:hanging="360"/>
      </w:pPr>
      <w:rPr>
        <w:rFonts w:cs="Times New Roman"/>
      </w:rPr>
    </w:lvl>
    <w:lvl w:ilvl="5" w:tplc="0405001B" w:tentative="1">
      <w:start w:val="1"/>
      <w:numFmt w:val="lowerRoman"/>
      <w:lvlText w:val="%6."/>
      <w:lvlJc w:val="right"/>
      <w:pPr>
        <w:ind w:left="5760" w:hanging="180"/>
      </w:pPr>
      <w:rPr>
        <w:rFonts w:cs="Times New Roman"/>
      </w:rPr>
    </w:lvl>
    <w:lvl w:ilvl="6" w:tplc="0405000F" w:tentative="1">
      <w:start w:val="1"/>
      <w:numFmt w:val="decimal"/>
      <w:lvlText w:val="%7."/>
      <w:lvlJc w:val="left"/>
      <w:pPr>
        <w:ind w:left="6480" w:hanging="360"/>
      </w:pPr>
      <w:rPr>
        <w:rFonts w:cs="Times New Roman"/>
      </w:rPr>
    </w:lvl>
    <w:lvl w:ilvl="7" w:tplc="04050019" w:tentative="1">
      <w:start w:val="1"/>
      <w:numFmt w:val="lowerLetter"/>
      <w:lvlText w:val="%8."/>
      <w:lvlJc w:val="left"/>
      <w:pPr>
        <w:ind w:left="7200" w:hanging="360"/>
      </w:pPr>
      <w:rPr>
        <w:rFonts w:cs="Times New Roman"/>
      </w:rPr>
    </w:lvl>
    <w:lvl w:ilvl="8" w:tplc="0405001B" w:tentative="1">
      <w:start w:val="1"/>
      <w:numFmt w:val="lowerRoman"/>
      <w:lvlText w:val="%9."/>
      <w:lvlJc w:val="right"/>
      <w:pPr>
        <w:ind w:left="7920" w:hanging="180"/>
      </w:pPr>
      <w:rPr>
        <w:rFonts w:cs="Times New Roman"/>
      </w:rPr>
    </w:lvl>
  </w:abstractNum>
  <w:abstractNum w:abstractNumId="54">
    <w:nsid w:val="46974B57"/>
    <w:multiLevelType w:val="hybridMultilevel"/>
    <w:tmpl w:val="3E28EC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4790129C"/>
    <w:multiLevelType w:val="hybridMultilevel"/>
    <w:tmpl w:val="4ECC4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47B231AB"/>
    <w:multiLevelType w:val="hybridMultilevel"/>
    <w:tmpl w:val="46BE4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47B831D3"/>
    <w:multiLevelType w:val="multilevel"/>
    <w:tmpl w:val="43E2C018"/>
    <w:lvl w:ilvl="0">
      <w:start w:val="3"/>
      <w:numFmt w:val="upperRoman"/>
      <w:lvlText w:val="%1."/>
      <w:lvlJc w:val="righ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nsid w:val="49B56CFB"/>
    <w:multiLevelType w:val="hybridMultilevel"/>
    <w:tmpl w:val="DA48AFD4"/>
    <w:lvl w:ilvl="0" w:tplc="B6E89878">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nsid w:val="49F871E2"/>
    <w:multiLevelType w:val="hybridMultilevel"/>
    <w:tmpl w:val="5ED0C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4B8E58B4"/>
    <w:multiLevelType w:val="hybridMultilevel"/>
    <w:tmpl w:val="97087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4BA94F4B"/>
    <w:multiLevelType w:val="hybridMultilevel"/>
    <w:tmpl w:val="E21863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4C6B59B2"/>
    <w:multiLevelType w:val="multilevel"/>
    <w:tmpl w:val="77D23396"/>
    <w:lvl w:ilvl="0">
      <w:start w:val="1"/>
      <w:numFmt w:val="upperRoman"/>
      <w:lvlText w:val="%1."/>
      <w:lvlJc w:val="righ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nsid w:val="4CC57635"/>
    <w:multiLevelType w:val="multilevel"/>
    <w:tmpl w:val="1B84138A"/>
    <w:lvl w:ilvl="0">
      <w:start w:val="1"/>
      <w:numFmt w:val="upperRoman"/>
      <w:lvlText w:val="%1."/>
      <w:lvlJc w:val="left"/>
      <w:pPr>
        <w:ind w:left="1080" w:hanging="720"/>
      </w:pPr>
      <w:rPr>
        <w:rFonts w:cs="Calibri"/>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4">
    <w:nsid w:val="4CF1760F"/>
    <w:multiLevelType w:val="hybridMultilevel"/>
    <w:tmpl w:val="EE7252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4FFF3B86"/>
    <w:multiLevelType w:val="hybridMultilevel"/>
    <w:tmpl w:val="52A639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50410536"/>
    <w:multiLevelType w:val="hybridMultilevel"/>
    <w:tmpl w:val="43C446CC"/>
    <w:lvl w:ilvl="0" w:tplc="0405000F">
      <w:start w:val="1"/>
      <w:numFmt w:val="decimal"/>
      <w:lvlText w:val="%1."/>
      <w:lvlJc w:val="left"/>
      <w:pPr>
        <w:ind w:left="2160" w:hanging="360"/>
      </w:pPr>
      <w:rPr>
        <w:rFonts w:cs="Times New Roman"/>
      </w:rPr>
    </w:lvl>
    <w:lvl w:ilvl="1" w:tplc="04050019" w:tentative="1">
      <w:start w:val="1"/>
      <w:numFmt w:val="lowerLetter"/>
      <w:lvlText w:val="%2."/>
      <w:lvlJc w:val="left"/>
      <w:pPr>
        <w:ind w:left="2880" w:hanging="360"/>
      </w:pPr>
      <w:rPr>
        <w:rFonts w:cs="Times New Roman"/>
      </w:rPr>
    </w:lvl>
    <w:lvl w:ilvl="2" w:tplc="0405001B" w:tentative="1">
      <w:start w:val="1"/>
      <w:numFmt w:val="lowerRoman"/>
      <w:lvlText w:val="%3."/>
      <w:lvlJc w:val="right"/>
      <w:pPr>
        <w:ind w:left="3600" w:hanging="180"/>
      </w:pPr>
      <w:rPr>
        <w:rFonts w:cs="Times New Roman"/>
      </w:rPr>
    </w:lvl>
    <w:lvl w:ilvl="3" w:tplc="0405000F" w:tentative="1">
      <w:start w:val="1"/>
      <w:numFmt w:val="decimal"/>
      <w:lvlText w:val="%4."/>
      <w:lvlJc w:val="left"/>
      <w:pPr>
        <w:ind w:left="4320" w:hanging="360"/>
      </w:pPr>
      <w:rPr>
        <w:rFonts w:cs="Times New Roman"/>
      </w:rPr>
    </w:lvl>
    <w:lvl w:ilvl="4" w:tplc="04050019" w:tentative="1">
      <w:start w:val="1"/>
      <w:numFmt w:val="lowerLetter"/>
      <w:lvlText w:val="%5."/>
      <w:lvlJc w:val="left"/>
      <w:pPr>
        <w:ind w:left="5040" w:hanging="360"/>
      </w:pPr>
      <w:rPr>
        <w:rFonts w:cs="Times New Roman"/>
      </w:rPr>
    </w:lvl>
    <w:lvl w:ilvl="5" w:tplc="0405001B" w:tentative="1">
      <w:start w:val="1"/>
      <w:numFmt w:val="lowerRoman"/>
      <w:lvlText w:val="%6."/>
      <w:lvlJc w:val="right"/>
      <w:pPr>
        <w:ind w:left="5760" w:hanging="180"/>
      </w:pPr>
      <w:rPr>
        <w:rFonts w:cs="Times New Roman"/>
      </w:rPr>
    </w:lvl>
    <w:lvl w:ilvl="6" w:tplc="0405000F" w:tentative="1">
      <w:start w:val="1"/>
      <w:numFmt w:val="decimal"/>
      <w:lvlText w:val="%7."/>
      <w:lvlJc w:val="left"/>
      <w:pPr>
        <w:ind w:left="6480" w:hanging="360"/>
      </w:pPr>
      <w:rPr>
        <w:rFonts w:cs="Times New Roman"/>
      </w:rPr>
    </w:lvl>
    <w:lvl w:ilvl="7" w:tplc="04050019" w:tentative="1">
      <w:start w:val="1"/>
      <w:numFmt w:val="lowerLetter"/>
      <w:lvlText w:val="%8."/>
      <w:lvlJc w:val="left"/>
      <w:pPr>
        <w:ind w:left="7200" w:hanging="360"/>
      </w:pPr>
      <w:rPr>
        <w:rFonts w:cs="Times New Roman"/>
      </w:rPr>
    </w:lvl>
    <w:lvl w:ilvl="8" w:tplc="0405001B" w:tentative="1">
      <w:start w:val="1"/>
      <w:numFmt w:val="lowerRoman"/>
      <w:lvlText w:val="%9."/>
      <w:lvlJc w:val="right"/>
      <w:pPr>
        <w:ind w:left="7920" w:hanging="180"/>
      </w:pPr>
      <w:rPr>
        <w:rFonts w:cs="Times New Roman"/>
      </w:rPr>
    </w:lvl>
  </w:abstractNum>
  <w:abstractNum w:abstractNumId="67">
    <w:nsid w:val="54865CCE"/>
    <w:multiLevelType w:val="multilevel"/>
    <w:tmpl w:val="4566A61A"/>
    <w:styleLink w:val="Styl2"/>
    <w:lvl w:ilvl="0">
      <w:start w:val="2"/>
      <w:numFmt w:val="upperRoman"/>
      <w:lvlText w:val="%1."/>
      <w:lvlJc w:val="righ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8">
    <w:nsid w:val="568D1A14"/>
    <w:multiLevelType w:val="hybridMultilevel"/>
    <w:tmpl w:val="4CA02D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56FB16A9"/>
    <w:multiLevelType w:val="hybridMultilevel"/>
    <w:tmpl w:val="D50CD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5906048F"/>
    <w:multiLevelType w:val="hybridMultilevel"/>
    <w:tmpl w:val="4052E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59AC5701"/>
    <w:multiLevelType w:val="hybridMultilevel"/>
    <w:tmpl w:val="F81C171C"/>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72">
    <w:nsid w:val="59EB4686"/>
    <w:multiLevelType w:val="hybridMultilevel"/>
    <w:tmpl w:val="7368F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5AD03451"/>
    <w:multiLevelType w:val="hybridMultilevel"/>
    <w:tmpl w:val="A69C3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5CAF7193"/>
    <w:multiLevelType w:val="hybridMultilevel"/>
    <w:tmpl w:val="E98EA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nsid w:val="5D39307F"/>
    <w:multiLevelType w:val="hybridMultilevel"/>
    <w:tmpl w:val="48A67376"/>
    <w:lvl w:ilvl="0" w:tplc="04050003">
      <w:start w:val="1"/>
      <w:numFmt w:val="bullet"/>
      <w:lvlText w:val="o"/>
      <w:lvlJc w:val="left"/>
      <w:pPr>
        <w:ind w:left="1259" w:hanging="360"/>
      </w:pPr>
      <w:rPr>
        <w:rFonts w:ascii="Courier New" w:hAnsi="Courier New" w:hint="default"/>
      </w:rPr>
    </w:lvl>
    <w:lvl w:ilvl="1" w:tplc="04050003" w:tentative="1">
      <w:start w:val="1"/>
      <w:numFmt w:val="bullet"/>
      <w:lvlText w:val="o"/>
      <w:lvlJc w:val="left"/>
      <w:pPr>
        <w:ind w:left="1979" w:hanging="360"/>
      </w:pPr>
      <w:rPr>
        <w:rFonts w:ascii="Courier New" w:hAnsi="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76">
    <w:nsid w:val="62546F07"/>
    <w:multiLevelType w:val="hybridMultilevel"/>
    <w:tmpl w:val="675824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6C280766"/>
    <w:multiLevelType w:val="hybridMultilevel"/>
    <w:tmpl w:val="070C9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nsid w:val="6C5E2688"/>
    <w:multiLevelType w:val="hybridMultilevel"/>
    <w:tmpl w:val="AE3E2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nsid w:val="6C9B50A0"/>
    <w:multiLevelType w:val="hybridMultilevel"/>
    <w:tmpl w:val="47CA6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6D9F460E"/>
    <w:multiLevelType w:val="hybridMultilevel"/>
    <w:tmpl w:val="8ED06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6DEC3C21"/>
    <w:multiLevelType w:val="hybridMultilevel"/>
    <w:tmpl w:val="E9261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nsid w:val="6E835DC7"/>
    <w:multiLevelType w:val="hybridMultilevel"/>
    <w:tmpl w:val="D646BA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72600F97"/>
    <w:multiLevelType w:val="hybridMultilevel"/>
    <w:tmpl w:val="23B057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nsid w:val="76C4175D"/>
    <w:multiLevelType w:val="hybridMultilevel"/>
    <w:tmpl w:val="EDA43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nsid w:val="790057B7"/>
    <w:multiLevelType w:val="hybridMultilevel"/>
    <w:tmpl w:val="80907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nsid w:val="798E1279"/>
    <w:multiLevelType w:val="hybridMultilevel"/>
    <w:tmpl w:val="A718EB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nsid w:val="7BBD5E94"/>
    <w:multiLevelType w:val="multilevel"/>
    <w:tmpl w:val="76C84B1A"/>
    <w:lvl w:ilvl="0">
      <w:start w:val="1"/>
      <w:numFmt w:val="decimal"/>
      <w:lvlText w:val="%1."/>
      <w:lvlJc w:val="left"/>
      <w:pPr>
        <w:ind w:left="360" w:hanging="360"/>
      </w:pPr>
      <w:rPr>
        <w:rFonts w:cs="Times New Roman" w:hint="default"/>
        <w:sz w:val="22"/>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nsid w:val="7C650BF2"/>
    <w:multiLevelType w:val="hybridMultilevel"/>
    <w:tmpl w:val="D52449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nsid w:val="7C6A4315"/>
    <w:multiLevelType w:val="hybridMultilevel"/>
    <w:tmpl w:val="4C3638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90">
    <w:nsid w:val="7EB4177A"/>
    <w:multiLevelType w:val="hybridMultilevel"/>
    <w:tmpl w:val="F78C4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nsid w:val="7F01207B"/>
    <w:multiLevelType w:val="hybridMultilevel"/>
    <w:tmpl w:val="8A5A0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7"/>
  </w:num>
  <w:num w:numId="2">
    <w:abstractNumId w:val="37"/>
  </w:num>
  <w:num w:numId="3">
    <w:abstractNumId w:val="18"/>
  </w:num>
  <w:num w:numId="4">
    <w:abstractNumId w:val="17"/>
  </w:num>
  <w:num w:numId="5">
    <w:abstractNumId w:val="47"/>
  </w:num>
  <w:num w:numId="6">
    <w:abstractNumId w:val="65"/>
  </w:num>
  <w:num w:numId="7">
    <w:abstractNumId w:val="35"/>
  </w:num>
  <w:num w:numId="8">
    <w:abstractNumId w:val="69"/>
  </w:num>
  <w:num w:numId="9">
    <w:abstractNumId w:val="8"/>
  </w:num>
  <w:num w:numId="10">
    <w:abstractNumId w:val="38"/>
  </w:num>
  <w:num w:numId="11">
    <w:abstractNumId w:val="14"/>
  </w:num>
  <w:num w:numId="12">
    <w:abstractNumId w:val="86"/>
  </w:num>
  <w:num w:numId="13">
    <w:abstractNumId w:val="85"/>
  </w:num>
  <w:num w:numId="14">
    <w:abstractNumId w:val="87"/>
  </w:num>
  <w:num w:numId="15">
    <w:abstractNumId w:val="58"/>
  </w:num>
  <w:num w:numId="16">
    <w:abstractNumId w:val="45"/>
  </w:num>
  <w:num w:numId="17">
    <w:abstractNumId w:val="84"/>
  </w:num>
  <w:num w:numId="18">
    <w:abstractNumId w:val="55"/>
  </w:num>
  <w:num w:numId="19">
    <w:abstractNumId w:val="9"/>
  </w:num>
  <w:num w:numId="20">
    <w:abstractNumId w:val="19"/>
  </w:num>
  <w:num w:numId="21">
    <w:abstractNumId w:val="27"/>
  </w:num>
  <w:num w:numId="22">
    <w:abstractNumId w:val="54"/>
  </w:num>
  <w:num w:numId="23">
    <w:abstractNumId w:val="61"/>
  </w:num>
  <w:num w:numId="24">
    <w:abstractNumId w:val="52"/>
  </w:num>
  <w:num w:numId="25">
    <w:abstractNumId w:val="42"/>
  </w:num>
  <w:num w:numId="26">
    <w:abstractNumId w:val="13"/>
  </w:num>
  <w:num w:numId="27">
    <w:abstractNumId w:val="0"/>
  </w:num>
  <w:num w:numId="28">
    <w:abstractNumId w:val="29"/>
  </w:num>
  <w:num w:numId="29">
    <w:abstractNumId w:val="50"/>
  </w:num>
  <w:num w:numId="30">
    <w:abstractNumId w:val="83"/>
  </w:num>
  <w:num w:numId="31">
    <w:abstractNumId w:val="6"/>
  </w:num>
  <w:num w:numId="32">
    <w:abstractNumId w:val="73"/>
  </w:num>
  <w:num w:numId="33">
    <w:abstractNumId w:val="88"/>
  </w:num>
  <w:num w:numId="34">
    <w:abstractNumId w:val="5"/>
  </w:num>
  <w:num w:numId="35">
    <w:abstractNumId w:val="39"/>
  </w:num>
  <w:num w:numId="36">
    <w:abstractNumId w:val="43"/>
  </w:num>
  <w:num w:numId="37">
    <w:abstractNumId w:val="71"/>
  </w:num>
  <w:num w:numId="38">
    <w:abstractNumId w:val="81"/>
  </w:num>
  <w:num w:numId="39">
    <w:abstractNumId w:val="26"/>
  </w:num>
  <w:num w:numId="40">
    <w:abstractNumId w:val="44"/>
  </w:num>
  <w:num w:numId="41">
    <w:abstractNumId w:val="60"/>
  </w:num>
  <w:num w:numId="42">
    <w:abstractNumId w:val="23"/>
  </w:num>
  <w:num w:numId="43">
    <w:abstractNumId w:val="15"/>
  </w:num>
  <w:num w:numId="44">
    <w:abstractNumId w:val="16"/>
  </w:num>
  <w:num w:numId="45">
    <w:abstractNumId w:val="76"/>
  </w:num>
  <w:num w:numId="46">
    <w:abstractNumId w:val="79"/>
  </w:num>
  <w:num w:numId="47">
    <w:abstractNumId w:val="3"/>
  </w:num>
  <w:num w:numId="48">
    <w:abstractNumId w:val="74"/>
  </w:num>
  <w:num w:numId="49">
    <w:abstractNumId w:val="30"/>
  </w:num>
  <w:num w:numId="50">
    <w:abstractNumId w:val="20"/>
  </w:num>
  <w:num w:numId="51">
    <w:abstractNumId w:val="46"/>
  </w:num>
  <w:num w:numId="52">
    <w:abstractNumId w:val="40"/>
  </w:num>
  <w:num w:numId="53">
    <w:abstractNumId w:val="68"/>
  </w:num>
  <w:num w:numId="54">
    <w:abstractNumId w:val="12"/>
  </w:num>
  <w:num w:numId="55">
    <w:abstractNumId w:val="56"/>
  </w:num>
  <w:num w:numId="56">
    <w:abstractNumId w:val="80"/>
  </w:num>
  <w:num w:numId="57">
    <w:abstractNumId w:val="41"/>
  </w:num>
  <w:num w:numId="58">
    <w:abstractNumId w:val="64"/>
  </w:num>
  <w:num w:numId="59">
    <w:abstractNumId w:val="21"/>
  </w:num>
  <w:num w:numId="60">
    <w:abstractNumId w:val="34"/>
  </w:num>
  <w:num w:numId="61">
    <w:abstractNumId w:val="78"/>
  </w:num>
  <w:num w:numId="62">
    <w:abstractNumId w:val="67"/>
  </w:num>
  <w:num w:numId="63">
    <w:abstractNumId w:val="63"/>
  </w:num>
  <w:num w:numId="64">
    <w:abstractNumId w:val="2"/>
  </w:num>
  <w:num w:numId="65">
    <w:abstractNumId w:val="62"/>
  </w:num>
  <w:num w:numId="66">
    <w:abstractNumId w:val="57"/>
  </w:num>
  <w:num w:numId="67">
    <w:abstractNumId w:val="32"/>
  </w:num>
  <w:num w:numId="68">
    <w:abstractNumId w:val="10"/>
  </w:num>
  <w:num w:numId="69">
    <w:abstractNumId w:val="82"/>
  </w:num>
  <w:num w:numId="70">
    <w:abstractNumId w:val="90"/>
  </w:num>
  <w:num w:numId="71">
    <w:abstractNumId w:val="11"/>
  </w:num>
  <w:num w:numId="72">
    <w:abstractNumId w:val="7"/>
  </w:num>
  <w:num w:numId="73">
    <w:abstractNumId w:val="22"/>
  </w:num>
  <w:num w:numId="74">
    <w:abstractNumId w:val="24"/>
  </w:num>
  <w:num w:numId="75">
    <w:abstractNumId w:val="70"/>
  </w:num>
  <w:num w:numId="76">
    <w:abstractNumId w:val="72"/>
  </w:num>
  <w:num w:numId="77">
    <w:abstractNumId w:val="59"/>
  </w:num>
  <w:num w:numId="78">
    <w:abstractNumId w:val="51"/>
  </w:num>
  <w:num w:numId="79">
    <w:abstractNumId w:val="4"/>
  </w:num>
  <w:num w:numId="80">
    <w:abstractNumId w:val="33"/>
  </w:num>
  <w:num w:numId="81">
    <w:abstractNumId w:val="1"/>
  </w:num>
  <w:num w:numId="82">
    <w:abstractNumId w:val="49"/>
  </w:num>
  <w:num w:numId="83">
    <w:abstractNumId w:val="36"/>
  </w:num>
  <w:num w:numId="84">
    <w:abstractNumId w:val="48"/>
  </w:num>
  <w:num w:numId="85">
    <w:abstractNumId w:val="91"/>
  </w:num>
  <w:num w:numId="86">
    <w:abstractNumId w:val="25"/>
  </w:num>
  <w:num w:numId="87">
    <w:abstractNumId w:val="89"/>
  </w:num>
  <w:num w:numId="88">
    <w:abstractNumId w:val="75"/>
  </w:num>
  <w:num w:numId="89">
    <w:abstractNumId w:val="66"/>
  </w:num>
  <w:num w:numId="90">
    <w:abstractNumId w:val="53"/>
  </w:num>
  <w:num w:numId="91">
    <w:abstractNumId w:val="31"/>
  </w:num>
  <w:num w:numId="92">
    <w:abstractNumId w:val="28"/>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7BFE"/>
    <w:rsid w:val="000017E8"/>
    <w:rsid w:val="00001A54"/>
    <w:rsid w:val="00010BDF"/>
    <w:rsid w:val="00015BBE"/>
    <w:rsid w:val="00022AE6"/>
    <w:rsid w:val="0002664F"/>
    <w:rsid w:val="00030703"/>
    <w:rsid w:val="00030F1E"/>
    <w:rsid w:val="0003687B"/>
    <w:rsid w:val="000421B8"/>
    <w:rsid w:val="00050BCD"/>
    <w:rsid w:val="000564DC"/>
    <w:rsid w:val="00062D2F"/>
    <w:rsid w:val="00076659"/>
    <w:rsid w:val="0008405A"/>
    <w:rsid w:val="00084C97"/>
    <w:rsid w:val="00091C96"/>
    <w:rsid w:val="0009606A"/>
    <w:rsid w:val="00096411"/>
    <w:rsid w:val="000A00AD"/>
    <w:rsid w:val="000A5E0F"/>
    <w:rsid w:val="000A7BB7"/>
    <w:rsid w:val="000B30A8"/>
    <w:rsid w:val="000B4EE0"/>
    <w:rsid w:val="000D5111"/>
    <w:rsid w:val="000E0130"/>
    <w:rsid w:val="000E1AF2"/>
    <w:rsid w:val="000F6D57"/>
    <w:rsid w:val="00114AD5"/>
    <w:rsid w:val="0013011B"/>
    <w:rsid w:val="00130222"/>
    <w:rsid w:val="00130F30"/>
    <w:rsid w:val="00135499"/>
    <w:rsid w:val="00135F7D"/>
    <w:rsid w:val="001363C0"/>
    <w:rsid w:val="00137AAC"/>
    <w:rsid w:val="001462C0"/>
    <w:rsid w:val="00147F6E"/>
    <w:rsid w:val="00150E72"/>
    <w:rsid w:val="001528DD"/>
    <w:rsid w:val="001537BB"/>
    <w:rsid w:val="001635F1"/>
    <w:rsid w:val="00171047"/>
    <w:rsid w:val="0017714B"/>
    <w:rsid w:val="00185183"/>
    <w:rsid w:val="001914FB"/>
    <w:rsid w:val="001A40B3"/>
    <w:rsid w:val="001A6C22"/>
    <w:rsid w:val="001B1964"/>
    <w:rsid w:val="001C28EE"/>
    <w:rsid w:val="001D1209"/>
    <w:rsid w:val="001D423A"/>
    <w:rsid w:val="001E71B7"/>
    <w:rsid w:val="001F2458"/>
    <w:rsid w:val="001F3427"/>
    <w:rsid w:val="001F7238"/>
    <w:rsid w:val="00201889"/>
    <w:rsid w:val="00201F58"/>
    <w:rsid w:val="00202B8B"/>
    <w:rsid w:val="0021242D"/>
    <w:rsid w:val="00221B9C"/>
    <w:rsid w:val="00222312"/>
    <w:rsid w:val="0022632C"/>
    <w:rsid w:val="00227659"/>
    <w:rsid w:val="002344B1"/>
    <w:rsid w:val="00234788"/>
    <w:rsid w:val="00234CFC"/>
    <w:rsid w:val="0024443B"/>
    <w:rsid w:val="0024540B"/>
    <w:rsid w:val="00253566"/>
    <w:rsid w:val="00256739"/>
    <w:rsid w:val="00282825"/>
    <w:rsid w:val="002A0959"/>
    <w:rsid w:val="002A258F"/>
    <w:rsid w:val="002B18CC"/>
    <w:rsid w:val="002B5F99"/>
    <w:rsid w:val="002D69B6"/>
    <w:rsid w:val="002E0A93"/>
    <w:rsid w:val="002E51E4"/>
    <w:rsid w:val="002E721F"/>
    <w:rsid w:val="002F062D"/>
    <w:rsid w:val="002F342F"/>
    <w:rsid w:val="00310AE2"/>
    <w:rsid w:val="00310DD8"/>
    <w:rsid w:val="00311B0B"/>
    <w:rsid w:val="003359CC"/>
    <w:rsid w:val="003557E0"/>
    <w:rsid w:val="0036241E"/>
    <w:rsid w:val="00363FEA"/>
    <w:rsid w:val="00366973"/>
    <w:rsid w:val="00375D9F"/>
    <w:rsid w:val="00393492"/>
    <w:rsid w:val="003940B8"/>
    <w:rsid w:val="00395CDD"/>
    <w:rsid w:val="003A0F01"/>
    <w:rsid w:val="003A5845"/>
    <w:rsid w:val="003A666C"/>
    <w:rsid w:val="003A73E2"/>
    <w:rsid w:val="003C18EB"/>
    <w:rsid w:val="003D6CFD"/>
    <w:rsid w:val="003E076D"/>
    <w:rsid w:val="003E2752"/>
    <w:rsid w:val="003E3A14"/>
    <w:rsid w:val="003E5803"/>
    <w:rsid w:val="003F18E9"/>
    <w:rsid w:val="003F2112"/>
    <w:rsid w:val="003F5DCD"/>
    <w:rsid w:val="003F77BE"/>
    <w:rsid w:val="00401A39"/>
    <w:rsid w:val="00401D39"/>
    <w:rsid w:val="00414F4E"/>
    <w:rsid w:val="00420102"/>
    <w:rsid w:val="00420EDF"/>
    <w:rsid w:val="0042375D"/>
    <w:rsid w:val="00431A40"/>
    <w:rsid w:val="00433982"/>
    <w:rsid w:val="00436201"/>
    <w:rsid w:val="00441065"/>
    <w:rsid w:val="004429DB"/>
    <w:rsid w:val="00442A0C"/>
    <w:rsid w:val="004446B1"/>
    <w:rsid w:val="00444CE5"/>
    <w:rsid w:val="00444F6D"/>
    <w:rsid w:val="004523E3"/>
    <w:rsid w:val="00454158"/>
    <w:rsid w:val="00461688"/>
    <w:rsid w:val="00461E25"/>
    <w:rsid w:val="0046590D"/>
    <w:rsid w:val="00465A86"/>
    <w:rsid w:val="00466AF8"/>
    <w:rsid w:val="004703C1"/>
    <w:rsid w:val="00476D80"/>
    <w:rsid w:val="00487B76"/>
    <w:rsid w:val="004906EF"/>
    <w:rsid w:val="004A032A"/>
    <w:rsid w:val="004A170F"/>
    <w:rsid w:val="004A24BB"/>
    <w:rsid w:val="004A5852"/>
    <w:rsid w:val="004B4699"/>
    <w:rsid w:val="004C6043"/>
    <w:rsid w:val="004D1978"/>
    <w:rsid w:val="004D7A56"/>
    <w:rsid w:val="004E17D8"/>
    <w:rsid w:val="004E1848"/>
    <w:rsid w:val="004E3214"/>
    <w:rsid w:val="004E3364"/>
    <w:rsid w:val="004E3A07"/>
    <w:rsid w:val="004E54E7"/>
    <w:rsid w:val="004E7C48"/>
    <w:rsid w:val="004F187D"/>
    <w:rsid w:val="004F26F1"/>
    <w:rsid w:val="004F4B69"/>
    <w:rsid w:val="004F7425"/>
    <w:rsid w:val="00500664"/>
    <w:rsid w:val="00510255"/>
    <w:rsid w:val="00510C04"/>
    <w:rsid w:val="005145B1"/>
    <w:rsid w:val="005364B5"/>
    <w:rsid w:val="00543090"/>
    <w:rsid w:val="0054494D"/>
    <w:rsid w:val="00552D6F"/>
    <w:rsid w:val="005703DF"/>
    <w:rsid w:val="00574217"/>
    <w:rsid w:val="00574531"/>
    <w:rsid w:val="005747B2"/>
    <w:rsid w:val="00580F31"/>
    <w:rsid w:val="005830FF"/>
    <w:rsid w:val="0059419D"/>
    <w:rsid w:val="00596217"/>
    <w:rsid w:val="005A63D9"/>
    <w:rsid w:val="005A74C8"/>
    <w:rsid w:val="005B6CB9"/>
    <w:rsid w:val="005C1166"/>
    <w:rsid w:val="005C66F3"/>
    <w:rsid w:val="005C685C"/>
    <w:rsid w:val="005C7CCC"/>
    <w:rsid w:val="005D16E8"/>
    <w:rsid w:val="005D7861"/>
    <w:rsid w:val="005F0F0A"/>
    <w:rsid w:val="006023B3"/>
    <w:rsid w:val="00603D85"/>
    <w:rsid w:val="00615187"/>
    <w:rsid w:val="0062116D"/>
    <w:rsid w:val="00624252"/>
    <w:rsid w:val="0063579C"/>
    <w:rsid w:val="006404F4"/>
    <w:rsid w:val="0064430D"/>
    <w:rsid w:val="006511BE"/>
    <w:rsid w:val="006569DF"/>
    <w:rsid w:val="00663D77"/>
    <w:rsid w:val="00666894"/>
    <w:rsid w:val="00666B30"/>
    <w:rsid w:val="006715AF"/>
    <w:rsid w:val="006A3F4F"/>
    <w:rsid w:val="006A64F2"/>
    <w:rsid w:val="006B6E60"/>
    <w:rsid w:val="006C4C5B"/>
    <w:rsid w:val="006E692D"/>
    <w:rsid w:val="006E77B6"/>
    <w:rsid w:val="00707D04"/>
    <w:rsid w:val="00723E52"/>
    <w:rsid w:val="00727524"/>
    <w:rsid w:val="007330B3"/>
    <w:rsid w:val="00734860"/>
    <w:rsid w:val="00736D38"/>
    <w:rsid w:val="0073729E"/>
    <w:rsid w:val="00740208"/>
    <w:rsid w:val="00743350"/>
    <w:rsid w:val="0075495F"/>
    <w:rsid w:val="007601CC"/>
    <w:rsid w:val="00762A77"/>
    <w:rsid w:val="007719A7"/>
    <w:rsid w:val="00776DC1"/>
    <w:rsid w:val="00782D67"/>
    <w:rsid w:val="00783D21"/>
    <w:rsid w:val="00783F0D"/>
    <w:rsid w:val="00795296"/>
    <w:rsid w:val="00797C06"/>
    <w:rsid w:val="00797F49"/>
    <w:rsid w:val="007A7211"/>
    <w:rsid w:val="007B4B14"/>
    <w:rsid w:val="007B51F2"/>
    <w:rsid w:val="007D081D"/>
    <w:rsid w:val="007D347B"/>
    <w:rsid w:val="007D69C4"/>
    <w:rsid w:val="007E4E71"/>
    <w:rsid w:val="007F195B"/>
    <w:rsid w:val="007F5FB0"/>
    <w:rsid w:val="007F720A"/>
    <w:rsid w:val="00800F2A"/>
    <w:rsid w:val="00814E4B"/>
    <w:rsid w:val="00817F4B"/>
    <w:rsid w:val="00833E7F"/>
    <w:rsid w:val="008562F7"/>
    <w:rsid w:val="00862EB0"/>
    <w:rsid w:val="00865781"/>
    <w:rsid w:val="0087026E"/>
    <w:rsid w:val="008768DD"/>
    <w:rsid w:val="00881849"/>
    <w:rsid w:val="00882E01"/>
    <w:rsid w:val="00883685"/>
    <w:rsid w:val="008A25C6"/>
    <w:rsid w:val="008A2EA9"/>
    <w:rsid w:val="008A4798"/>
    <w:rsid w:val="008B45EF"/>
    <w:rsid w:val="008B6572"/>
    <w:rsid w:val="008B7936"/>
    <w:rsid w:val="008C07E9"/>
    <w:rsid w:val="008D257A"/>
    <w:rsid w:val="008D28BA"/>
    <w:rsid w:val="008D40EB"/>
    <w:rsid w:val="008E2C82"/>
    <w:rsid w:val="008F3BBC"/>
    <w:rsid w:val="008F59D0"/>
    <w:rsid w:val="00913F0F"/>
    <w:rsid w:val="0094169D"/>
    <w:rsid w:val="00946055"/>
    <w:rsid w:val="00946133"/>
    <w:rsid w:val="00951866"/>
    <w:rsid w:val="00960505"/>
    <w:rsid w:val="0096468F"/>
    <w:rsid w:val="00964777"/>
    <w:rsid w:val="00966AE5"/>
    <w:rsid w:val="00970924"/>
    <w:rsid w:val="00971547"/>
    <w:rsid w:val="009728E4"/>
    <w:rsid w:val="00972F57"/>
    <w:rsid w:val="009763D4"/>
    <w:rsid w:val="00981485"/>
    <w:rsid w:val="0098492B"/>
    <w:rsid w:val="00986E9E"/>
    <w:rsid w:val="00991DD7"/>
    <w:rsid w:val="00992B1B"/>
    <w:rsid w:val="009A67C3"/>
    <w:rsid w:val="009B0A4A"/>
    <w:rsid w:val="009B183D"/>
    <w:rsid w:val="009B2837"/>
    <w:rsid w:val="009C68B4"/>
    <w:rsid w:val="009C6DEF"/>
    <w:rsid w:val="009C7B90"/>
    <w:rsid w:val="009D0D50"/>
    <w:rsid w:val="009E062D"/>
    <w:rsid w:val="009E484A"/>
    <w:rsid w:val="009F13EB"/>
    <w:rsid w:val="009F5EFB"/>
    <w:rsid w:val="00A0652E"/>
    <w:rsid w:val="00A11E9B"/>
    <w:rsid w:val="00A13926"/>
    <w:rsid w:val="00A200C6"/>
    <w:rsid w:val="00A33719"/>
    <w:rsid w:val="00A378DF"/>
    <w:rsid w:val="00A51E44"/>
    <w:rsid w:val="00A541FD"/>
    <w:rsid w:val="00A67446"/>
    <w:rsid w:val="00A74D61"/>
    <w:rsid w:val="00A87026"/>
    <w:rsid w:val="00AA539A"/>
    <w:rsid w:val="00AB0AE8"/>
    <w:rsid w:val="00AB1549"/>
    <w:rsid w:val="00AB391D"/>
    <w:rsid w:val="00AC1E95"/>
    <w:rsid w:val="00AC7BFE"/>
    <w:rsid w:val="00AD40F8"/>
    <w:rsid w:val="00AE2811"/>
    <w:rsid w:val="00AE604E"/>
    <w:rsid w:val="00B247DF"/>
    <w:rsid w:val="00B24D6D"/>
    <w:rsid w:val="00B25C79"/>
    <w:rsid w:val="00B329D2"/>
    <w:rsid w:val="00B32F5A"/>
    <w:rsid w:val="00B36335"/>
    <w:rsid w:val="00B4372E"/>
    <w:rsid w:val="00B53722"/>
    <w:rsid w:val="00B57E36"/>
    <w:rsid w:val="00B60C33"/>
    <w:rsid w:val="00B613BA"/>
    <w:rsid w:val="00B61D89"/>
    <w:rsid w:val="00B63A03"/>
    <w:rsid w:val="00B6528F"/>
    <w:rsid w:val="00B706D0"/>
    <w:rsid w:val="00B762DF"/>
    <w:rsid w:val="00B82149"/>
    <w:rsid w:val="00B910EB"/>
    <w:rsid w:val="00B92C74"/>
    <w:rsid w:val="00B934B2"/>
    <w:rsid w:val="00BA10CF"/>
    <w:rsid w:val="00BB26D5"/>
    <w:rsid w:val="00BB4882"/>
    <w:rsid w:val="00BE21F6"/>
    <w:rsid w:val="00BE7FB5"/>
    <w:rsid w:val="00BF2811"/>
    <w:rsid w:val="00BF3AA0"/>
    <w:rsid w:val="00BF464B"/>
    <w:rsid w:val="00BF6902"/>
    <w:rsid w:val="00C05D6D"/>
    <w:rsid w:val="00C12518"/>
    <w:rsid w:val="00C15709"/>
    <w:rsid w:val="00C27D12"/>
    <w:rsid w:val="00C50772"/>
    <w:rsid w:val="00C51316"/>
    <w:rsid w:val="00C51766"/>
    <w:rsid w:val="00C60750"/>
    <w:rsid w:val="00C64ECA"/>
    <w:rsid w:val="00C7018C"/>
    <w:rsid w:val="00C77C67"/>
    <w:rsid w:val="00C812EC"/>
    <w:rsid w:val="00C9325B"/>
    <w:rsid w:val="00C932AD"/>
    <w:rsid w:val="00C94192"/>
    <w:rsid w:val="00CA1924"/>
    <w:rsid w:val="00CA5B57"/>
    <w:rsid w:val="00CA6340"/>
    <w:rsid w:val="00CB05A6"/>
    <w:rsid w:val="00CB0C37"/>
    <w:rsid w:val="00CB2805"/>
    <w:rsid w:val="00CC0334"/>
    <w:rsid w:val="00CC62A1"/>
    <w:rsid w:val="00CD3390"/>
    <w:rsid w:val="00CD4AC4"/>
    <w:rsid w:val="00CE3AB2"/>
    <w:rsid w:val="00CE4D06"/>
    <w:rsid w:val="00CE6377"/>
    <w:rsid w:val="00CE6CAF"/>
    <w:rsid w:val="00CF365D"/>
    <w:rsid w:val="00CF7275"/>
    <w:rsid w:val="00D0468D"/>
    <w:rsid w:val="00D10838"/>
    <w:rsid w:val="00D276D0"/>
    <w:rsid w:val="00D31DFC"/>
    <w:rsid w:val="00D42DD3"/>
    <w:rsid w:val="00D43440"/>
    <w:rsid w:val="00D46F87"/>
    <w:rsid w:val="00D55320"/>
    <w:rsid w:val="00D57A3F"/>
    <w:rsid w:val="00D603C8"/>
    <w:rsid w:val="00D6055F"/>
    <w:rsid w:val="00D6141D"/>
    <w:rsid w:val="00D7771C"/>
    <w:rsid w:val="00D82415"/>
    <w:rsid w:val="00D9031F"/>
    <w:rsid w:val="00D95A3F"/>
    <w:rsid w:val="00DA723C"/>
    <w:rsid w:val="00DB23F7"/>
    <w:rsid w:val="00DB68B0"/>
    <w:rsid w:val="00DB7BCA"/>
    <w:rsid w:val="00DC19B9"/>
    <w:rsid w:val="00DC2BAF"/>
    <w:rsid w:val="00DD32E4"/>
    <w:rsid w:val="00DD3771"/>
    <w:rsid w:val="00E05532"/>
    <w:rsid w:val="00E13C3F"/>
    <w:rsid w:val="00E20E61"/>
    <w:rsid w:val="00E27ED8"/>
    <w:rsid w:val="00E30271"/>
    <w:rsid w:val="00E3776E"/>
    <w:rsid w:val="00E5722A"/>
    <w:rsid w:val="00E61D6B"/>
    <w:rsid w:val="00E621E3"/>
    <w:rsid w:val="00E82A2A"/>
    <w:rsid w:val="00E96E65"/>
    <w:rsid w:val="00EA6B2D"/>
    <w:rsid w:val="00EB2B29"/>
    <w:rsid w:val="00EB5F6B"/>
    <w:rsid w:val="00EC5A7A"/>
    <w:rsid w:val="00ED2D51"/>
    <w:rsid w:val="00ED31DB"/>
    <w:rsid w:val="00ED350F"/>
    <w:rsid w:val="00EE2B6D"/>
    <w:rsid w:val="00EF4216"/>
    <w:rsid w:val="00F03AB5"/>
    <w:rsid w:val="00F055B6"/>
    <w:rsid w:val="00F1429E"/>
    <w:rsid w:val="00F16B72"/>
    <w:rsid w:val="00F2207D"/>
    <w:rsid w:val="00F3173D"/>
    <w:rsid w:val="00F31CB2"/>
    <w:rsid w:val="00F356A8"/>
    <w:rsid w:val="00F35D7D"/>
    <w:rsid w:val="00F44C07"/>
    <w:rsid w:val="00F51ADE"/>
    <w:rsid w:val="00F55ED0"/>
    <w:rsid w:val="00F621B5"/>
    <w:rsid w:val="00F6678E"/>
    <w:rsid w:val="00F67917"/>
    <w:rsid w:val="00F70EA4"/>
    <w:rsid w:val="00F726D2"/>
    <w:rsid w:val="00F750D8"/>
    <w:rsid w:val="00F80979"/>
    <w:rsid w:val="00F80F50"/>
    <w:rsid w:val="00F834B1"/>
    <w:rsid w:val="00F95CD1"/>
    <w:rsid w:val="00FA17CD"/>
    <w:rsid w:val="00FA39F1"/>
    <w:rsid w:val="00FA7281"/>
    <w:rsid w:val="00FA77AB"/>
    <w:rsid w:val="00FB1EF3"/>
    <w:rsid w:val="00FC3C4E"/>
    <w:rsid w:val="00FC6ADE"/>
    <w:rsid w:val="00FE029A"/>
    <w:rsid w:val="00FE0495"/>
    <w:rsid w:val="00FE48E6"/>
    <w:rsid w:val="00FF6DC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B0AE8"/>
    <w:pPr>
      <w:spacing w:afterLines="60" w:line="288" w:lineRule="auto"/>
      <w:contextualSpacing/>
    </w:pPr>
    <w:rPr>
      <w:rFonts w:ascii="Arial" w:hAnsi="Arial" w:cs="Arial"/>
      <w:lang w:eastAsia="en-US"/>
    </w:rPr>
  </w:style>
  <w:style w:type="paragraph" w:styleId="Heading1">
    <w:name w:val="heading 1"/>
    <w:basedOn w:val="Normal"/>
    <w:next w:val="Normal"/>
    <w:link w:val="Heading1Char"/>
    <w:uiPriority w:val="99"/>
    <w:qFormat/>
    <w:rsid w:val="00466AF8"/>
    <w:pPr>
      <w:keepNext/>
      <w:keepLines/>
      <w:spacing w:before="240"/>
      <w:outlineLvl w:val="0"/>
    </w:pPr>
    <w:rPr>
      <w:rFonts w:cs="Times New Roman"/>
      <w:b/>
      <w:sz w:val="40"/>
      <w:szCs w:val="40"/>
      <w:lang w:eastAsia="cs-CZ"/>
    </w:rPr>
  </w:style>
  <w:style w:type="paragraph" w:styleId="Heading2">
    <w:name w:val="heading 2"/>
    <w:basedOn w:val="Heading1"/>
    <w:next w:val="Normal"/>
    <w:link w:val="Heading2Char"/>
    <w:uiPriority w:val="99"/>
    <w:qFormat/>
    <w:rsid w:val="008C07E9"/>
    <w:pPr>
      <w:outlineLvl w:val="1"/>
    </w:pPr>
    <w:rPr>
      <w:i/>
      <w:sz w:val="28"/>
      <w:szCs w:val="28"/>
    </w:rPr>
  </w:style>
  <w:style w:type="paragraph" w:styleId="Heading3">
    <w:name w:val="heading 3"/>
    <w:basedOn w:val="Normal"/>
    <w:next w:val="Normal"/>
    <w:link w:val="Heading3Char"/>
    <w:uiPriority w:val="99"/>
    <w:qFormat/>
    <w:rsid w:val="00E621E3"/>
    <w:pPr>
      <w:spacing w:after="144"/>
      <w:jc w:val="both"/>
      <w:outlineLvl w:val="2"/>
    </w:pPr>
    <w:rPr>
      <w:rFonts w:cs="Times New Roman"/>
      <w:b/>
      <w:color w:val="000000"/>
      <w:sz w:val="26"/>
      <w:szCs w:val="26"/>
      <w:lang w:eastAsia="cs-CZ"/>
    </w:rPr>
  </w:style>
  <w:style w:type="paragraph" w:styleId="Heading4">
    <w:name w:val="heading 4"/>
    <w:basedOn w:val="Normal"/>
    <w:next w:val="Normal"/>
    <w:link w:val="Heading4Char"/>
    <w:uiPriority w:val="99"/>
    <w:qFormat/>
    <w:rsid w:val="00D10838"/>
    <w:pPr>
      <w:keepNext/>
      <w:keepLines/>
      <w:spacing w:before="200" w:afterLines="0" w:line="276" w:lineRule="auto"/>
      <w:contextualSpacing w:val="0"/>
      <w:jc w:val="both"/>
      <w:outlineLvl w:val="3"/>
    </w:pPr>
    <w:rPr>
      <w:rFonts w:ascii="Calibri Light" w:hAnsi="Calibri Light" w:cs="Times New Roman"/>
      <w:b/>
      <w:bCs/>
      <w:i/>
      <w:iCs/>
      <w:color w:val="5B9BD5"/>
      <w:sz w:val="20"/>
      <w:szCs w:val="20"/>
      <w:lang w:val="en-US" w:eastAsia="cs-CZ"/>
    </w:rPr>
  </w:style>
  <w:style w:type="paragraph" w:styleId="Heading5">
    <w:name w:val="heading 5"/>
    <w:basedOn w:val="Normal"/>
    <w:next w:val="Normal"/>
    <w:link w:val="Heading5Char"/>
    <w:uiPriority w:val="99"/>
    <w:qFormat/>
    <w:rsid w:val="00D10838"/>
    <w:pPr>
      <w:keepNext/>
      <w:keepLines/>
      <w:spacing w:before="200" w:afterLines="0" w:line="276" w:lineRule="auto"/>
      <w:contextualSpacing w:val="0"/>
      <w:jc w:val="both"/>
      <w:outlineLvl w:val="4"/>
    </w:pPr>
    <w:rPr>
      <w:rFonts w:ascii="Calibri Light" w:hAnsi="Calibri Light" w:cs="Times New Roman"/>
      <w:color w:val="1F4D78"/>
      <w:sz w:val="20"/>
      <w:szCs w:val="20"/>
      <w:lang w:val="en-US" w:eastAsia="cs-CZ"/>
    </w:rPr>
  </w:style>
  <w:style w:type="paragraph" w:styleId="Heading6">
    <w:name w:val="heading 6"/>
    <w:basedOn w:val="Normal"/>
    <w:next w:val="Normal"/>
    <w:link w:val="Heading6Char"/>
    <w:uiPriority w:val="99"/>
    <w:qFormat/>
    <w:rsid w:val="00D10838"/>
    <w:pPr>
      <w:keepNext/>
      <w:keepLines/>
      <w:spacing w:before="200" w:afterLines="0" w:line="276" w:lineRule="auto"/>
      <w:contextualSpacing w:val="0"/>
      <w:jc w:val="both"/>
      <w:outlineLvl w:val="5"/>
    </w:pPr>
    <w:rPr>
      <w:rFonts w:ascii="Calibri Light" w:hAnsi="Calibri Light" w:cs="Times New Roman"/>
      <w:i/>
      <w:iCs/>
      <w:color w:val="1F4D78"/>
      <w:sz w:val="20"/>
      <w:szCs w:val="20"/>
      <w:lang w:val="en-US" w:eastAsia="cs-CZ"/>
    </w:rPr>
  </w:style>
  <w:style w:type="paragraph" w:styleId="Heading7">
    <w:name w:val="heading 7"/>
    <w:basedOn w:val="Normal"/>
    <w:next w:val="Normal"/>
    <w:link w:val="Heading7Char"/>
    <w:uiPriority w:val="99"/>
    <w:qFormat/>
    <w:rsid w:val="00D10838"/>
    <w:pPr>
      <w:keepNext/>
      <w:keepLines/>
      <w:spacing w:before="200" w:afterLines="0" w:line="276" w:lineRule="auto"/>
      <w:contextualSpacing w:val="0"/>
      <w:jc w:val="both"/>
      <w:outlineLvl w:val="6"/>
    </w:pPr>
    <w:rPr>
      <w:rFonts w:ascii="Calibri Light" w:hAnsi="Calibri Light" w:cs="Times New Roman"/>
      <w:i/>
      <w:iCs/>
      <w:color w:val="404040"/>
      <w:sz w:val="20"/>
      <w:szCs w:val="20"/>
      <w:lang w:val="en-US" w:eastAsia="cs-CZ"/>
    </w:rPr>
  </w:style>
  <w:style w:type="paragraph" w:styleId="Heading8">
    <w:name w:val="heading 8"/>
    <w:basedOn w:val="Normal"/>
    <w:next w:val="Normal"/>
    <w:link w:val="Heading8Char"/>
    <w:uiPriority w:val="99"/>
    <w:qFormat/>
    <w:rsid w:val="00D10838"/>
    <w:pPr>
      <w:keepNext/>
      <w:keepLines/>
      <w:spacing w:before="200" w:afterLines="0" w:line="276" w:lineRule="auto"/>
      <w:contextualSpacing w:val="0"/>
      <w:jc w:val="both"/>
      <w:outlineLvl w:val="7"/>
    </w:pPr>
    <w:rPr>
      <w:rFonts w:ascii="Calibri Light" w:hAnsi="Calibri Light" w:cs="Times New Roman"/>
      <w:color w:val="5B9BD5"/>
      <w:sz w:val="20"/>
      <w:szCs w:val="20"/>
      <w:lang w:val="en-US" w:eastAsia="cs-CZ"/>
    </w:rPr>
  </w:style>
  <w:style w:type="paragraph" w:styleId="Heading9">
    <w:name w:val="heading 9"/>
    <w:basedOn w:val="Normal"/>
    <w:next w:val="Normal"/>
    <w:link w:val="Heading9Char"/>
    <w:uiPriority w:val="99"/>
    <w:qFormat/>
    <w:rsid w:val="00D10838"/>
    <w:pPr>
      <w:keepNext/>
      <w:keepLines/>
      <w:spacing w:before="200" w:afterLines="0" w:line="276" w:lineRule="auto"/>
      <w:contextualSpacing w:val="0"/>
      <w:jc w:val="both"/>
      <w:outlineLvl w:val="8"/>
    </w:pPr>
    <w:rPr>
      <w:rFonts w:ascii="Calibri Light" w:hAnsi="Calibri Light" w:cs="Times New Roman"/>
      <w:i/>
      <w:iCs/>
      <w:color w:val="404040"/>
      <w:sz w:val="20"/>
      <w:szCs w:val="20"/>
      <w:lang w:val="en-US"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AF8"/>
    <w:rPr>
      <w:rFonts w:ascii="Arial" w:hAnsi="Arial"/>
      <w:b/>
      <w:sz w:val="40"/>
    </w:rPr>
  </w:style>
  <w:style w:type="character" w:customStyle="1" w:styleId="Heading2Char">
    <w:name w:val="Heading 2 Char"/>
    <w:basedOn w:val="DefaultParagraphFont"/>
    <w:link w:val="Heading2"/>
    <w:uiPriority w:val="99"/>
    <w:locked/>
    <w:rsid w:val="008C07E9"/>
    <w:rPr>
      <w:rFonts w:ascii="Arial" w:hAnsi="Arial"/>
      <w:b/>
      <w:i/>
      <w:sz w:val="28"/>
    </w:rPr>
  </w:style>
  <w:style w:type="character" w:customStyle="1" w:styleId="Heading3Char">
    <w:name w:val="Heading 3 Char"/>
    <w:basedOn w:val="DefaultParagraphFont"/>
    <w:link w:val="Heading3"/>
    <w:uiPriority w:val="99"/>
    <w:locked/>
    <w:rsid w:val="00E621E3"/>
    <w:rPr>
      <w:rFonts w:ascii="Arial" w:hAnsi="Arial"/>
      <w:b/>
      <w:color w:val="000000"/>
      <w:sz w:val="26"/>
    </w:rPr>
  </w:style>
  <w:style w:type="character" w:customStyle="1" w:styleId="Heading4Char">
    <w:name w:val="Heading 4 Char"/>
    <w:basedOn w:val="DefaultParagraphFont"/>
    <w:link w:val="Heading4"/>
    <w:uiPriority w:val="99"/>
    <w:locked/>
    <w:rsid w:val="00D10838"/>
    <w:rPr>
      <w:rFonts w:ascii="Calibri Light" w:hAnsi="Calibri Light"/>
      <w:b/>
      <w:i/>
      <w:color w:val="5B9BD5"/>
      <w:lang w:val="en-US"/>
    </w:rPr>
  </w:style>
  <w:style w:type="character" w:customStyle="1" w:styleId="Heading5Char">
    <w:name w:val="Heading 5 Char"/>
    <w:basedOn w:val="DefaultParagraphFont"/>
    <w:link w:val="Heading5"/>
    <w:uiPriority w:val="99"/>
    <w:locked/>
    <w:rsid w:val="00D10838"/>
    <w:rPr>
      <w:rFonts w:ascii="Calibri Light" w:hAnsi="Calibri Light"/>
      <w:color w:val="1F4D78"/>
      <w:lang w:val="en-US"/>
    </w:rPr>
  </w:style>
  <w:style w:type="character" w:customStyle="1" w:styleId="Heading6Char">
    <w:name w:val="Heading 6 Char"/>
    <w:basedOn w:val="DefaultParagraphFont"/>
    <w:link w:val="Heading6"/>
    <w:uiPriority w:val="99"/>
    <w:locked/>
    <w:rsid w:val="00D10838"/>
    <w:rPr>
      <w:rFonts w:ascii="Calibri Light" w:hAnsi="Calibri Light"/>
      <w:i/>
      <w:color w:val="1F4D78"/>
      <w:lang w:val="en-US"/>
    </w:rPr>
  </w:style>
  <w:style w:type="character" w:customStyle="1" w:styleId="Heading7Char">
    <w:name w:val="Heading 7 Char"/>
    <w:basedOn w:val="DefaultParagraphFont"/>
    <w:link w:val="Heading7"/>
    <w:uiPriority w:val="99"/>
    <w:locked/>
    <w:rsid w:val="00D10838"/>
    <w:rPr>
      <w:rFonts w:ascii="Calibri Light" w:hAnsi="Calibri Light"/>
      <w:i/>
      <w:color w:val="404040"/>
      <w:lang w:val="en-US"/>
    </w:rPr>
  </w:style>
  <w:style w:type="character" w:customStyle="1" w:styleId="Heading8Char">
    <w:name w:val="Heading 8 Char"/>
    <w:basedOn w:val="DefaultParagraphFont"/>
    <w:link w:val="Heading8"/>
    <w:uiPriority w:val="99"/>
    <w:locked/>
    <w:rsid w:val="00D10838"/>
    <w:rPr>
      <w:rFonts w:ascii="Calibri Light" w:hAnsi="Calibri Light"/>
      <w:color w:val="5B9BD5"/>
      <w:sz w:val="20"/>
      <w:lang w:val="en-US"/>
    </w:rPr>
  </w:style>
  <w:style w:type="character" w:customStyle="1" w:styleId="Heading9Char">
    <w:name w:val="Heading 9 Char"/>
    <w:basedOn w:val="DefaultParagraphFont"/>
    <w:link w:val="Heading9"/>
    <w:uiPriority w:val="99"/>
    <w:locked/>
    <w:rsid w:val="00D10838"/>
    <w:rPr>
      <w:rFonts w:ascii="Calibri Light" w:hAnsi="Calibri Light"/>
      <w:i/>
      <w:color w:val="404040"/>
      <w:sz w:val="20"/>
      <w:lang w:val="en-US"/>
    </w:rPr>
  </w:style>
  <w:style w:type="paragraph" w:styleId="ListParagraph">
    <w:name w:val="List Paragraph"/>
    <w:basedOn w:val="Normal"/>
    <w:uiPriority w:val="99"/>
    <w:qFormat/>
    <w:rsid w:val="00AC7BFE"/>
    <w:pPr>
      <w:ind w:left="720"/>
    </w:pPr>
  </w:style>
  <w:style w:type="paragraph" w:customStyle="1" w:styleId="ZDROJovan">
    <w:name w:val="ZDROJovaní"/>
    <w:basedOn w:val="Normal"/>
    <w:link w:val="ZDROJovanChar"/>
    <w:uiPriority w:val="99"/>
    <w:rsid w:val="00B92C74"/>
    <w:pPr>
      <w:spacing w:line="240" w:lineRule="auto"/>
    </w:pPr>
    <w:rPr>
      <w:rFonts w:eastAsia="SimSun" w:cs="Times New Roman"/>
      <w:i/>
      <w:iCs/>
      <w:sz w:val="20"/>
      <w:szCs w:val="20"/>
      <w:lang w:eastAsia="cs-CZ"/>
    </w:rPr>
  </w:style>
  <w:style w:type="character" w:customStyle="1" w:styleId="ZDROJovanChar">
    <w:name w:val="ZDROJovaní Char"/>
    <w:link w:val="ZDROJovan"/>
    <w:uiPriority w:val="99"/>
    <w:locked/>
    <w:rsid w:val="00B92C74"/>
    <w:rPr>
      <w:rFonts w:ascii="Arial" w:eastAsia="SimSun" w:hAnsi="Arial"/>
      <w:i/>
      <w:sz w:val="20"/>
      <w:lang w:eastAsia="cs-CZ"/>
    </w:rPr>
  </w:style>
  <w:style w:type="paragraph" w:styleId="TOCHeading">
    <w:name w:val="TOC Heading"/>
    <w:basedOn w:val="Heading1"/>
    <w:next w:val="Normal"/>
    <w:uiPriority w:val="99"/>
    <w:qFormat/>
    <w:rsid w:val="008B45EF"/>
    <w:pPr>
      <w:spacing w:afterLines="0" w:line="259" w:lineRule="auto"/>
      <w:contextualSpacing w:val="0"/>
      <w:outlineLvl w:val="9"/>
    </w:pPr>
    <w:rPr>
      <w:rFonts w:ascii="Calibri Light" w:hAnsi="Calibri Light"/>
      <w:color w:val="2E74B5"/>
    </w:rPr>
  </w:style>
  <w:style w:type="paragraph" w:styleId="TOC2">
    <w:name w:val="toc 2"/>
    <w:basedOn w:val="Normal"/>
    <w:next w:val="Normal"/>
    <w:autoRedefine/>
    <w:uiPriority w:val="99"/>
    <w:rsid w:val="00951866"/>
    <w:pPr>
      <w:spacing w:before="120"/>
      <w:ind w:left="220"/>
    </w:pPr>
    <w:rPr>
      <w:rFonts w:ascii="Calibri" w:hAnsi="Calibri"/>
      <w:i/>
      <w:iCs/>
      <w:sz w:val="20"/>
      <w:szCs w:val="20"/>
    </w:rPr>
  </w:style>
  <w:style w:type="paragraph" w:styleId="TOC1">
    <w:name w:val="toc 1"/>
    <w:basedOn w:val="Normal"/>
    <w:next w:val="Normal"/>
    <w:autoRedefine/>
    <w:uiPriority w:val="99"/>
    <w:rsid w:val="00BA10CF"/>
    <w:pPr>
      <w:spacing w:before="240" w:after="120"/>
    </w:pPr>
    <w:rPr>
      <w:rFonts w:ascii="Calibri" w:hAnsi="Calibri"/>
      <w:b/>
      <w:bCs/>
      <w:sz w:val="20"/>
      <w:szCs w:val="20"/>
    </w:rPr>
  </w:style>
  <w:style w:type="character" w:styleId="Hyperlink">
    <w:name w:val="Hyperlink"/>
    <w:basedOn w:val="DefaultParagraphFont"/>
    <w:uiPriority w:val="99"/>
    <w:rsid w:val="008B45EF"/>
    <w:rPr>
      <w:rFonts w:cs="Times New Roman"/>
      <w:color w:val="0563C1"/>
      <w:u w:val="single"/>
    </w:rPr>
  </w:style>
  <w:style w:type="paragraph" w:styleId="Header">
    <w:name w:val="header"/>
    <w:basedOn w:val="Normal"/>
    <w:link w:val="HeaderChar"/>
    <w:uiPriority w:val="99"/>
    <w:rsid w:val="008B45EF"/>
    <w:pPr>
      <w:tabs>
        <w:tab w:val="center" w:pos="4536"/>
        <w:tab w:val="right" w:pos="9072"/>
      </w:tabs>
      <w:spacing w:line="240" w:lineRule="auto"/>
    </w:pPr>
    <w:rPr>
      <w:rFonts w:cs="Times New Roman"/>
      <w:sz w:val="24"/>
      <w:szCs w:val="20"/>
      <w:lang w:eastAsia="cs-CZ"/>
    </w:rPr>
  </w:style>
  <w:style w:type="character" w:customStyle="1" w:styleId="HeaderChar">
    <w:name w:val="Header Char"/>
    <w:basedOn w:val="DefaultParagraphFont"/>
    <w:link w:val="Header"/>
    <w:uiPriority w:val="99"/>
    <w:locked/>
    <w:rsid w:val="008B45EF"/>
    <w:rPr>
      <w:rFonts w:ascii="Arial" w:hAnsi="Arial"/>
      <w:sz w:val="24"/>
    </w:rPr>
  </w:style>
  <w:style w:type="paragraph" w:styleId="Footer">
    <w:name w:val="footer"/>
    <w:basedOn w:val="Normal"/>
    <w:link w:val="FooterChar"/>
    <w:uiPriority w:val="99"/>
    <w:rsid w:val="008B45EF"/>
    <w:pPr>
      <w:tabs>
        <w:tab w:val="center" w:pos="4536"/>
        <w:tab w:val="right" w:pos="9072"/>
      </w:tabs>
      <w:spacing w:line="240" w:lineRule="auto"/>
    </w:pPr>
    <w:rPr>
      <w:rFonts w:cs="Times New Roman"/>
      <w:sz w:val="24"/>
      <w:szCs w:val="20"/>
      <w:lang w:eastAsia="cs-CZ"/>
    </w:rPr>
  </w:style>
  <w:style w:type="character" w:customStyle="1" w:styleId="FooterChar">
    <w:name w:val="Footer Char"/>
    <w:basedOn w:val="DefaultParagraphFont"/>
    <w:link w:val="Footer"/>
    <w:uiPriority w:val="99"/>
    <w:locked/>
    <w:rsid w:val="008B45EF"/>
    <w:rPr>
      <w:rFonts w:ascii="Arial" w:hAnsi="Arial"/>
      <w:sz w:val="24"/>
    </w:rPr>
  </w:style>
  <w:style w:type="paragraph" w:styleId="TOC6">
    <w:name w:val="toc 6"/>
    <w:basedOn w:val="Normal"/>
    <w:next w:val="Normal"/>
    <w:autoRedefine/>
    <w:uiPriority w:val="99"/>
    <w:rsid w:val="00CC62A1"/>
    <w:pPr>
      <w:ind w:left="1100"/>
    </w:pPr>
    <w:rPr>
      <w:rFonts w:ascii="Calibri" w:hAnsi="Calibri"/>
      <w:sz w:val="20"/>
      <w:szCs w:val="20"/>
    </w:rPr>
  </w:style>
  <w:style w:type="paragraph" w:styleId="BalloonText">
    <w:name w:val="Balloon Text"/>
    <w:basedOn w:val="Normal"/>
    <w:link w:val="BalloonTextChar"/>
    <w:uiPriority w:val="99"/>
    <w:semiHidden/>
    <w:rsid w:val="00AE2811"/>
    <w:pPr>
      <w:spacing w:line="240" w:lineRule="auto"/>
    </w:pPr>
    <w:rPr>
      <w:rFonts w:ascii="Tahoma" w:hAnsi="Tahoma" w:cs="Times New Roman"/>
      <w:sz w:val="16"/>
      <w:szCs w:val="16"/>
      <w:lang w:eastAsia="cs-CZ"/>
    </w:rPr>
  </w:style>
  <w:style w:type="character" w:customStyle="1" w:styleId="BalloonTextChar">
    <w:name w:val="Balloon Text Char"/>
    <w:basedOn w:val="DefaultParagraphFont"/>
    <w:link w:val="BalloonText"/>
    <w:uiPriority w:val="99"/>
    <w:semiHidden/>
    <w:locked/>
    <w:rsid w:val="00AE2811"/>
    <w:rPr>
      <w:rFonts w:ascii="Tahoma" w:hAnsi="Tahoma"/>
      <w:sz w:val="16"/>
    </w:rPr>
  </w:style>
  <w:style w:type="character" w:customStyle="1" w:styleId="hps">
    <w:name w:val="hps"/>
    <w:uiPriority w:val="99"/>
    <w:rsid w:val="00466AF8"/>
  </w:style>
  <w:style w:type="paragraph" w:styleId="FootnoteText">
    <w:name w:val="footnote text"/>
    <w:basedOn w:val="Normal"/>
    <w:link w:val="FootnoteTextChar"/>
    <w:uiPriority w:val="99"/>
    <w:rsid w:val="00466AF8"/>
    <w:pPr>
      <w:spacing w:afterLines="0" w:line="240" w:lineRule="auto"/>
      <w:contextualSpacing w:val="0"/>
      <w:jc w:val="both"/>
    </w:pPr>
    <w:rPr>
      <w:rFonts w:ascii="Calibri" w:hAnsi="Calibri" w:cs="Times New Roman"/>
      <w:sz w:val="20"/>
      <w:szCs w:val="20"/>
      <w:lang w:val="en-US" w:eastAsia="cs-CZ"/>
    </w:rPr>
  </w:style>
  <w:style w:type="character" w:customStyle="1" w:styleId="FootnoteTextChar">
    <w:name w:val="Footnote Text Char"/>
    <w:basedOn w:val="DefaultParagraphFont"/>
    <w:link w:val="FootnoteText"/>
    <w:uiPriority w:val="99"/>
    <w:locked/>
    <w:rsid w:val="00466AF8"/>
    <w:rPr>
      <w:sz w:val="20"/>
      <w:lang w:val="en-US"/>
    </w:rPr>
  </w:style>
  <w:style w:type="character" w:styleId="FootnoteReference">
    <w:name w:val="footnote reference"/>
    <w:basedOn w:val="DefaultParagraphFont"/>
    <w:uiPriority w:val="99"/>
    <w:rsid w:val="00466AF8"/>
    <w:rPr>
      <w:rFonts w:cs="Times New Roman"/>
      <w:vertAlign w:val="superscript"/>
    </w:rPr>
  </w:style>
  <w:style w:type="table" w:styleId="TableGrid">
    <w:name w:val="Table Grid"/>
    <w:basedOn w:val="TableNormal"/>
    <w:uiPriority w:val="99"/>
    <w:rsid w:val="00466AF8"/>
    <w:pPr>
      <w:jc w:val="both"/>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466AF8"/>
    <w:pPr>
      <w:spacing w:afterLines="0" w:line="240" w:lineRule="auto"/>
      <w:contextualSpacing w:val="0"/>
    </w:pPr>
    <w:rPr>
      <w:rFonts w:ascii="Times New Roman" w:eastAsia="Times New Roman" w:hAnsi="Times New Roman" w:cs="Times New Roman"/>
      <w:sz w:val="24"/>
      <w:szCs w:val="24"/>
      <w:lang w:eastAsia="cs-CZ"/>
    </w:rPr>
  </w:style>
  <w:style w:type="character" w:customStyle="1" w:styleId="notranslate">
    <w:name w:val="notranslate"/>
    <w:uiPriority w:val="99"/>
    <w:rsid w:val="00466AF8"/>
  </w:style>
  <w:style w:type="paragraph" w:customStyle="1" w:styleId="Default">
    <w:name w:val="Default"/>
    <w:uiPriority w:val="99"/>
    <w:rsid w:val="008C07E9"/>
    <w:pPr>
      <w:autoSpaceDE w:val="0"/>
      <w:autoSpaceDN w:val="0"/>
      <w:adjustRightInd w:val="0"/>
    </w:pPr>
    <w:rPr>
      <w:rFonts w:ascii="Arial" w:hAnsi="Arial" w:cs="Arial"/>
      <w:color w:val="000000"/>
      <w:sz w:val="24"/>
      <w:szCs w:val="24"/>
      <w:lang w:eastAsia="en-US"/>
    </w:rPr>
  </w:style>
  <w:style w:type="character" w:styleId="Strong">
    <w:name w:val="Strong"/>
    <w:basedOn w:val="DefaultParagraphFont"/>
    <w:uiPriority w:val="99"/>
    <w:qFormat/>
    <w:rsid w:val="00D10838"/>
    <w:rPr>
      <w:rFonts w:cs="Times New Roman"/>
      <w:b/>
    </w:rPr>
  </w:style>
  <w:style w:type="paragraph" w:styleId="Title">
    <w:name w:val="Title"/>
    <w:basedOn w:val="Normal"/>
    <w:next w:val="Normal"/>
    <w:link w:val="TitleChar"/>
    <w:uiPriority w:val="99"/>
    <w:qFormat/>
    <w:rsid w:val="00D10838"/>
    <w:pPr>
      <w:pBdr>
        <w:bottom w:val="single" w:sz="8" w:space="4" w:color="5B9BD5"/>
      </w:pBdr>
      <w:spacing w:afterLines="0" w:line="240" w:lineRule="auto"/>
      <w:jc w:val="both"/>
    </w:pPr>
    <w:rPr>
      <w:rFonts w:ascii="Calibri Light" w:hAnsi="Calibri Light" w:cs="Times New Roman"/>
      <w:color w:val="323E4F"/>
      <w:spacing w:val="5"/>
      <w:kern w:val="28"/>
      <w:sz w:val="52"/>
      <w:szCs w:val="52"/>
      <w:lang w:val="en-US" w:eastAsia="cs-CZ"/>
    </w:rPr>
  </w:style>
  <w:style w:type="character" w:customStyle="1" w:styleId="TitleChar">
    <w:name w:val="Title Char"/>
    <w:basedOn w:val="DefaultParagraphFont"/>
    <w:link w:val="Title"/>
    <w:uiPriority w:val="99"/>
    <w:locked/>
    <w:rsid w:val="00D10838"/>
    <w:rPr>
      <w:rFonts w:ascii="Calibri Light" w:hAnsi="Calibri Light"/>
      <w:color w:val="323E4F"/>
      <w:spacing w:val="5"/>
      <w:kern w:val="28"/>
      <w:sz w:val="52"/>
      <w:lang w:val="en-US"/>
    </w:rPr>
  </w:style>
  <w:style w:type="paragraph" w:styleId="Subtitle">
    <w:name w:val="Subtitle"/>
    <w:basedOn w:val="Normal"/>
    <w:next w:val="Normal"/>
    <w:link w:val="SubtitleChar"/>
    <w:uiPriority w:val="99"/>
    <w:qFormat/>
    <w:rsid w:val="00D10838"/>
    <w:pPr>
      <w:numPr>
        <w:ilvl w:val="1"/>
      </w:numPr>
      <w:spacing w:afterLines="0" w:line="276" w:lineRule="auto"/>
      <w:contextualSpacing w:val="0"/>
      <w:jc w:val="both"/>
    </w:pPr>
    <w:rPr>
      <w:rFonts w:ascii="Calibri Light" w:hAnsi="Calibri Light" w:cs="Times New Roman"/>
      <w:i/>
      <w:iCs/>
      <w:color w:val="5B9BD5"/>
      <w:spacing w:val="15"/>
      <w:sz w:val="24"/>
      <w:szCs w:val="24"/>
      <w:lang w:val="en-US" w:eastAsia="cs-CZ"/>
    </w:rPr>
  </w:style>
  <w:style w:type="character" w:customStyle="1" w:styleId="SubtitleChar">
    <w:name w:val="Subtitle Char"/>
    <w:basedOn w:val="DefaultParagraphFont"/>
    <w:link w:val="Subtitle"/>
    <w:uiPriority w:val="99"/>
    <w:locked/>
    <w:rsid w:val="00D10838"/>
    <w:rPr>
      <w:rFonts w:ascii="Calibri Light" w:hAnsi="Calibri Light"/>
      <w:i/>
      <w:color w:val="5B9BD5"/>
      <w:spacing w:val="15"/>
      <w:sz w:val="24"/>
      <w:lang w:val="en-US"/>
    </w:rPr>
  </w:style>
  <w:style w:type="character" w:styleId="Emphasis">
    <w:name w:val="Emphasis"/>
    <w:basedOn w:val="DefaultParagraphFont"/>
    <w:uiPriority w:val="99"/>
    <w:qFormat/>
    <w:rsid w:val="00D10838"/>
    <w:rPr>
      <w:rFonts w:cs="Times New Roman"/>
      <w:i/>
    </w:rPr>
  </w:style>
  <w:style w:type="paragraph" w:styleId="NoSpacing">
    <w:name w:val="No Spacing"/>
    <w:uiPriority w:val="99"/>
    <w:qFormat/>
    <w:rsid w:val="00D10838"/>
    <w:pPr>
      <w:jc w:val="both"/>
    </w:pPr>
    <w:rPr>
      <w:lang w:val="en-US" w:eastAsia="en-US"/>
    </w:rPr>
  </w:style>
  <w:style w:type="paragraph" w:styleId="Quote">
    <w:name w:val="Quote"/>
    <w:basedOn w:val="Normal"/>
    <w:next w:val="Normal"/>
    <w:link w:val="QuoteChar"/>
    <w:uiPriority w:val="99"/>
    <w:qFormat/>
    <w:rsid w:val="00D10838"/>
    <w:pPr>
      <w:spacing w:afterLines="0" w:line="276" w:lineRule="auto"/>
      <w:contextualSpacing w:val="0"/>
      <w:jc w:val="both"/>
    </w:pPr>
    <w:rPr>
      <w:rFonts w:ascii="Calibri" w:hAnsi="Calibri" w:cs="Times New Roman"/>
      <w:i/>
      <w:iCs/>
      <w:color w:val="000000"/>
      <w:sz w:val="20"/>
      <w:szCs w:val="20"/>
      <w:lang w:val="en-US" w:eastAsia="cs-CZ"/>
    </w:rPr>
  </w:style>
  <w:style w:type="character" w:customStyle="1" w:styleId="QuoteChar">
    <w:name w:val="Quote Char"/>
    <w:basedOn w:val="DefaultParagraphFont"/>
    <w:link w:val="Quote"/>
    <w:uiPriority w:val="99"/>
    <w:locked/>
    <w:rsid w:val="00D10838"/>
    <w:rPr>
      <w:i/>
      <w:color w:val="000000"/>
      <w:lang w:val="en-US"/>
    </w:rPr>
  </w:style>
  <w:style w:type="paragraph" w:styleId="IntenseQuote">
    <w:name w:val="Intense Quote"/>
    <w:basedOn w:val="Normal"/>
    <w:next w:val="Normal"/>
    <w:link w:val="IntenseQuoteChar"/>
    <w:uiPriority w:val="99"/>
    <w:qFormat/>
    <w:rsid w:val="00D10838"/>
    <w:pPr>
      <w:pBdr>
        <w:bottom w:val="single" w:sz="4" w:space="4" w:color="5B9BD5"/>
      </w:pBdr>
      <w:spacing w:before="200" w:afterLines="0" w:line="276" w:lineRule="auto"/>
      <w:ind w:left="936" w:right="936"/>
      <w:contextualSpacing w:val="0"/>
      <w:jc w:val="both"/>
    </w:pPr>
    <w:rPr>
      <w:rFonts w:ascii="Calibri" w:hAnsi="Calibri" w:cs="Times New Roman"/>
      <w:b/>
      <w:bCs/>
      <w:i/>
      <w:iCs/>
      <w:color w:val="5B9BD5"/>
      <w:sz w:val="20"/>
      <w:szCs w:val="20"/>
      <w:lang w:val="en-US" w:eastAsia="cs-CZ"/>
    </w:rPr>
  </w:style>
  <w:style w:type="character" w:customStyle="1" w:styleId="IntenseQuoteChar">
    <w:name w:val="Intense Quote Char"/>
    <w:basedOn w:val="DefaultParagraphFont"/>
    <w:link w:val="IntenseQuote"/>
    <w:uiPriority w:val="99"/>
    <w:locked/>
    <w:rsid w:val="00D10838"/>
    <w:rPr>
      <w:b/>
      <w:i/>
      <w:color w:val="5B9BD5"/>
      <w:lang w:val="en-US"/>
    </w:rPr>
  </w:style>
  <w:style w:type="character" w:styleId="SubtleEmphasis">
    <w:name w:val="Subtle Emphasis"/>
    <w:basedOn w:val="DefaultParagraphFont"/>
    <w:uiPriority w:val="99"/>
    <w:qFormat/>
    <w:rsid w:val="00D10838"/>
    <w:rPr>
      <w:i/>
      <w:color w:val="808080"/>
    </w:rPr>
  </w:style>
  <w:style w:type="character" w:styleId="IntenseEmphasis">
    <w:name w:val="Intense Emphasis"/>
    <w:basedOn w:val="DefaultParagraphFont"/>
    <w:uiPriority w:val="99"/>
    <w:qFormat/>
    <w:rsid w:val="00D10838"/>
    <w:rPr>
      <w:b/>
      <w:i/>
      <w:color w:val="5B9BD5"/>
    </w:rPr>
  </w:style>
  <w:style w:type="character" w:styleId="SubtleReference">
    <w:name w:val="Subtle Reference"/>
    <w:basedOn w:val="DefaultParagraphFont"/>
    <w:uiPriority w:val="99"/>
    <w:qFormat/>
    <w:rsid w:val="00D10838"/>
    <w:rPr>
      <w:smallCaps/>
      <w:color w:val="ED7D31"/>
      <w:u w:val="single"/>
    </w:rPr>
  </w:style>
  <w:style w:type="character" w:styleId="IntenseReference">
    <w:name w:val="Intense Reference"/>
    <w:basedOn w:val="DefaultParagraphFont"/>
    <w:uiPriority w:val="99"/>
    <w:qFormat/>
    <w:rsid w:val="00D10838"/>
    <w:rPr>
      <w:b/>
      <w:smallCaps/>
      <w:color w:val="ED7D31"/>
      <w:spacing w:val="5"/>
      <w:u w:val="single"/>
    </w:rPr>
  </w:style>
  <w:style w:type="character" w:styleId="BookTitle">
    <w:name w:val="Book Title"/>
    <w:basedOn w:val="DefaultParagraphFont"/>
    <w:uiPriority w:val="99"/>
    <w:qFormat/>
    <w:rsid w:val="00D10838"/>
    <w:rPr>
      <w:b/>
      <w:smallCaps/>
      <w:spacing w:val="5"/>
    </w:rPr>
  </w:style>
  <w:style w:type="paragraph" w:customStyle="1" w:styleId="SAfter">
    <w:name w:val="SAfter"/>
    <w:basedOn w:val="Normal"/>
    <w:next w:val="Normal"/>
    <w:uiPriority w:val="99"/>
    <w:rsid w:val="00D10838"/>
    <w:pPr>
      <w:autoSpaceDE w:val="0"/>
      <w:autoSpaceDN w:val="0"/>
      <w:adjustRightInd w:val="0"/>
      <w:spacing w:afterLines="0" w:line="240" w:lineRule="auto"/>
      <w:contextualSpacing w:val="0"/>
    </w:pPr>
    <w:rPr>
      <w:rFonts w:ascii="BundesSans Bold" w:hAnsi="BundesSans Bold" w:cs="Times New Roman"/>
      <w:sz w:val="24"/>
      <w:szCs w:val="24"/>
    </w:rPr>
  </w:style>
  <w:style w:type="paragraph" w:customStyle="1" w:styleId="SAft">
    <w:name w:val="SAft"/>
    <w:basedOn w:val="Normal"/>
    <w:next w:val="Normal"/>
    <w:uiPriority w:val="99"/>
    <w:rsid w:val="00D10838"/>
    <w:pPr>
      <w:autoSpaceDE w:val="0"/>
      <w:autoSpaceDN w:val="0"/>
      <w:adjustRightInd w:val="0"/>
      <w:spacing w:afterLines="0" w:line="240" w:lineRule="auto"/>
      <w:contextualSpacing w:val="0"/>
    </w:pPr>
    <w:rPr>
      <w:rFonts w:ascii="BundesSans Bold" w:hAnsi="BundesSans Bold" w:cs="Times New Roman"/>
      <w:sz w:val="24"/>
      <w:szCs w:val="24"/>
    </w:rPr>
  </w:style>
  <w:style w:type="character" w:customStyle="1" w:styleId="name5">
    <w:name w:val="name5"/>
    <w:uiPriority w:val="99"/>
    <w:rsid w:val="00D10838"/>
  </w:style>
  <w:style w:type="character" w:customStyle="1" w:styleId="city">
    <w:name w:val="city"/>
    <w:uiPriority w:val="99"/>
    <w:rsid w:val="00D10838"/>
  </w:style>
  <w:style w:type="character" w:customStyle="1" w:styleId="help1">
    <w:name w:val="help1"/>
    <w:uiPriority w:val="99"/>
    <w:rsid w:val="00D10838"/>
  </w:style>
  <w:style w:type="paragraph" w:customStyle="1" w:styleId="bodytext">
    <w:name w:val="bodytext"/>
    <w:basedOn w:val="Normal"/>
    <w:uiPriority w:val="99"/>
    <w:rsid w:val="00D10838"/>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character" w:customStyle="1" w:styleId="value6">
    <w:name w:val="value6"/>
    <w:uiPriority w:val="99"/>
    <w:rsid w:val="00D10838"/>
    <w:rPr>
      <w:b/>
    </w:rPr>
  </w:style>
  <w:style w:type="character" w:customStyle="1" w:styleId="name7">
    <w:name w:val="name7"/>
    <w:uiPriority w:val="99"/>
    <w:rsid w:val="00D10838"/>
  </w:style>
  <w:style w:type="character" w:customStyle="1" w:styleId="value7">
    <w:name w:val="value7"/>
    <w:uiPriority w:val="99"/>
    <w:rsid w:val="00D10838"/>
    <w:rPr>
      <w:b/>
    </w:rPr>
  </w:style>
  <w:style w:type="character" w:customStyle="1" w:styleId="name22">
    <w:name w:val="name22"/>
    <w:uiPriority w:val="99"/>
    <w:rsid w:val="00D10838"/>
  </w:style>
  <w:style w:type="character" w:customStyle="1" w:styleId="value22">
    <w:name w:val="value22"/>
    <w:uiPriority w:val="99"/>
    <w:rsid w:val="00D10838"/>
    <w:rPr>
      <w:b/>
    </w:rPr>
  </w:style>
  <w:style w:type="character" w:customStyle="1" w:styleId="name8">
    <w:name w:val="name8"/>
    <w:uiPriority w:val="99"/>
    <w:rsid w:val="00D10838"/>
  </w:style>
  <w:style w:type="paragraph" w:customStyle="1" w:styleId="ms-rteelement-firstabs1">
    <w:name w:val="ms-rteelement-firstabs1"/>
    <w:basedOn w:val="Normal"/>
    <w:uiPriority w:val="99"/>
    <w:rsid w:val="00D10838"/>
    <w:pPr>
      <w:shd w:val="clear" w:color="auto" w:fill="F3F5F1"/>
      <w:spacing w:before="18" w:afterLines="0" w:line="336" w:lineRule="atLeast"/>
      <w:ind w:left="-135"/>
      <w:contextualSpacing w:val="0"/>
    </w:pPr>
    <w:rPr>
      <w:rFonts w:ascii="Times New Roman" w:eastAsia="Times New Roman" w:hAnsi="Times New Roman" w:cs="Times New Roman"/>
      <w:color w:val="222222"/>
      <w:sz w:val="24"/>
      <w:szCs w:val="24"/>
      <w:lang w:eastAsia="cs-CZ"/>
    </w:rPr>
  </w:style>
  <w:style w:type="character" w:customStyle="1" w:styleId="apple-converted-space">
    <w:name w:val="apple-converted-space"/>
    <w:uiPriority w:val="99"/>
    <w:rsid w:val="00D10838"/>
  </w:style>
  <w:style w:type="character" w:customStyle="1" w:styleId="textnormal">
    <w:name w:val="textnormal"/>
    <w:uiPriority w:val="99"/>
    <w:rsid w:val="00D10838"/>
  </w:style>
  <w:style w:type="character" w:customStyle="1" w:styleId="st1">
    <w:name w:val="st1"/>
    <w:uiPriority w:val="99"/>
    <w:rsid w:val="00E30271"/>
  </w:style>
  <w:style w:type="character" w:customStyle="1" w:styleId="ft">
    <w:name w:val="ft"/>
    <w:uiPriority w:val="99"/>
    <w:rsid w:val="00E30271"/>
  </w:style>
  <w:style w:type="character" w:customStyle="1" w:styleId="text-unpublished">
    <w:name w:val="text-unpublished"/>
    <w:uiPriority w:val="99"/>
    <w:rsid w:val="00E30271"/>
  </w:style>
  <w:style w:type="character" w:customStyle="1" w:styleId="organisation-logo">
    <w:name w:val="organisation-logo"/>
    <w:uiPriority w:val="99"/>
    <w:rsid w:val="00E30271"/>
  </w:style>
  <w:style w:type="paragraph" w:customStyle="1" w:styleId="description">
    <w:name w:val="description"/>
    <w:basedOn w:val="Normal"/>
    <w:uiPriority w:val="99"/>
    <w:rsid w:val="00E30271"/>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paragraph" w:customStyle="1" w:styleId="parentorganisations">
    <w:name w:val="parent_organisations"/>
    <w:basedOn w:val="Normal"/>
    <w:uiPriority w:val="99"/>
    <w:rsid w:val="00E30271"/>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character" w:customStyle="1" w:styleId="phone">
    <w:name w:val="phone"/>
    <w:uiPriority w:val="99"/>
    <w:rsid w:val="00E30271"/>
  </w:style>
  <w:style w:type="character" w:customStyle="1" w:styleId="sr-only1">
    <w:name w:val="sr-only1"/>
    <w:uiPriority w:val="99"/>
    <w:rsid w:val="00E30271"/>
    <w:rPr>
      <w:bdr w:val="none" w:sz="0" w:space="0" w:color="auto" w:frame="1"/>
    </w:rPr>
  </w:style>
  <w:style w:type="character" w:customStyle="1" w:styleId="number">
    <w:name w:val="number"/>
    <w:uiPriority w:val="99"/>
    <w:rsid w:val="00E30271"/>
  </w:style>
  <w:style w:type="paragraph" w:customStyle="1" w:styleId="document-type">
    <w:name w:val="document-type"/>
    <w:basedOn w:val="Normal"/>
    <w:uiPriority w:val="99"/>
    <w:rsid w:val="00E30271"/>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character" w:customStyle="1" w:styleId="searchmatch">
    <w:name w:val="searchmatch"/>
    <w:uiPriority w:val="99"/>
    <w:rsid w:val="00E30271"/>
  </w:style>
  <w:style w:type="paragraph" w:customStyle="1" w:styleId="metadata">
    <w:name w:val="metadata"/>
    <w:basedOn w:val="Normal"/>
    <w:uiPriority w:val="99"/>
    <w:rsid w:val="00E30271"/>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character" w:customStyle="1" w:styleId="references">
    <w:name w:val="references"/>
    <w:uiPriority w:val="99"/>
    <w:rsid w:val="00E30271"/>
  </w:style>
  <w:style w:type="character" w:customStyle="1" w:styleId="uniquereference">
    <w:name w:val="unique_reference"/>
    <w:uiPriority w:val="99"/>
    <w:rsid w:val="00E30271"/>
  </w:style>
  <w:style w:type="character" w:customStyle="1" w:styleId="type">
    <w:name w:val="type"/>
    <w:uiPriority w:val="99"/>
    <w:rsid w:val="00E30271"/>
  </w:style>
  <w:style w:type="character" w:customStyle="1" w:styleId="file-size">
    <w:name w:val="file-size"/>
    <w:uiPriority w:val="99"/>
    <w:rsid w:val="00E30271"/>
  </w:style>
  <w:style w:type="character" w:customStyle="1" w:styleId="page-length">
    <w:name w:val="page-length"/>
    <w:uiPriority w:val="99"/>
    <w:rsid w:val="00E30271"/>
  </w:style>
  <w:style w:type="character" w:customStyle="1" w:styleId="toggler">
    <w:name w:val="toggler"/>
    <w:uiPriority w:val="99"/>
    <w:rsid w:val="00E30271"/>
  </w:style>
  <w:style w:type="paragraph" w:customStyle="1" w:styleId="help-block">
    <w:name w:val="help-block"/>
    <w:basedOn w:val="Normal"/>
    <w:uiPriority w:val="99"/>
    <w:rsid w:val="00E30271"/>
    <w:pPr>
      <w:spacing w:before="100" w:beforeAutospacing="1" w:afterLines="0" w:afterAutospacing="1" w:line="240" w:lineRule="auto"/>
      <w:contextualSpacing w:val="0"/>
    </w:pPr>
    <w:rPr>
      <w:rFonts w:ascii="Times New Roman" w:eastAsia="Times New Roman" w:hAnsi="Times New Roman" w:cs="Times New Roman"/>
      <w:sz w:val="24"/>
      <w:szCs w:val="24"/>
      <w:lang w:eastAsia="cs-CZ"/>
    </w:rPr>
  </w:style>
  <w:style w:type="character" w:customStyle="1" w:styleId="isbn">
    <w:name w:val="isbn"/>
    <w:uiPriority w:val="99"/>
    <w:rsid w:val="00E30271"/>
  </w:style>
  <w:style w:type="character" w:customStyle="1" w:styleId="houseofcommonspapernumber">
    <w:name w:val="house_of_commons_paper_number"/>
    <w:uiPriority w:val="99"/>
    <w:rsid w:val="00E30271"/>
  </w:style>
  <w:style w:type="character" w:customStyle="1" w:styleId="parliamentarysession">
    <w:name w:val="parliamentary_session"/>
    <w:uiPriority w:val="99"/>
    <w:rsid w:val="00E30271"/>
  </w:style>
  <w:style w:type="character" w:customStyle="1" w:styleId="google-src-text1">
    <w:name w:val="google-src-text1"/>
    <w:uiPriority w:val="99"/>
    <w:rsid w:val="00E30271"/>
    <w:rPr>
      <w:vanish/>
    </w:rPr>
  </w:style>
  <w:style w:type="character" w:customStyle="1" w:styleId="CommentTextChar">
    <w:name w:val="Comment Text Char"/>
    <w:link w:val="CommentText"/>
    <w:uiPriority w:val="99"/>
    <w:semiHidden/>
    <w:locked/>
    <w:rsid w:val="00E30271"/>
    <w:rPr>
      <w:sz w:val="20"/>
      <w:lang w:val="en-US"/>
    </w:rPr>
  </w:style>
  <w:style w:type="paragraph" w:styleId="CommentText">
    <w:name w:val="annotation text"/>
    <w:basedOn w:val="Normal"/>
    <w:link w:val="CommentTextChar"/>
    <w:uiPriority w:val="99"/>
    <w:semiHidden/>
    <w:rsid w:val="00E30271"/>
    <w:pPr>
      <w:spacing w:afterLines="0" w:line="240" w:lineRule="auto"/>
      <w:contextualSpacing w:val="0"/>
      <w:jc w:val="both"/>
    </w:pPr>
    <w:rPr>
      <w:rFonts w:ascii="Calibri" w:hAnsi="Calibri" w:cs="Times New Roman"/>
      <w:sz w:val="20"/>
      <w:szCs w:val="20"/>
      <w:lang w:val="en-US" w:eastAsia="cs-CZ"/>
    </w:rPr>
  </w:style>
  <w:style w:type="character" w:customStyle="1" w:styleId="CommentTextChar1">
    <w:name w:val="Comment Text Char1"/>
    <w:basedOn w:val="DefaultParagraphFont"/>
    <w:link w:val="CommentText"/>
    <w:uiPriority w:val="99"/>
    <w:semiHidden/>
    <w:rPr>
      <w:rFonts w:ascii="Arial" w:hAnsi="Arial"/>
      <w:sz w:val="20"/>
      <w:lang w:eastAsia="en-US"/>
    </w:rPr>
  </w:style>
  <w:style w:type="character" w:customStyle="1" w:styleId="CommentSubjectChar">
    <w:name w:val="Comment Subject Char"/>
    <w:link w:val="CommentSubject"/>
    <w:uiPriority w:val="99"/>
    <w:semiHidden/>
    <w:locked/>
    <w:rsid w:val="00E30271"/>
    <w:rPr>
      <w:b/>
      <w:sz w:val="20"/>
      <w:lang w:val="en-US"/>
    </w:rPr>
  </w:style>
  <w:style w:type="paragraph" w:styleId="CommentSubject">
    <w:name w:val="annotation subject"/>
    <w:basedOn w:val="CommentText"/>
    <w:next w:val="CommentText"/>
    <w:link w:val="CommentSubjectChar"/>
    <w:uiPriority w:val="99"/>
    <w:semiHidden/>
    <w:rsid w:val="00E30271"/>
    <w:rPr>
      <w:b/>
      <w:bCs/>
    </w:rPr>
  </w:style>
  <w:style w:type="character" w:customStyle="1" w:styleId="CommentSubjectChar1">
    <w:name w:val="Comment Subject Char1"/>
    <w:basedOn w:val="CommentTextChar"/>
    <w:link w:val="CommentSubject"/>
    <w:uiPriority w:val="99"/>
    <w:semiHidden/>
    <w:rPr>
      <w:rFonts w:ascii="Arial" w:hAnsi="Arial"/>
      <w:b/>
      <w:lang w:eastAsia="en-US"/>
    </w:rPr>
  </w:style>
  <w:style w:type="paragraph" w:styleId="TOC3">
    <w:name w:val="toc 3"/>
    <w:basedOn w:val="Normal"/>
    <w:next w:val="Normal"/>
    <w:autoRedefine/>
    <w:uiPriority w:val="99"/>
    <w:rsid w:val="00F726D2"/>
    <w:pPr>
      <w:ind w:left="440"/>
    </w:pPr>
    <w:rPr>
      <w:rFonts w:ascii="Calibri" w:hAnsi="Calibri"/>
      <w:sz w:val="20"/>
      <w:szCs w:val="20"/>
    </w:rPr>
  </w:style>
  <w:style w:type="paragraph" w:customStyle="1" w:styleId="Normln1">
    <w:name w:val="Normální1"/>
    <w:basedOn w:val="Normal"/>
    <w:uiPriority w:val="99"/>
    <w:rsid w:val="00510C04"/>
    <w:pPr>
      <w:spacing w:before="72" w:afterLines="0" w:line="240" w:lineRule="auto"/>
      <w:contextualSpacing w:val="0"/>
      <w:jc w:val="both"/>
    </w:pPr>
    <w:rPr>
      <w:rFonts w:ascii="Times New Roman" w:eastAsia="Times New Roman" w:hAnsi="Times New Roman" w:cs="Times New Roman"/>
      <w:sz w:val="24"/>
      <w:szCs w:val="24"/>
      <w:lang w:eastAsia="cs-CZ"/>
    </w:rPr>
  </w:style>
  <w:style w:type="character" w:styleId="FollowedHyperlink">
    <w:name w:val="FollowedHyperlink"/>
    <w:basedOn w:val="DefaultParagraphFont"/>
    <w:uiPriority w:val="99"/>
    <w:semiHidden/>
    <w:rsid w:val="00510C04"/>
    <w:rPr>
      <w:rFonts w:cs="Times New Roman"/>
      <w:color w:val="954F72"/>
      <w:u w:val="single"/>
    </w:rPr>
  </w:style>
  <w:style w:type="paragraph" w:styleId="TOC4">
    <w:name w:val="toc 4"/>
    <w:basedOn w:val="Normal"/>
    <w:next w:val="Normal"/>
    <w:autoRedefine/>
    <w:uiPriority w:val="99"/>
    <w:rsid w:val="00946055"/>
    <w:pPr>
      <w:ind w:left="660"/>
    </w:pPr>
    <w:rPr>
      <w:rFonts w:ascii="Calibri" w:hAnsi="Calibri"/>
      <w:sz w:val="20"/>
      <w:szCs w:val="20"/>
    </w:rPr>
  </w:style>
  <w:style w:type="paragraph" w:styleId="TOC5">
    <w:name w:val="toc 5"/>
    <w:basedOn w:val="Normal"/>
    <w:next w:val="Normal"/>
    <w:autoRedefine/>
    <w:uiPriority w:val="99"/>
    <w:rsid w:val="00946055"/>
    <w:pPr>
      <w:ind w:left="880"/>
    </w:pPr>
    <w:rPr>
      <w:rFonts w:ascii="Calibri" w:hAnsi="Calibri"/>
      <w:sz w:val="20"/>
      <w:szCs w:val="20"/>
    </w:rPr>
  </w:style>
  <w:style w:type="paragraph" w:styleId="TOC7">
    <w:name w:val="toc 7"/>
    <w:basedOn w:val="Normal"/>
    <w:next w:val="Normal"/>
    <w:autoRedefine/>
    <w:uiPriority w:val="99"/>
    <w:rsid w:val="00946055"/>
    <w:pPr>
      <w:ind w:left="1320"/>
    </w:pPr>
    <w:rPr>
      <w:rFonts w:ascii="Calibri" w:hAnsi="Calibri"/>
      <w:sz w:val="20"/>
      <w:szCs w:val="20"/>
    </w:rPr>
  </w:style>
  <w:style w:type="paragraph" w:styleId="TOC8">
    <w:name w:val="toc 8"/>
    <w:basedOn w:val="Normal"/>
    <w:next w:val="Normal"/>
    <w:autoRedefine/>
    <w:uiPriority w:val="99"/>
    <w:rsid w:val="00946055"/>
    <w:pPr>
      <w:ind w:left="1540"/>
    </w:pPr>
    <w:rPr>
      <w:rFonts w:ascii="Calibri" w:hAnsi="Calibri"/>
      <w:sz w:val="20"/>
      <w:szCs w:val="20"/>
    </w:rPr>
  </w:style>
  <w:style w:type="paragraph" w:styleId="TOC9">
    <w:name w:val="toc 9"/>
    <w:basedOn w:val="Normal"/>
    <w:next w:val="Normal"/>
    <w:autoRedefine/>
    <w:uiPriority w:val="99"/>
    <w:rsid w:val="00946055"/>
    <w:pPr>
      <w:ind w:left="1760"/>
    </w:pPr>
    <w:rPr>
      <w:rFonts w:ascii="Calibri" w:hAnsi="Calibri"/>
      <w:sz w:val="20"/>
      <w:szCs w:val="20"/>
    </w:rPr>
  </w:style>
  <w:style w:type="character" w:styleId="CommentReference">
    <w:name w:val="annotation reference"/>
    <w:basedOn w:val="DefaultParagraphFont"/>
    <w:uiPriority w:val="99"/>
    <w:semiHidden/>
    <w:rsid w:val="009C68B4"/>
    <w:rPr>
      <w:rFonts w:cs="Times New Roman"/>
      <w:sz w:val="16"/>
    </w:rPr>
  </w:style>
  <w:style w:type="numbering" w:customStyle="1" w:styleId="Styl2">
    <w:name w:val="Styl2"/>
    <w:rsid w:val="0054143E"/>
    <w:pPr>
      <w:numPr>
        <w:numId w:val="62"/>
      </w:numPr>
    </w:pPr>
  </w:style>
</w:styles>
</file>

<file path=word/webSettings.xml><?xml version="1.0" encoding="utf-8"?>
<w:webSettings xmlns:r="http://schemas.openxmlformats.org/officeDocument/2006/relationships" xmlns:w="http://schemas.openxmlformats.org/wordprocessingml/2006/main">
  <w:divs>
    <w:div w:id="1291084071">
      <w:marLeft w:val="0"/>
      <w:marRight w:val="0"/>
      <w:marTop w:val="0"/>
      <w:marBottom w:val="0"/>
      <w:divBdr>
        <w:top w:val="none" w:sz="0" w:space="0" w:color="auto"/>
        <w:left w:val="none" w:sz="0" w:space="0" w:color="auto"/>
        <w:bottom w:val="none" w:sz="0" w:space="0" w:color="auto"/>
        <w:right w:val="none" w:sz="0" w:space="0" w:color="auto"/>
      </w:divBdr>
    </w:div>
    <w:div w:id="1291084072">
      <w:marLeft w:val="0"/>
      <w:marRight w:val="0"/>
      <w:marTop w:val="0"/>
      <w:marBottom w:val="0"/>
      <w:divBdr>
        <w:top w:val="none" w:sz="0" w:space="0" w:color="auto"/>
        <w:left w:val="none" w:sz="0" w:space="0" w:color="auto"/>
        <w:bottom w:val="none" w:sz="0" w:space="0" w:color="auto"/>
        <w:right w:val="none" w:sz="0" w:space="0" w:color="auto"/>
      </w:divBdr>
    </w:div>
    <w:div w:id="1291084073">
      <w:marLeft w:val="0"/>
      <w:marRight w:val="0"/>
      <w:marTop w:val="0"/>
      <w:marBottom w:val="0"/>
      <w:divBdr>
        <w:top w:val="none" w:sz="0" w:space="0" w:color="auto"/>
        <w:left w:val="none" w:sz="0" w:space="0" w:color="auto"/>
        <w:bottom w:val="none" w:sz="0" w:space="0" w:color="auto"/>
        <w:right w:val="none" w:sz="0" w:space="0" w:color="auto"/>
      </w:divBdr>
    </w:div>
    <w:div w:id="1291084074">
      <w:marLeft w:val="0"/>
      <w:marRight w:val="0"/>
      <w:marTop w:val="0"/>
      <w:marBottom w:val="0"/>
      <w:divBdr>
        <w:top w:val="none" w:sz="0" w:space="0" w:color="auto"/>
        <w:left w:val="none" w:sz="0" w:space="0" w:color="auto"/>
        <w:bottom w:val="none" w:sz="0" w:space="0" w:color="auto"/>
        <w:right w:val="none" w:sz="0" w:space="0" w:color="auto"/>
      </w:divBdr>
    </w:div>
    <w:div w:id="1291084075">
      <w:marLeft w:val="0"/>
      <w:marRight w:val="0"/>
      <w:marTop w:val="0"/>
      <w:marBottom w:val="0"/>
      <w:divBdr>
        <w:top w:val="none" w:sz="0" w:space="0" w:color="auto"/>
        <w:left w:val="none" w:sz="0" w:space="0" w:color="auto"/>
        <w:bottom w:val="none" w:sz="0" w:space="0" w:color="auto"/>
        <w:right w:val="none" w:sz="0" w:space="0" w:color="auto"/>
      </w:divBdr>
    </w:div>
    <w:div w:id="1291084076">
      <w:marLeft w:val="0"/>
      <w:marRight w:val="0"/>
      <w:marTop w:val="0"/>
      <w:marBottom w:val="0"/>
      <w:divBdr>
        <w:top w:val="none" w:sz="0" w:space="0" w:color="auto"/>
        <w:left w:val="none" w:sz="0" w:space="0" w:color="auto"/>
        <w:bottom w:val="none" w:sz="0" w:space="0" w:color="auto"/>
        <w:right w:val="none" w:sz="0" w:space="0" w:color="auto"/>
      </w:divBdr>
    </w:div>
    <w:div w:id="1291084077">
      <w:marLeft w:val="0"/>
      <w:marRight w:val="0"/>
      <w:marTop w:val="0"/>
      <w:marBottom w:val="0"/>
      <w:divBdr>
        <w:top w:val="none" w:sz="0" w:space="0" w:color="auto"/>
        <w:left w:val="none" w:sz="0" w:space="0" w:color="auto"/>
        <w:bottom w:val="none" w:sz="0" w:space="0" w:color="auto"/>
        <w:right w:val="none" w:sz="0" w:space="0" w:color="auto"/>
      </w:divBdr>
    </w:div>
    <w:div w:id="1291084078">
      <w:marLeft w:val="0"/>
      <w:marRight w:val="0"/>
      <w:marTop w:val="0"/>
      <w:marBottom w:val="0"/>
      <w:divBdr>
        <w:top w:val="none" w:sz="0" w:space="0" w:color="auto"/>
        <w:left w:val="none" w:sz="0" w:space="0" w:color="auto"/>
        <w:bottom w:val="none" w:sz="0" w:space="0" w:color="auto"/>
        <w:right w:val="none" w:sz="0" w:space="0" w:color="auto"/>
      </w:divBdr>
    </w:div>
    <w:div w:id="1291084079">
      <w:marLeft w:val="0"/>
      <w:marRight w:val="0"/>
      <w:marTop w:val="0"/>
      <w:marBottom w:val="0"/>
      <w:divBdr>
        <w:top w:val="none" w:sz="0" w:space="0" w:color="auto"/>
        <w:left w:val="none" w:sz="0" w:space="0" w:color="auto"/>
        <w:bottom w:val="none" w:sz="0" w:space="0" w:color="auto"/>
        <w:right w:val="none" w:sz="0" w:space="0" w:color="auto"/>
      </w:divBdr>
    </w:div>
    <w:div w:id="1291084080">
      <w:marLeft w:val="0"/>
      <w:marRight w:val="0"/>
      <w:marTop w:val="0"/>
      <w:marBottom w:val="0"/>
      <w:divBdr>
        <w:top w:val="none" w:sz="0" w:space="0" w:color="auto"/>
        <w:left w:val="none" w:sz="0" w:space="0" w:color="auto"/>
        <w:bottom w:val="none" w:sz="0" w:space="0" w:color="auto"/>
        <w:right w:val="none" w:sz="0" w:space="0" w:color="auto"/>
      </w:divBdr>
    </w:div>
    <w:div w:id="1291084081">
      <w:marLeft w:val="0"/>
      <w:marRight w:val="0"/>
      <w:marTop w:val="0"/>
      <w:marBottom w:val="0"/>
      <w:divBdr>
        <w:top w:val="none" w:sz="0" w:space="0" w:color="auto"/>
        <w:left w:val="none" w:sz="0" w:space="0" w:color="auto"/>
        <w:bottom w:val="none" w:sz="0" w:space="0" w:color="auto"/>
        <w:right w:val="none" w:sz="0" w:space="0" w:color="auto"/>
      </w:divBdr>
    </w:div>
    <w:div w:id="1291084082">
      <w:marLeft w:val="0"/>
      <w:marRight w:val="0"/>
      <w:marTop w:val="0"/>
      <w:marBottom w:val="0"/>
      <w:divBdr>
        <w:top w:val="none" w:sz="0" w:space="0" w:color="auto"/>
        <w:left w:val="none" w:sz="0" w:space="0" w:color="auto"/>
        <w:bottom w:val="none" w:sz="0" w:space="0" w:color="auto"/>
        <w:right w:val="none" w:sz="0" w:space="0" w:color="auto"/>
      </w:divBdr>
    </w:div>
    <w:div w:id="1291084083">
      <w:marLeft w:val="0"/>
      <w:marRight w:val="0"/>
      <w:marTop w:val="0"/>
      <w:marBottom w:val="0"/>
      <w:divBdr>
        <w:top w:val="none" w:sz="0" w:space="0" w:color="auto"/>
        <w:left w:val="none" w:sz="0" w:space="0" w:color="auto"/>
        <w:bottom w:val="none" w:sz="0" w:space="0" w:color="auto"/>
        <w:right w:val="none" w:sz="0" w:space="0" w:color="auto"/>
      </w:divBdr>
    </w:div>
    <w:div w:id="1291084084">
      <w:marLeft w:val="0"/>
      <w:marRight w:val="0"/>
      <w:marTop w:val="0"/>
      <w:marBottom w:val="0"/>
      <w:divBdr>
        <w:top w:val="none" w:sz="0" w:space="0" w:color="auto"/>
        <w:left w:val="none" w:sz="0" w:space="0" w:color="auto"/>
        <w:bottom w:val="none" w:sz="0" w:space="0" w:color="auto"/>
        <w:right w:val="none" w:sz="0" w:space="0" w:color="auto"/>
      </w:divBdr>
    </w:div>
    <w:div w:id="1291084085">
      <w:marLeft w:val="0"/>
      <w:marRight w:val="0"/>
      <w:marTop w:val="0"/>
      <w:marBottom w:val="0"/>
      <w:divBdr>
        <w:top w:val="none" w:sz="0" w:space="0" w:color="auto"/>
        <w:left w:val="none" w:sz="0" w:space="0" w:color="auto"/>
        <w:bottom w:val="none" w:sz="0" w:space="0" w:color="auto"/>
        <w:right w:val="none" w:sz="0" w:space="0" w:color="auto"/>
      </w:divBdr>
    </w:div>
    <w:div w:id="1291084086">
      <w:marLeft w:val="0"/>
      <w:marRight w:val="0"/>
      <w:marTop w:val="0"/>
      <w:marBottom w:val="0"/>
      <w:divBdr>
        <w:top w:val="none" w:sz="0" w:space="0" w:color="auto"/>
        <w:left w:val="none" w:sz="0" w:space="0" w:color="auto"/>
        <w:bottom w:val="none" w:sz="0" w:space="0" w:color="auto"/>
        <w:right w:val="none" w:sz="0" w:space="0" w:color="auto"/>
      </w:divBdr>
    </w:div>
    <w:div w:id="1291084087">
      <w:marLeft w:val="0"/>
      <w:marRight w:val="0"/>
      <w:marTop w:val="0"/>
      <w:marBottom w:val="0"/>
      <w:divBdr>
        <w:top w:val="none" w:sz="0" w:space="0" w:color="auto"/>
        <w:left w:val="none" w:sz="0" w:space="0" w:color="auto"/>
        <w:bottom w:val="none" w:sz="0" w:space="0" w:color="auto"/>
        <w:right w:val="none" w:sz="0" w:space="0" w:color="auto"/>
      </w:divBdr>
    </w:div>
    <w:div w:id="1291084088">
      <w:marLeft w:val="0"/>
      <w:marRight w:val="0"/>
      <w:marTop w:val="0"/>
      <w:marBottom w:val="0"/>
      <w:divBdr>
        <w:top w:val="none" w:sz="0" w:space="0" w:color="auto"/>
        <w:left w:val="none" w:sz="0" w:space="0" w:color="auto"/>
        <w:bottom w:val="none" w:sz="0" w:space="0" w:color="auto"/>
        <w:right w:val="none" w:sz="0" w:space="0" w:color="auto"/>
      </w:divBdr>
    </w:div>
    <w:div w:id="1291084089">
      <w:marLeft w:val="0"/>
      <w:marRight w:val="0"/>
      <w:marTop w:val="0"/>
      <w:marBottom w:val="0"/>
      <w:divBdr>
        <w:top w:val="none" w:sz="0" w:space="0" w:color="auto"/>
        <w:left w:val="none" w:sz="0" w:space="0" w:color="auto"/>
        <w:bottom w:val="none" w:sz="0" w:space="0" w:color="auto"/>
        <w:right w:val="none" w:sz="0" w:space="0" w:color="auto"/>
      </w:divBdr>
    </w:div>
    <w:div w:id="1291084090">
      <w:marLeft w:val="0"/>
      <w:marRight w:val="0"/>
      <w:marTop w:val="0"/>
      <w:marBottom w:val="0"/>
      <w:divBdr>
        <w:top w:val="none" w:sz="0" w:space="0" w:color="auto"/>
        <w:left w:val="none" w:sz="0" w:space="0" w:color="auto"/>
        <w:bottom w:val="none" w:sz="0" w:space="0" w:color="auto"/>
        <w:right w:val="none" w:sz="0" w:space="0" w:color="auto"/>
      </w:divBdr>
    </w:div>
    <w:div w:id="1291084091">
      <w:marLeft w:val="0"/>
      <w:marRight w:val="0"/>
      <w:marTop w:val="0"/>
      <w:marBottom w:val="0"/>
      <w:divBdr>
        <w:top w:val="none" w:sz="0" w:space="0" w:color="auto"/>
        <w:left w:val="none" w:sz="0" w:space="0" w:color="auto"/>
        <w:bottom w:val="none" w:sz="0" w:space="0" w:color="auto"/>
        <w:right w:val="none" w:sz="0" w:space="0" w:color="auto"/>
      </w:divBdr>
    </w:div>
    <w:div w:id="1291084092">
      <w:marLeft w:val="0"/>
      <w:marRight w:val="0"/>
      <w:marTop w:val="0"/>
      <w:marBottom w:val="0"/>
      <w:divBdr>
        <w:top w:val="none" w:sz="0" w:space="0" w:color="auto"/>
        <w:left w:val="none" w:sz="0" w:space="0" w:color="auto"/>
        <w:bottom w:val="none" w:sz="0" w:space="0" w:color="auto"/>
        <w:right w:val="none" w:sz="0" w:space="0" w:color="auto"/>
      </w:divBdr>
    </w:div>
    <w:div w:id="1291084093">
      <w:marLeft w:val="0"/>
      <w:marRight w:val="0"/>
      <w:marTop w:val="0"/>
      <w:marBottom w:val="0"/>
      <w:divBdr>
        <w:top w:val="none" w:sz="0" w:space="0" w:color="auto"/>
        <w:left w:val="none" w:sz="0" w:space="0" w:color="auto"/>
        <w:bottom w:val="none" w:sz="0" w:space="0" w:color="auto"/>
        <w:right w:val="none" w:sz="0" w:space="0" w:color="auto"/>
      </w:divBdr>
    </w:div>
    <w:div w:id="1291084094">
      <w:marLeft w:val="0"/>
      <w:marRight w:val="0"/>
      <w:marTop w:val="0"/>
      <w:marBottom w:val="0"/>
      <w:divBdr>
        <w:top w:val="none" w:sz="0" w:space="0" w:color="auto"/>
        <w:left w:val="none" w:sz="0" w:space="0" w:color="auto"/>
        <w:bottom w:val="none" w:sz="0" w:space="0" w:color="auto"/>
        <w:right w:val="none" w:sz="0" w:space="0" w:color="auto"/>
      </w:divBdr>
    </w:div>
    <w:div w:id="1291084095">
      <w:marLeft w:val="0"/>
      <w:marRight w:val="0"/>
      <w:marTop w:val="0"/>
      <w:marBottom w:val="0"/>
      <w:divBdr>
        <w:top w:val="none" w:sz="0" w:space="0" w:color="auto"/>
        <w:left w:val="none" w:sz="0" w:space="0" w:color="auto"/>
        <w:bottom w:val="none" w:sz="0" w:space="0" w:color="auto"/>
        <w:right w:val="none" w:sz="0" w:space="0" w:color="auto"/>
      </w:divBdr>
    </w:div>
    <w:div w:id="1291084096">
      <w:marLeft w:val="0"/>
      <w:marRight w:val="0"/>
      <w:marTop w:val="0"/>
      <w:marBottom w:val="0"/>
      <w:divBdr>
        <w:top w:val="none" w:sz="0" w:space="0" w:color="auto"/>
        <w:left w:val="none" w:sz="0" w:space="0" w:color="auto"/>
        <w:bottom w:val="none" w:sz="0" w:space="0" w:color="auto"/>
        <w:right w:val="none" w:sz="0" w:space="0" w:color="auto"/>
      </w:divBdr>
    </w:div>
    <w:div w:id="1291084097">
      <w:marLeft w:val="0"/>
      <w:marRight w:val="0"/>
      <w:marTop w:val="0"/>
      <w:marBottom w:val="0"/>
      <w:divBdr>
        <w:top w:val="none" w:sz="0" w:space="0" w:color="auto"/>
        <w:left w:val="none" w:sz="0" w:space="0" w:color="auto"/>
        <w:bottom w:val="none" w:sz="0" w:space="0" w:color="auto"/>
        <w:right w:val="none" w:sz="0" w:space="0" w:color="auto"/>
      </w:divBdr>
    </w:div>
    <w:div w:id="1291084098">
      <w:marLeft w:val="0"/>
      <w:marRight w:val="0"/>
      <w:marTop w:val="0"/>
      <w:marBottom w:val="0"/>
      <w:divBdr>
        <w:top w:val="none" w:sz="0" w:space="0" w:color="auto"/>
        <w:left w:val="none" w:sz="0" w:space="0" w:color="auto"/>
        <w:bottom w:val="none" w:sz="0" w:space="0" w:color="auto"/>
        <w:right w:val="none" w:sz="0" w:space="0" w:color="auto"/>
      </w:divBdr>
    </w:div>
    <w:div w:id="1291084099">
      <w:marLeft w:val="0"/>
      <w:marRight w:val="0"/>
      <w:marTop w:val="0"/>
      <w:marBottom w:val="0"/>
      <w:divBdr>
        <w:top w:val="none" w:sz="0" w:space="0" w:color="auto"/>
        <w:left w:val="none" w:sz="0" w:space="0" w:color="auto"/>
        <w:bottom w:val="none" w:sz="0" w:space="0" w:color="auto"/>
        <w:right w:val="none" w:sz="0" w:space="0" w:color="auto"/>
      </w:divBdr>
    </w:div>
    <w:div w:id="1291084100">
      <w:marLeft w:val="0"/>
      <w:marRight w:val="0"/>
      <w:marTop w:val="0"/>
      <w:marBottom w:val="0"/>
      <w:divBdr>
        <w:top w:val="none" w:sz="0" w:space="0" w:color="auto"/>
        <w:left w:val="none" w:sz="0" w:space="0" w:color="auto"/>
        <w:bottom w:val="none" w:sz="0" w:space="0" w:color="auto"/>
        <w:right w:val="none" w:sz="0" w:space="0" w:color="auto"/>
      </w:divBdr>
    </w:div>
    <w:div w:id="1291084101">
      <w:marLeft w:val="0"/>
      <w:marRight w:val="0"/>
      <w:marTop w:val="0"/>
      <w:marBottom w:val="0"/>
      <w:divBdr>
        <w:top w:val="none" w:sz="0" w:space="0" w:color="auto"/>
        <w:left w:val="none" w:sz="0" w:space="0" w:color="auto"/>
        <w:bottom w:val="none" w:sz="0" w:space="0" w:color="auto"/>
        <w:right w:val="none" w:sz="0" w:space="0" w:color="auto"/>
      </w:divBdr>
    </w:div>
    <w:div w:id="1291084102">
      <w:marLeft w:val="0"/>
      <w:marRight w:val="0"/>
      <w:marTop w:val="0"/>
      <w:marBottom w:val="0"/>
      <w:divBdr>
        <w:top w:val="none" w:sz="0" w:space="0" w:color="auto"/>
        <w:left w:val="none" w:sz="0" w:space="0" w:color="auto"/>
        <w:bottom w:val="none" w:sz="0" w:space="0" w:color="auto"/>
        <w:right w:val="none" w:sz="0" w:space="0" w:color="auto"/>
      </w:divBdr>
    </w:div>
    <w:div w:id="1291084103">
      <w:marLeft w:val="0"/>
      <w:marRight w:val="0"/>
      <w:marTop w:val="0"/>
      <w:marBottom w:val="0"/>
      <w:divBdr>
        <w:top w:val="none" w:sz="0" w:space="0" w:color="auto"/>
        <w:left w:val="none" w:sz="0" w:space="0" w:color="auto"/>
        <w:bottom w:val="none" w:sz="0" w:space="0" w:color="auto"/>
        <w:right w:val="none" w:sz="0" w:space="0" w:color="auto"/>
      </w:divBdr>
    </w:div>
    <w:div w:id="1291084104">
      <w:marLeft w:val="0"/>
      <w:marRight w:val="0"/>
      <w:marTop w:val="0"/>
      <w:marBottom w:val="0"/>
      <w:divBdr>
        <w:top w:val="none" w:sz="0" w:space="0" w:color="auto"/>
        <w:left w:val="none" w:sz="0" w:space="0" w:color="auto"/>
        <w:bottom w:val="none" w:sz="0" w:space="0" w:color="auto"/>
        <w:right w:val="none" w:sz="0" w:space="0" w:color="auto"/>
      </w:divBdr>
    </w:div>
    <w:div w:id="1291084105">
      <w:marLeft w:val="0"/>
      <w:marRight w:val="0"/>
      <w:marTop w:val="0"/>
      <w:marBottom w:val="0"/>
      <w:divBdr>
        <w:top w:val="none" w:sz="0" w:space="0" w:color="auto"/>
        <w:left w:val="none" w:sz="0" w:space="0" w:color="auto"/>
        <w:bottom w:val="none" w:sz="0" w:space="0" w:color="auto"/>
        <w:right w:val="none" w:sz="0" w:space="0" w:color="auto"/>
      </w:divBdr>
    </w:div>
    <w:div w:id="1291084106">
      <w:marLeft w:val="0"/>
      <w:marRight w:val="0"/>
      <w:marTop w:val="0"/>
      <w:marBottom w:val="0"/>
      <w:divBdr>
        <w:top w:val="none" w:sz="0" w:space="0" w:color="auto"/>
        <w:left w:val="none" w:sz="0" w:space="0" w:color="auto"/>
        <w:bottom w:val="none" w:sz="0" w:space="0" w:color="auto"/>
        <w:right w:val="none" w:sz="0" w:space="0" w:color="auto"/>
      </w:divBdr>
    </w:div>
    <w:div w:id="1291084107">
      <w:marLeft w:val="0"/>
      <w:marRight w:val="0"/>
      <w:marTop w:val="0"/>
      <w:marBottom w:val="0"/>
      <w:divBdr>
        <w:top w:val="none" w:sz="0" w:space="0" w:color="auto"/>
        <w:left w:val="none" w:sz="0" w:space="0" w:color="auto"/>
        <w:bottom w:val="none" w:sz="0" w:space="0" w:color="auto"/>
        <w:right w:val="none" w:sz="0" w:space="0" w:color="auto"/>
      </w:divBdr>
    </w:div>
    <w:div w:id="1291084108">
      <w:marLeft w:val="0"/>
      <w:marRight w:val="0"/>
      <w:marTop w:val="0"/>
      <w:marBottom w:val="0"/>
      <w:divBdr>
        <w:top w:val="none" w:sz="0" w:space="0" w:color="auto"/>
        <w:left w:val="none" w:sz="0" w:space="0" w:color="auto"/>
        <w:bottom w:val="none" w:sz="0" w:space="0" w:color="auto"/>
        <w:right w:val="none" w:sz="0" w:space="0" w:color="auto"/>
      </w:divBdr>
    </w:div>
    <w:div w:id="1291084109">
      <w:marLeft w:val="0"/>
      <w:marRight w:val="0"/>
      <w:marTop w:val="0"/>
      <w:marBottom w:val="0"/>
      <w:divBdr>
        <w:top w:val="none" w:sz="0" w:space="0" w:color="auto"/>
        <w:left w:val="none" w:sz="0" w:space="0" w:color="auto"/>
        <w:bottom w:val="none" w:sz="0" w:space="0" w:color="auto"/>
        <w:right w:val="none" w:sz="0" w:space="0" w:color="auto"/>
      </w:divBdr>
    </w:div>
    <w:div w:id="1291084110">
      <w:marLeft w:val="0"/>
      <w:marRight w:val="0"/>
      <w:marTop w:val="0"/>
      <w:marBottom w:val="0"/>
      <w:divBdr>
        <w:top w:val="none" w:sz="0" w:space="0" w:color="auto"/>
        <w:left w:val="none" w:sz="0" w:space="0" w:color="auto"/>
        <w:bottom w:val="none" w:sz="0" w:space="0" w:color="auto"/>
        <w:right w:val="none" w:sz="0" w:space="0" w:color="auto"/>
      </w:divBdr>
    </w:div>
    <w:div w:id="1291084111">
      <w:marLeft w:val="0"/>
      <w:marRight w:val="0"/>
      <w:marTop w:val="0"/>
      <w:marBottom w:val="0"/>
      <w:divBdr>
        <w:top w:val="none" w:sz="0" w:space="0" w:color="auto"/>
        <w:left w:val="none" w:sz="0" w:space="0" w:color="auto"/>
        <w:bottom w:val="none" w:sz="0" w:space="0" w:color="auto"/>
        <w:right w:val="none" w:sz="0" w:space="0" w:color="auto"/>
      </w:divBdr>
    </w:div>
    <w:div w:id="1291084112">
      <w:marLeft w:val="0"/>
      <w:marRight w:val="0"/>
      <w:marTop w:val="0"/>
      <w:marBottom w:val="0"/>
      <w:divBdr>
        <w:top w:val="none" w:sz="0" w:space="0" w:color="auto"/>
        <w:left w:val="none" w:sz="0" w:space="0" w:color="auto"/>
        <w:bottom w:val="none" w:sz="0" w:space="0" w:color="auto"/>
        <w:right w:val="none" w:sz="0" w:space="0" w:color="auto"/>
      </w:divBdr>
    </w:div>
    <w:div w:id="1291084113">
      <w:marLeft w:val="0"/>
      <w:marRight w:val="0"/>
      <w:marTop w:val="0"/>
      <w:marBottom w:val="0"/>
      <w:divBdr>
        <w:top w:val="none" w:sz="0" w:space="0" w:color="auto"/>
        <w:left w:val="none" w:sz="0" w:space="0" w:color="auto"/>
        <w:bottom w:val="none" w:sz="0" w:space="0" w:color="auto"/>
        <w:right w:val="none" w:sz="0" w:space="0" w:color="auto"/>
      </w:divBdr>
    </w:div>
    <w:div w:id="1291084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andd.defra.gov.uk/Default.aspx?Menu=Menu&amp;Module=Detail&amp;Completed=0&amp;FOSID=6" TargetMode="External"/><Relationship Id="rId117" Type="http://schemas.openxmlformats.org/officeDocument/2006/relationships/hyperlink" Target="http://www.awi.de" TargetMode="External"/><Relationship Id="rId21" Type="http://schemas.openxmlformats.org/officeDocument/2006/relationships/hyperlink" Target="http://randd.defra.gov.uk/Default.aspx?Menu=Menu&amp;Module=Detail&amp;Completed=0&amp;FOSID=5" TargetMode="External"/><Relationship Id="rId42" Type="http://schemas.openxmlformats.org/officeDocument/2006/relationships/hyperlink" Target="http://randd.defra.gov.uk/Default.aspx?Menu=Menu&amp;Module=ProjectList&amp;Completed=0&amp;FOSID=11" TargetMode="External"/><Relationship Id="rId47" Type="http://schemas.openxmlformats.org/officeDocument/2006/relationships/hyperlink" Target="http://randd.defra.gov.uk/Default.aspx?Menu=Menu&amp;Module=ProjectList&amp;Completed=0&amp;FOSID=15" TargetMode="External"/><Relationship Id="rId63" Type="http://schemas.openxmlformats.org/officeDocument/2006/relationships/hyperlink" Target="http://randd.defra.gov.uk/Default.aspx?Menu=Menu&amp;Module=Detail&amp;Completed=0&amp;FOSID=13" TargetMode="External"/><Relationship Id="rId68" Type="http://schemas.openxmlformats.org/officeDocument/2006/relationships/hyperlink" Target="http://randd.defra.gov.uk/Default.aspx?Menu=Menu&amp;Module=Detail&amp;Completed=0&amp;FOSID=37" TargetMode="External"/><Relationship Id="rId84" Type="http://schemas.openxmlformats.org/officeDocument/2006/relationships/hyperlink" Target="http://www.baw.at" TargetMode="External"/><Relationship Id="rId89" Type="http://schemas.openxmlformats.org/officeDocument/2006/relationships/hyperlink" Target="http://www.joanneum.at" TargetMode="External"/><Relationship Id="rId112" Type="http://schemas.openxmlformats.org/officeDocument/2006/relationships/hyperlink" Target="http://www.ice.mpg.de" TargetMode="External"/><Relationship Id="rId133" Type="http://schemas.openxmlformats.org/officeDocument/2006/relationships/hyperlink" Target="http://www.vandiber.dk" TargetMode="External"/><Relationship Id="rId138" Type="http://schemas.openxmlformats.org/officeDocument/2006/relationships/hyperlink" Target="http://www.nerc.ac.uk" TargetMode="External"/><Relationship Id="rId154" Type="http://schemas.openxmlformats.org/officeDocument/2006/relationships/hyperlink" Target="http://erc.europa.eu" TargetMode="External"/><Relationship Id="rId159" Type="http://schemas.openxmlformats.org/officeDocument/2006/relationships/hyperlink" Target="http://www.cleansky.eu" TargetMode="External"/><Relationship Id="rId170" Type="http://schemas.openxmlformats.org/officeDocument/2006/relationships/footer" Target="footer3.xml"/><Relationship Id="rId16" Type="http://schemas.openxmlformats.org/officeDocument/2006/relationships/hyperlink" Target="http://randd.defra.gov.uk/Default.aspx?Menu=Menu&amp;Module=ProjectList&amp;Completed=0&amp;FOSID=1" TargetMode="External"/><Relationship Id="rId107" Type="http://schemas.openxmlformats.org/officeDocument/2006/relationships/hyperlink" Target="http://www.eawag.ch" TargetMode="External"/><Relationship Id="rId11" Type="http://schemas.openxmlformats.org/officeDocument/2006/relationships/hyperlink" Target="http://ec.europa.eu/easme/" TargetMode="External"/><Relationship Id="rId32" Type="http://schemas.openxmlformats.org/officeDocument/2006/relationships/hyperlink" Target="http://randd.defra.gov.uk/Default.aspx?Menu=Menu&amp;Module=Detail&amp;Completed=0&amp;FOSID=8" TargetMode="External"/><Relationship Id="rId37" Type="http://schemas.openxmlformats.org/officeDocument/2006/relationships/hyperlink" Target="http://randd.defra.gov.uk/Default.aspx?Menu=Menu&amp;Module=ProjectList&amp;Completed=0&amp;FOSID=32" TargetMode="External"/><Relationship Id="rId53" Type="http://schemas.openxmlformats.org/officeDocument/2006/relationships/hyperlink" Target="http://randd.defra.gov.uk/Default.aspx?Menu=Menu&amp;Module=ProjectList&amp;Completed=0&amp;FOSID=19" TargetMode="External"/><Relationship Id="rId58" Type="http://schemas.openxmlformats.org/officeDocument/2006/relationships/hyperlink" Target="http://randd.defra.gov.uk/Default.aspx?Menu=Menu&amp;Module=ProjectList&amp;Completed=0&amp;FOSID=22" TargetMode="External"/><Relationship Id="rId74" Type="http://schemas.openxmlformats.org/officeDocument/2006/relationships/hyperlink" Target="http://randd.defra.gov.uk/Default.aspx?Menu=Menu&amp;Module=Detail&amp;Completed=0&amp;FOSID=28" TargetMode="External"/><Relationship Id="rId79" Type="http://schemas.openxmlformats.org/officeDocument/2006/relationships/hyperlink" Target="http://randd.defra.gov.uk/Default.aspx?Menu=Menu&amp;Module=ProjectList&amp;Completed=0&amp;FOSID=29" TargetMode="External"/><Relationship Id="rId102" Type="http://schemas.openxmlformats.org/officeDocument/2006/relationships/hyperlink" Target="http://www.usys.ethz.ch" TargetMode="External"/><Relationship Id="rId123" Type="http://schemas.openxmlformats.org/officeDocument/2006/relationships/hyperlink" Target="http://www.dfg.de" TargetMode="External"/><Relationship Id="rId128" Type="http://schemas.openxmlformats.org/officeDocument/2006/relationships/hyperlink" Target="http://www.foodnetwork.dk" TargetMode="External"/><Relationship Id="rId144" Type="http://schemas.openxmlformats.org/officeDocument/2006/relationships/hyperlink" Target="http://www.ceh.ac.uk" TargetMode="External"/><Relationship Id="rId149" Type="http://schemas.openxmlformats.org/officeDocument/2006/relationships/hyperlink" Target="http://www.europarl.europa.eu" TargetMode="External"/><Relationship Id="rId5" Type="http://schemas.openxmlformats.org/officeDocument/2006/relationships/footnotes" Target="footnotes.xml"/><Relationship Id="rId90" Type="http://schemas.openxmlformats.org/officeDocument/2006/relationships/hyperlink" Target="http://www.joanneum.at/resources.html" TargetMode="External"/><Relationship Id="rId95" Type="http://schemas.openxmlformats.org/officeDocument/2006/relationships/hyperlink" Target="http://www.kti.admin.ch" TargetMode="External"/><Relationship Id="rId160" Type="http://schemas.openxmlformats.org/officeDocument/2006/relationships/hyperlink" Target="http://biconsortium.eu" TargetMode="External"/><Relationship Id="rId165" Type="http://schemas.openxmlformats.org/officeDocument/2006/relationships/header" Target="header1.xml"/><Relationship Id="rId22" Type="http://schemas.openxmlformats.org/officeDocument/2006/relationships/hyperlink" Target="http://randd.defra.gov.uk/Default.aspx?Menu=Menu&amp;Module=ProjectList&amp;Completed=0&amp;FOSID=5" TargetMode="External"/><Relationship Id="rId27" Type="http://schemas.openxmlformats.org/officeDocument/2006/relationships/hyperlink" Target="http://randd.defra.gov.uk/Default.aspx?Menu=Menu&amp;Module=ProjectList&amp;Completed=0&amp;FOSID=6" TargetMode="External"/><Relationship Id="rId43" Type="http://schemas.openxmlformats.org/officeDocument/2006/relationships/hyperlink" Target="http://randd.defra.gov.uk/Default.aspx?Menu=Menu&amp;Module=Detail&amp;Completed=0&amp;FOSID=12" TargetMode="External"/><Relationship Id="rId48" Type="http://schemas.openxmlformats.org/officeDocument/2006/relationships/hyperlink" Target="http://randd.defra.gov.uk/Default.aspx?Menu=Menu&amp;Module=ProjectList&amp;Completed=0&amp;FOSID=16" TargetMode="External"/><Relationship Id="rId64" Type="http://schemas.openxmlformats.org/officeDocument/2006/relationships/hyperlink" Target="http://randd.defra.gov.uk/Default.aspx?Menu=Menu&amp;Module=ProjectList&amp;Completed=0&amp;FOSID=13" TargetMode="External"/><Relationship Id="rId69" Type="http://schemas.openxmlformats.org/officeDocument/2006/relationships/hyperlink" Target="http://randd.defra.gov.uk/Default.aspx?Menu=Menu&amp;Module=ProjectList&amp;Completed=0&amp;FOSID=37" TargetMode="External"/><Relationship Id="rId113" Type="http://schemas.openxmlformats.org/officeDocument/2006/relationships/hyperlink" Target="http://www.fhg.de" TargetMode="External"/><Relationship Id="rId118" Type="http://schemas.openxmlformats.org/officeDocument/2006/relationships/hyperlink" Target="http://www.ufz.de" TargetMode="External"/><Relationship Id="rId134" Type="http://schemas.openxmlformats.org/officeDocument/2006/relationships/hyperlink" Target="http://www.dst.dk" TargetMode="External"/><Relationship Id="rId139" Type="http://schemas.openxmlformats.org/officeDocument/2006/relationships/hyperlink" Target="http://www.defra.gov.uk" TargetMode="External"/><Relationship Id="rId80" Type="http://schemas.openxmlformats.org/officeDocument/2006/relationships/hyperlink" Target="http://www.rat-fte.at" TargetMode="External"/><Relationship Id="rId85" Type="http://schemas.openxmlformats.org/officeDocument/2006/relationships/hyperlink" Target="http://www.agraekonomik.at" TargetMode="External"/><Relationship Id="rId150" Type="http://schemas.openxmlformats.org/officeDocument/2006/relationships/hyperlink" Target="http://www.consilium.europa.eu" TargetMode="External"/><Relationship Id="rId155" Type="http://schemas.openxmlformats.org/officeDocument/2006/relationships/hyperlink" Target="http://ec.europa.eu/rea" TargetMode="External"/><Relationship Id="rId171" Type="http://schemas.openxmlformats.org/officeDocument/2006/relationships/fontTable" Target="fontTable.xml"/><Relationship Id="rId12" Type="http://schemas.openxmlformats.org/officeDocument/2006/relationships/hyperlink" Target="http://inea.ec.europa.eu/en/home/" TargetMode="External"/><Relationship Id="rId17" Type="http://schemas.openxmlformats.org/officeDocument/2006/relationships/hyperlink" Target="http://randd.defra.gov.uk/Default.aspx?Menu=Menu&amp;Module=Detail&amp;Completed=0&amp;FOSID=2" TargetMode="External"/><Relationship Id="rId33" Type="http://schemas.openxmlformats.org/officeDocument/2006/relationships/hyperlink" Target="http://randd.defra.gov.uk/Default.aspx?Menu=Menu&amp;Module=ProjectList&amp;Completed=0&amp;FOSID=8" TargetMode="External"/><Relationship Id="rId38" Type="http://schemas.openxmlformats.org/officeDocument/2006/relationships/hyperlink" Target="http://randd.defra.gov.uk/Default.aspx?Menu=Menu&amp;Module=ProjectList&amp;Completed=0&amp;FOSID=30" TargetMode="External"/><Relationship Id="rId59" Type="http://schemas.openxmlformats.org/officeDocument/2006/relationships/hyperlink" Target="http://randd.defra.gov.uk/Default.aspx?Menu=Menu&amp;Module=Detail&amp;Completed=0&amp;FOSID=23" TargetMode="External"/><Relationship Id="rId103" Type="http://schemas.openxmlformats.org/officeDocument/2006/relationships/hyperlink" Target="http://www.epfl.ch" TargetMode="External"/><Relationship Id="rId108" Type="http://schemas.openxmlformats.org/officeDocument/2006/relationships/hyperlink" Target="http://www.bmbf.de" TargetMode="External"/><Relationship Id="rId124" Type="http://schemas.openxmlformats.org/officeDocument/2006/relationships/hyperlink" Target="http://ufm.dk" TargetMode="External"/><Relationship Id="rId129" Type="http://schemas.openxmlformats.org/officeDocument/2006/relationships/hyperlink" Target="http://www.biopopeople.dk" TargetMode="External"/><Relationship Id="rId54" Type="http://schemas.openxmlformats.org/officeDocument/2006/relationships/hyperlink" Target="http://randd.defra.gov.uk/Default.aspx?Menu=Menu&amp;Module=ProjectList&amp;Completed=0&amp;FOSID=20" TargetMode="External"/><Relationship Id="rId70" Type="http://schemas.openxmlformats.org/officeDocument/2006/relationships/hyperlink" Target="http://randd.defra.gov.uk/Default.aspx?Menu=Menu&amp;Module=ProjectList&amp;Completed=0&amp;FOSID=27" TargetMode="External"/><Relationship Id="rId75" Type="http://schemas.openxmlformats.org/officeDocument/2006/relationships/hyperlink" Target="http://randd.defra.gov.uk/Default.aspx?Menu=Menu&amp;Module=ProjectList&amp;Completed=0&amp;FOSID=28" TargetMode="External"/><Relationship Id="rId91" Type="http://schemas.openxmlformats.org/officeDocument/2006/relationships/hyperlink" Target="http://www.joanneum.at/live.html" TargetMode="External"/><Relationship Id="rId96" Type="http://schemas.openxmlformats.org/officeDocument/2006/relationships/hyperlink" Target="http://www.bfs.admin.ch" TargetMode="External"/><Relationship Id="rId140" Type="http://schemas.openxmlformats.org/officeDocument/2006/relationships/hyperlink" Target="http://www.defra.gov.uk/fera" TargetMode="External"/><Relationship Id="rId145" Type="http://schemas.openxmlformats.org/officeDocument/2006/relationships/hyperlink" Target="http://www.ncas.ac.uk" TargetMode="External"/><Relationship Id="rId161" Type="http://schemas.openxmlformats.org/officeDocument/2006/relationships/hyperlink" Target="http://www.e2b-ei.eu" TargetMode="External"/><Relationship Id="rId16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andd.defra.gov.uk/Default.aspx?Menu=Menu&amp;Module=Detail&amp;Completed=0&amp;FOSID=1" TargetMode="External"/><Relationship Id="rId23" Type="http://schemas.openxmlformats.org/officeDocument/2006/relationships/hyperlink" Target="http://randd.defra.gov.uk/Default.aspx?Menu=Menu&amp;Module=ProjectList&amp;Completed=0&amp;FOSID=4" TargetMode="External"/><Relationship Id="rId28" Type="http://schemas.openxmlformats.org/officeDocument/2006/relationships/hyperlink" Target="http://randd.defra.gov.uk/Default.aspx?Menu=Menu&amp;Module=ProjectList&amp;Completed=0&amp;FOSID=40" TargetMode="External"/><Relationship Id="rId36" Type="http://schemas.openxmlformats.org/officeDocument/2006/relationships/hyperlink" Target="http://randd.defra.gov.uk/Default.aspx?Menu=Menu&amp;Module=Detail&amp;Completed=0&amp;FOSID=32" TargetMode="External"/><Relationship Id="rId49" Type="http://schemas.openxmlformats.org/officeDocument/2006/relationships/hyperlink" Target="http://randd.defra.gov.uk/Default.aspx?Menu=Menu&amp;Module=ProjectList&amp;Completed=0&amp;FOSID=17" TargetMode="External"/><Relationship Id="rId57" Type="http://schemas.openxmlformats.org/officeDocument/2006/relationships/hyperlink" Target="http://randd.defra.gov.uk/Default.aspx?Menu=Menu&amp;Module=Detail&amp;Completed=0&amp;FOSID=22" TargetMode="External"/><Relationship Id="rId106" Type="http://schemas.openxmlformats.org/officeDocument/2006/relationships/hyperlink" Target="http://www.empa.ch" TargetMode="External"/><Relationship Id="rId114" Type="http://schemas.openxmlformats.org/officeDocument/2006/relationships/hyperlink" Target="http://www.ime.fraunhofer.de" TargetMode="External"/><Relationship Id="rId119" Type="http://schemas.openxmlformats.org/officeDocument/2006/relationships/hyperlink" Target="http://www.helmholtz-muenchen.de" TargetMode="External"/><Relationship Id="rId127" Type="http://schemas.openxmlformats.org/officeDocument/2006/relationships/hyperlink" Target="http://www.dhigroup.com" TargetMode="External"/><Relationship Id="rId10" Type="http://schemas.openxmlformats.org/officeDocument/2006/relationships/hyperlink" Target="http://www.noc.ac.uk" TargetMode="External"/><Relationship Id="rId31" Type="http://schemas.openxmlformats.org/officeDocument/2006/relationships/hyperlink" Target="http://randd.defra.gov.uk/Default.aspx?Menu=Menu&amp;Module=ProjectList&amp;Completed=0&amp;FOSID=35" TargetMode="External"/><Relationship Id="rId44" Type="http://schemas.openxmlformats.org/officeDocument/2006/relationships/hyperlink" Target="http://randd.defra.gov.uk/Default.aspx?Menu=Menu&amp;Module=ProjectList&amp;Completed=0&amp;FOSID=12" TargetMode="External"/><Relationship Id="rId52" Type="http://schemas.openxmlformats.org/officeDocument/2006/relationships/hyperlink" Target="http://randd.defra.gov.uk/Default.aspx?Menu=Menu&amp;Module=ProjectList&amp;Completed=0&amp;FOSID=7" TargetMode="External"/><Relationship Id="rId60" Type="http://schemas.openxmlformats.org/officeDocument/2006/relationships/hyperlink" Target="http://randd.defra.gov.uk/Default.aspx?Menu=Menu&amp;Module=ProjectList&amp;Completed=0&amp;FOSID=23" TargetMode="External"/><Relationship Id="rId65" Type="http://schemas.openxmlformats.org/officeDocument/2006/relationships/hyperlink" Target="http://randd.defra.gov.uk/Default.aspx?Menu=Menu&amp;Module=Detail&amp;Completed=0&amp;FOSID=25" TargetMode="External"/><Relationship Id="rId73" Type="http://schemas.openxmlformats.org/officeDocument/2006/relationships/hyperlink" Target="http://randd.defra.gov.uk/Default.aspx?Menu=Menu&amp;Module=ProjectList&amp;Completed=0&amp;FOSID=31" TargetMode="External"/><Relationship Id="rId78" Type="http://schemas.openxmlformats.org/officeDocument/2006/relationships/hyperlink" Target="http://randd.defra.gov.uk/Default.aspx?Menu=Menu&amp;Module=Detail&amp;Completed=0&amp;FOSID=29" TargetMode="External"/><Relationship Id="rId81" Type="http://schemas.openxmlformats.org/officeDocument/2006/relationships/hyperlink" Target="http://www.fwf.ac.at" TargetMode="External"/><Relationship Id="rId86" Type="http://schemas.openxmlformats.org/officeDocument/2006/relationships/hyperlink" Target="http://www.raumberg-gumpenstein.at" TargetMode="External"/><Relationship Id="rId94" Type="http://schemas.openxmlformats.org/officeDocument/2006/relationships/hyperlink" Target="http://www.sbfi.admin.ch" TargetMode="External"/><Relationship Id="rId99" Type="http://schemas.openxmlformats.org/officeDocument/2006/relationships/hyperlink" Target="http://www.ethrat.de" TargetMode="External"/><Relationship Id="rId101" Type="http://schemas.openxmlformats.org/officeDocument/2006/relationships/hyperlink" Target="http://www.baug.ethz.ch" TargetMode="External"/><Relationship Id="rId122" Type="http://schemas.openxmlformats.org/officeDocument/2006/relationships/hyperlink" Target="http://www.pik-potsdam.de" TargetMode="External"/><Relationship Id="rId130" Type="http://schemas.openxmlformats.org/officeDocument/2006/relationships/hyperlink" Target="http://www.inbiom.dk" TargetMode="External"/><Relationship Id="rId135" Type="http://schemas.openxmlformats.org/officeDocument/2006/relationships/hyperlink" Target="http://www.bis.gov.uk" TargetMode="External"/><Relationship Id="rId143" Type="http://schemas.openxmlformats.org/officeDocument/2006/relationships/hyperlink" Target="http://www.gs.ac.uk" TargetMode="External"/><Relationship Id="rId148" Type="http://schemas.openxmlformats.org/officeDocument/2006/relationships/hyperlink" Target="http://www.noc.ac.uk" TargetMode="External"/><Relationship Id="rId151" Type="http://schemas.openxmlformats.org/officeDocument/2006/relationships/hyperlink" Target="http://ec.europa.eu" TargetMode="External"/><Relationship Id="rId156" Type="http://schemas.openxmlformats.org/officeDocument/2006/relationships/hyperlink" Target="http://eit.europa.eu" TargetMode="External"/><Relationship Id="rId164" Type="http://schemas.openxmlformats.org/officeDocument/2006/relationships/hyperlink" Target="http://wstt.eu" TargetMode="External"/><Relationship Id="rId16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nerc.ac.uk/research/sites/centres/" TargetMode="External"/><Relationship Id="rId172" Type="http://schemas.openxmlformats.org/officeDocument/2006/relationships/theme" Target="theme/theme1.xml"/><Relationship Id="rId13" Type="http://schemas.openxmlformats.org/officeDocument/2006/relationships/hyperlink" Target="http://randd.defra.gov.uk/Default.aspx?Menu=Menu&amp;Module=Detail&amp;Completed=0&amp;FOSID=33" TargetMode="External"/><Relationship Id="rId18" Type="http://schemas.openxmlformats.org/officeDocument/2006/relationships/hyperlink" Target="http://randd.defra.gov.uk/Default.aspx?Menu=Menu&amp;Module=ProjectList&amp;Completed=0&amp;FOSID=2" TargetMode="External"/><Relationship Id="rId39" Type="http://schemas.openxmlformats.org/officeDocument/2006/relationships/hyperlink" Target="http://randd.defra.gov.uk/Default.aspx?Menu=Menu&amp;Module=Detail&amp;Completed=0&amp;FOSID=10" TargetMode="External"/><Relationship Id="rId109" Type="http://schemas.openxmlformats.org/officeDocument/2006/relationships/hyperlink" Target="http://www.bmwi.de" TargetMode="External"/><Relationship Id="rId34" Type="http://schemas.openxmlformats.org/officeDocument/2006/relationships/hyperlink" Target="http://randd.defra.gov.uk/Default.aspx?Menu=Menu&amp;Module=Detail&amp;Completed=0&amp;FOSID=9" TargetMode="External"/><Relationship Id="rId50" Type="http://schemas.openxmlformats.org/officeDocument/2006/relationships/hyperlink" Target="http://randd.defra.gov.uk/Default.aspx?Menu=Menu&amp;Module=ProjectList&amp;Completed=0&amp;FOSID=18" TargetMode="External"/><Relationship Id="rId55" Type="http://schemas.openxmlformats.org/officeDocument/2006/relationships/hyperlink" Target="http://randd.defra.gov.uk/Default.aspx?Menu=Menu&amp;Module=Detail&amp;Completed=0&amp;FOSID=21" TargetMode="External"/><Relationship Id="rId76" Type="http://schemas.openxmlformats.org/officeDocument/2006/relationships/hyperlink" Target="http://randd.defra.gov.uk/Default.aspx?Menu=Menu&amp;Module=Detail&amp;Completed=0&amp;FOSID=34" TargetMode="External"/><Relationship Id="rId97" Type="http://schemas.openxmlformats.org/officeDocument/2006/relationships/hyperlink" Target="http://www.bafu.admin.ch" TargetMode="External"/><Relationship Id="rId104" Type="http://schemas.openxmlformats.org/officeDocument/2006/relationships/hyperlink" Target="http://www.psi.ch" TargetMode="External"/><Relationship Id="rId120" Type="http://schemas.openxmlformats.org/officeDocument/2006/relationships/hyperlink" Target="http://www.leibniz-gemeinschaft.de" TargetMode="External"/><Relationship Id="rId125" Type="http://schemas.openxmlformats.org/officeDocument/2006/relationships/hyperlink" Target="http://www.mfvm.dk" TargetMode="External"/><Relationship Id="rId141" Type="http://schemas.openxmlformats.org/officeDocument/2006/relationships/hyperlink" Target="http://www.cefas.co.uk" TargetMode="External"/><Relationship Id="rId146" Type="http://schemas.openxmlformats.org/officeDocument/2006/relationships/hyperlink" Target="http://www.nceo.ac.uk" TargetMode="External"/><Relationship Id="rId167" Type="http://schemas.openxmlformats.org/officeDocument/2006/relationships/footer" Target="footer1.xml"/><Relationship Id="rId7" Type="http://schemas.openxmlformats.org/officeDocument/2006/relationships/hyperlink" Target="http://ufm.dk/en/research-and-innovation/funding-programmes-for-research-and-innovation/find-danish-funding-programmes/programmes-managed-by-innovation-fund-denmark/dsf-strategic-research-in-individuals-disease-and-society" TargetMode="External"/><Relationship Id="rId71" Type="http://schemas.openxmlformats.org/officeDocument/2006/relationships/hyperlink" Target="http://randd.defra.gov.uk/Default.aspx?Menu=Menu&amp;Module=Detail&amp;Completed=0&amp;FOSID=39" TargetMode="External"/><Relationship Id="rId92" Type="http://schemas.openxmlformats.org/officeDocument/2006/relationships/hyperlink" Target="http://www.wbf.admin.ch" TargetMode="External"/><Relationship Id="rId162" Type="http://schemas.openxmlformats.org/officeDocument/2006/relationships/hyperlink" Target="http://www.egvi.eu" TargetMode="External"/><Relationship Id="rId2" Type="http://schemas.openxmlformats.org/officeDocument/2006/relationships/styles" Target="styles.xml"/><Relationship Id="rId29" Type="http://schemas.openxmlformats.org/officeDocument/2006/relationships/hyperlink" Target="http://randd.defra.gov.uk/Default.aspx?Menu=Menu&amp;Module=ProjectList&amp;Completed=0&amp;FOSID=38" TargetMode="External"/><Relationship Id="rId24" Type="http://schemas.openxmlformats.org/officeDocument/2006/relationships/hyperlink" Target="http://randd.defra.gov.uk/Default.aspx?Menu=Menu&amp;Module=Detail&amp;Completed=0&amp;FOSID=36" TargetMode="External"/><Relationship Id="rId40" Type="http://schemas.openxmlformats.org/officeDocument/2006/relationships/hyperlink" Target="http://randd.defra.gov.uk/Default.aspx?Menu=Menu&amp;Module=ProjectList&amp;Completed=0&amp;FOSID=10" TargetMode="External"/><Relationship Id="rId45" Type="http://schemas.openxmlformats.org/officeDocument/2006/relationships/hyperlink" Target="http://randd.defra.gov.uk/Default.aspx?Menu=Menu&amp;Module=Detail&amp;Completed=0&amp;FOSID=14" TargetMode="External"/><Relationship Id="rId66" Type="http://schemas.openxmlformats.org/officeDocument/2006/relationships/hyperlink" Target="http://randd.defra.gov.uk/Default.aspx?Menu=Menu&amp;Module=ProjectList&amp;Completed=0&amp;FOSID=25" TargetMode="External"/><Relationship Id="rId87" Type="http://schemas.openxmlformats.org/officeDocument/2006/relationships/hyperlink" Target="http://www.viadonau.org" TargetMode="External"/><Relationship Id="rId110" Type="http://schemas.openxmlformats.org/officeDocument/2006/relationships/hyperlink" Target="http://www.bmub.bund.de" TargetMode="External"/><Relationship Id="rId115" Type="http://schemas.openxmlformats.org/officeDocument/2006/relationships/hyperlink" Target="http://www.umsicht.fraunhofer.de" TargetMode="External"/><Relationship Id="rId131" Type="http://schemas.openxmlformats.org/officeDocument/2006/relationships/hyperlink" Target="http://www.ve-net.dk" TargetMode="External"/><Relationship Id="rId136" Type="http://schemas.openxmlformats.org/officeDocument/2006/relationships/hyperlink" Target="http://www.gov.uk/cst" TargetMode="External"/><Relationship Id="rId157" Type="http://schemas.openxmlformats.org/officeDocument/2006/relationships/hyperlink" Target="http://climate-kic.org" TargetMode="External"/><Relationship Id="rId61" Type="http://schemas.openxmlformats.org/officeDocument/2006/relationships/hyperlink" Target="http://randd.defra.gov.uk/Default.aspx?Menu=Menu&amp;Module=Detail&amp;Completed=0&amp;FOSID=24" TargetMode="External"/><Relationship Id="rId82" Type="http://schemas.openxmlformats.org/officeDocument/2006/relationships/hyperlink" Target="http://www.ffg.at" TargetMode="External"/><Relationship Id="rId152" Type="http://schemas.openxmlformats.org/officeDocument/2006/relationships/hyperlink" Target="http://ec.europa.eu/research" TargetMode="External"/><Relationship Id="rId19" Type="http://schemas.openxmlformats.org/officeDocument/2006/relationships/hyperlink" Target="http://randd.defra.gov.uk/Default.aspx?Menu=Menu&amp;Module=Detail&amp;Completed=0&amp;FOSID=3" TargetMode="External"/><Relationship Id="rId14" Type="http://schemas.openxmlformats.org/officeDocument/2006/relationships/hyperlink" Target="http://randd.defra.gov.uk/Default.aspx?Menu=Menu&amp;Module=ProjectList&amp;Completed=0&amp;FOSID=33" TargetMode="External"/><Relationship Id="rId30" Type="http://schemas.openxmlformats.org/officeDocument/2006/relationships/hyperlink" Target="http://randd.defra.gov.uk/Default.aspx?Menu=Menu&amp;Module=Detail&amp;Completed=0&amp;FOSID=35" TargetMode="External"/><Relationship Id="rId35" Type="http://schemas.openxmlformats.org/officeDocument/2006/relationships/hyperlink" Target="http://randd.defra.gov.uk/Default.aspx?Menu=Menu&amp;Module=ProjectList&amp;Completed=0&amp;FOSID=9" TargetMode="External"/><Relationship Id="rId56" Type="http://schemas.openxmlformats.org/officeDocument/2006/relationships/hyperlink" Target="http://randd.defra.gov.uk/Default.aspx?Menu=Menu&amp;Module=ProjectList&amp;Completed=0&amp;FOSID=21" TargetMode="External"/><Relationship Id="rId77" Type="http://schemas.openxmlformats.org/officeDocument/2006/relationships/hyperlink" Target="http://randd.defra.gov.uk/Default.aspx?Menu=Menu&amp;Module=ProjectList&amp;Completed=0&amp;FOSID=34" TargetMode="External"/><Relationship Id="rId100" Type="http://schemas.openxmlformats.org/officeDocument/2006/relationships/hyperlink" Target="http://www.ethz.ch" TargetMode="External"/><Relationship Id="rId105" Type="http://schemas.openxmlformats.org/officeDocument/2006/relationships/hyperlink" Target="http://www.wsl.ch" TargetMode="External"/><Relationship Id="rId126" Type="http://schemas.openxmlformats.org/officeDocument/2006/relationships/hyperlink" Target="http://www.dti.dk" TargetMode="External"/><Relationship Id="rId147" Type="http://schemas.openxmlformats.org/officeDocument/2006/relationships/hyperlink" Target="http://www.nerc.ac.uk/research/sites/centres/" TargetMode="External"/><Relationship Id="rId168" Type="http://schemas.openxmlformats.org/officeDocument/2006/relationships/footer" Target="footer2.xml"/><Relationship Id="rId8" Type="http://schemas.openxmlformats.org/officeDocument/2006/relationships/hyperlink" Target="http://www.eawag.ch" TargetMode="External"/><Relationship Id="rId51" Type="http://schemas.openxmlformats.org/officeDocument/2006/relationships/hyperlink" Target="http://randd.defra.gov.uk/Default.aspx?Menu=Menu&amp;Module=Detail&amp;Completed=0&amp;FOSID=7" TargetMode="External"/><Relationship Id="rId72" Type="http://schemas.openxmlformats.org/officeDocument/2006/relationships/hyperlink" Target="http://randd.defra.gov.uk/Default.aspx?Menu=Menu&amp;Module=ProjectList&amp;Completed=0&amp;FOSID=39" TargetMode="External"/><Relationship Id="rId93" Type="http://schemas.openxmlformats.org/officeDocument/2006/relationships/hyperlink" Target="http://www.uvek.admin.ch" TargetMode="External"/><Relationship Id="rId98" Type="http://schemas.openxmlformats.org/officeDocument/2006/relationships/hyperlink" Target="http://www.snf.ch" TargetMode="External"/><Relationship Id="rId121" Type="http://schemas.openxmlformats.org/officeDocument/2006/relationships/hyperlink" Target="http://www.igb-berlin.de" TargetMode="External"/><Relationship Id="rId142" Type="http://schemas.openxmlformats.org/officeDocument/2006/relationships/hyperlink" Target="http://www.bas.ac.uk" TargetMode="External"/><Relationship Id="rId163" Type="http://schemas.openxmlformats.org/officeDocument/2006/relationships/hyperlink" Target="http://www.spire2030.eu" TargetMode="External"/><Relationship Id="rId3" Type="http://schemas.openxmlformats.org/officeDocument/2006/relationships/settings" Target="settings.xml"/><Relationship Id="rId25" Type="http://schemas.openxmlformats.org/officeDocument/2006/relationships/hyperlink" Target="http://randd.defra.gov.uk/Default.aspx?Menu=Menu&amp;Module=ProjectList&amp;Completed=0&amp;FOSID=36" TargetMode="External"/><Relationship Id="rId46" Type="http://schemas.openxmlformats.org/officeDocument/2006/relationships/hyperlink" Target="http://randd.defra.gov.uk/Default.aspx?Menu=Menu&amp;Module=ProjectList&amp;Completed=0&amp;FOSID=14" TargetMode="External"/><Relationship Id="rId67" Type="http://schemas.openxmlformats.org/officeDocument/2006/relationships/hyperlink" Target="http://randd.defra.gov.uk/Default.aspx?Menu=Menu&amp;Module=ProjectList&amp;Completed=0&amp;FOSID=26" TargetMode="External"/><Relationship Id="rId116" Type="http://schemas.openxmlformats.org/officeDocument/2006/relationships/hyperlink" Target="http://www.hgf.de" TargetMode="External"/><Relationship Id="rId137" Type="http://schemas.openxmlformats.org/officeDocument/2006/relationships/hyperlink" Target="http://www.rcuk.ac.uk" TargetMode="External"/><Relationship Id="rId158" Type="http://schemas.openxmlformats.org/officeDocument/2006/relationships/hyperlink" Target="http://ec.europa.eu/jrc" TargetMode="External"/><Relationship Id="rId20" Type="http://schemas.openxmlformats.org/officeDocument/2006/relationships/hyperlink" Target="http://randd.defra.gov.uk/Default.aspx?Menu=Menu&amp;Module=ProjectList&amp;Completed=0&amp;FOSID=3" TargetMode="External"/><Relationship Id="rId41" Type="http://schemas.openxmlformats.org/officeDocument/2006/relationships/hyperlink" Target="http://randd.defra.gov.uk/Default.aspx?Menu=Menu&amp;Module=Detail&amp;Completed=0&amp;FOSID=11" TargetMode="External"/><Relationship Id="rId62" Type="http://schemas.openxmlformats.org/officeDocument/2006/relationships/hyperlink" Target="http://randd.defra.gov.uk/Default.aspx?Menu=Menu&amp;Module=ProjectList&amp;Completed=0&amp;FOSID=24" TargetMode="External"/><Relationship Id="rId83" Type="http://schemas.openxmlformats.org/officeDocument/2006/relationships/hyperlink" Target="http://www.aws.at" TargetMode="External"/><Relationship Id="rId88" Type="http://schemas.openxmlformats.org/officeDocument/2006/relationships/hyperlink" Target="http://www.ait.ac.at" TargetMode="External"/><Relationship Id="rId111" Type="http://schemas.openxmlformats.org/officeDocument/2006/relationships/hyperlink" Target="http://www.mpg.de" TargetMode="External"/><Relationship Id="rId132" Type="http://schemas.openxmlformats.org/officeDocument/2006/relationships/hyperlink" Target="http://www.ve-net.com" TargetMode="External"/><Relationship Id="rId153" Type="http://schemas.openxmlformats.org/officeDocument/2006/relationships/hyperlink" Target="http://ec.europa.eu/environm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oe.cd/frasca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88</Pages>
  <Words>26624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dc:description/>
  <cp:lastModifiedBy>user</cp:lastModifiedBy>
  <cp:revision>2</cp:revision>
  <cp:lastPrinted>2016-02-19T07:13:00Z</cp:lastPrinted>
  <dcterms:created xsi:type="dcterms:W3CDTF">2016-03-02T10:38:00Z</dcterms:created>
  <dcterms:modified xsi:type="dcterms:W3CDTF">2016-03-02T10:38:00Z</dcterms:modified>
</cp:coreProperties>
</file>