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22" w:rsidRPr="00573022" w:rsidRDefault="00573022" w:rsidP="00573022">
      <w:pPr>
        <w:pStyle w:val="Nadpis1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Příloha č. 6</w:t>
      </w:r>
      <w:bookmarkStart w:id="0" w:name="_GoBack"/>
      <w:bookmarkEnd w:id="0"/>
    </w:p>
    <w:p w:rsidR="00FA55D2" w:rsidRPr="00FA55D2" w:rsidRDefault="00FA55D2" w:rsidP="00FA55D2">
      <w:pPr>
        <w:pStyle w:val="Nadpis1"/>
        <w:jc w:val="center"/>
      </w:pPr>
      <w:r w:rsidRPr="00FA55D2">
        <w:t>Kompenzační platby pro zemědělské oblasti Natura 2000</w:t>
      </w:r>
    </w:p>
    <w:p w:rsidR="00FA55D2" w:rsidRPr="00A63793" w:rsidRDefault="00FA55D2" w:rsidP="00FA55D2">
      <w:pPr>
        <w:rPr>
          <w:i/>
        </w:rPr>
      </w:pPr>
    </w:p>
    <w:p w:rsidR="00FA55D2" w:rsidRDefault="00FA55D2" w:rsidP="00FA55D2">
      <w:pPr>
        <w:rPr>
          <w:bCs/>
        </w:rPr>
      </w:pPr>
    </w:p>
    <w:p w:rsidR="00FA55D2" w:rsidRDefault="00FA55D2" w:rsidP="00FA55D2">
      <w:pPr>
        <w:rPr>
          <w:bCs/>
        </w:rPr>
      </w:pPr>
      <w:r w:rsidRPr="00A63793">
        <w:rPr>
          <w:bCs/>
        </w:rPr>
        <w:t xml:space="preserve">Základním konceptem </w:t>
      </w:r>
      <w:r>
        <w:rPr>
          <w:bCs/>
        </w:rPr>
        <w:t xml:space="preserve">výpočtu platby </w:t>
      </w:r>
      <w:r w:rsidRPr="00A63793">
        <w:rPr>
          <w:bCs/>
        </w:rPr>
        <w:t xml:space="preserve">je porovnání </w:t>
      </w:r>
      <w:r>
        <w:rPr>
          <w:bCs/>
        </w:rPr>
        <w:t>příspěvku na úhradu fixních nákladů a zisku na plochách s omezením a stejného ukazatele na plochách bez omezení</w:t>
      </w:r>
      <w:r w:rsidRPr="00A63793">
        <w:rPr>
          <w:bCs/>
        </w:rPr>
        <w:t xml:space="preserve">. Vyloučení aplikace zdrojů živin vede ke snížení výnosu (tím i příjmů) a současně k úspoře nákladů na hnojiva. S využitím nákladů na ošetřování </w:t>
      </w:r>
      <w:r>
        <w:rPr>
          <w:bCs/>
        </w:rPr>
        <w:t>travních porostů</w:t>
      </w:r>
      <w:r w:rsidRPr="00A63793">
        <w:rPr>
          <w:bCs/>
        </w:rPr>
        <w:t>, zjišťovaného pravidelným šetřením ÚZEI</w:t>
      </w:r>
      <w:r>
        <w:rPr>
          <w:bCs/>
        </w:rPr>
        <w:t>,</w:t>
      </w:r>
      <w:r w:rsidRPr="00A63793">
        <w:rPr>
          <w:bCs/>
        </w:rPr>
        <w:t xml:space="preserve"> byl stanoven PÚ před a po omezení na dotčených plochách.</w:t>
      </w:r>
    </w:p>
    <w:p w:rsidR="00FA55D2" w:rsidRPr="00A63793" w:rsidRDefault="00FA55D2" w:rsidP="00FA55D2">
      <w:pPr>
        <w:rPr>
          <w:bCs/>
        </w:rPr>
      </w:pPr>
    </w:p>
    <w:tbl>
      <w:tblPr>
        <w:tblW w:w="9070" w:type="dxa"/>
        <w:tblInd w:w="108" w:type="dxa"/>
        <w:tblLook w:val="01E0" w:firstRow="1" w:lastRow="1" w:firstColumn="1" w:lastColumn="1" w:noHBand="0" w:noVBand="0"/>
      </w:tblPr>
      <w:tblGrid>
        <w:gridCol w:w="6236"/>
        <w:gridCol w:w="1417"/>
        <w:gridCol w:w="1417"/>
      </w:tblGrid>
      <w:tr w:rsidR="00FA55D2" w:rsidRPr="00B718CF" w:rsidTr="00B718CF">
        <w:tc>
          <w:tcPr>
            <w:tcW w:w="6236" w:type="dxa"/>
            <w:shd w:val="clear" w:color="auto" w:fill="C2D69B"/>
            <w:vAlign w:val="center"/>
          </w:tcPr>
          <w:p w:rsidR="00FA55D2" w:rsidRPr="00FA55D2" w:rsidRDefault="00FA55D2" w:rsidP="00B718CF">
            <w:pPr>
              <w:spacing w:after="60"/>
              <w:jc w:val="left"/>
              <w:rPr>
                <w:b/>
                <w:szCs w:val="20"/>
              </w:rPr>
            </w:pPr>
            <w:r w:rsidRPr="00FA55D2">
              <w:rPr>
                <w:b/>
                <w:szCs w:val="20"/>
              </w:rPr>
              <w:t>Oblasti se zákazem hnojit</w:t>
            </w:r>
          </w:p>
        </w:tc>
        <w:tc>
          <w:tcPr>
            <w:tcW w:w="1417" w:type="dxa"/>
            <w:vAlign w:val="center"/>
          </w:tcPr>
          <w:p w:rsidR="00FA55D2" w:rsidRPr="00B718CF" w:rsidRDefault="00FA55D2" w:rsidP="00B718CF">
            <w:pPr>
              <w:spacing w:after="60"/>
              <w:jc w:val="right"/>
              <w:rPr>
                <w:b/>
                <w:szCs w:val="20"/>
              </w:rPr>
            </w:pPr>
            <w:r w:rsidRPr="00B718CF">
              <w:rPr>
                <w:b/>
                <w:szCs w:val="20"/>
              </w:rPr>
              <w:t>Kč/ha</w:t>
            </w:r>
          </w:p>
        </w:tc>
        <w:tc>
          <w:tcPr>
            <w:tcW w:w="1417" w:type="dxa"/>
            <w:vAlign w:val="center"/>
          </w:tcPr>
          <w:p w:rsidR="00FA55D2" w:rsidRPr="00B718CF" w:rsidRDefault="00FA55D2" w:rsidP="00B718CF">
            <w:pPr>
              <w:spacing w:after="60"/>
              <w:jc w:val="right"/>
              <w:rPr>
                <w:b/>
                <w:szCs w:val="20"/>
              </w:rPr>
            </w:pPr>
            <w:r w:rsidRPr="00B718CF">
              <w:rPr>
                <w:b/>
                <w:szCs w:val="20"/>
              </w:rPr>
              <w:t>Kč/ha</w:t>
            </w:r>
          </w:p>
        </w:tc>
      </w:tr>
      <w:tr w:rsidR="00FA55D2" w:rsidRPr="00FA55D2" w:rsidTr="00B718CF">
        <w:tc>
          <w:tcPr>
            <w:tcW w:w="6236" w:type="dxa"/>
            <w:vAlign w:val="center"/>
          </w:tcPr>
          <w:p w:rsidR="00FA55D2" w:rsidRPr="00FA55D2" w:rsidRDefault="00FA55D2" w:rsidP="00FA55D2">
            <w:pPr>
              <w:spacing w:line="280" w:lineRule="atLeast"/>
              <w:rPr>
                <w:b/>
                <w:bCs/>
                <w:i/>
                <w:iCs/>
                <w:szCs w:val="20"/>
              </w:rPr>
            </w:pPr>
            <w:r w:rsidRPr="00FA55D2">
              <w:rPr>
                <w:b/>
                <w:bCs/>
                <w:i/>
                <w:iCs/>
                <w:szCs w:val="20"/>
              </w:rPr>
              <w:t>Ztráta příjmu (</w:t>
            </w:r>
            <w:proofErr w:type="spellStart"/>
            <w:r w:rsidRPr="00FA55D2">
              <w:rPr>
                <w:b/>
                <w:bCs/>
                <w:i/>
                <w:iCs/>
                <w:szCs w:val="20"/>
              </w:rPr>
              <w:t>income</w:t>
            </w:r>
            <w:proofErr w:type="spellEnd"/>
            <w:r w:rsidRPr="00FA55D2">
              <w:rPr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FA55D2">
              <w:rPr>
                <w:b/>
                <w:bCs/>
                <w:i/>
                <w:iCs/>
                <w:szCs w:val="20"/>
              </w:rPr>
              <w:t>foregone</w:t>
            </w:r>
            <w:proofErr w:type="spellEnd"/>
            <w:r w:rsidRPr="00FA55D2">
              <w:rPr>
                <w:b/>
                <w:bCs/>
                <w:i/>
                <w:iCs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</w:p>
        </w:tc>
      </w:tr>
      <w:tr w:rsidR="00FA55D2" w:rsidRPr="00FA55D2" w:rsidTr="00B718CF">
        <w:tc>
          <w:tcPr>
            <w:tcW w:w="6236" w:type="dxa"/>
            <w:vAlign w:val="center"/>
          </w:tcPr>
          <w:p w:rsidR="00FA55D2" w:rsidRPr="00FA55D2" w:rsidRDefault="00FA55D2" w:rsidP="00FA55D2">
            <w:pPr>
              <w:spacing w:line="280" w:lineRule="atLeast"/>
              <w:rPr>
                <w:szCs w:val="20"/>
              </w:rPr>
            </w:pPr>
            <w:r w:rsidRPr="00FA55D2">
              <w:rPr>
                <w:szCs w:val="20"/>
              </w:rPr>
              <w:t>Příspěvek na úhradu při obvyklé úrovni hnojení</w:t>
            </w:r>
            <w:r w:rsidRPr="00FA55D2">
              <w:rPr>
                <w:rStyle w:val="Znakapoznpodarou"/>
                <w:szCs w:val="20"/>
              </w:rPr>
              <w:footnoteReference w:id="1"/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  <w:r w:rsidRPr="00FA55D2">
              <w:rPr>
                <w:bCs/>
                <w:szCs w:val="20"/>
              </w:rPr>
              <w:t>4 183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</w:p>
        </w:tc>
      </w:tr>
      <w:tr w:rsidR="00FA55D2" w:rsidRPr="00FA55D2" w:rsidTr="00B718CF">
        <w:tc>
          <w:tcPr>
            <w:tcW w:w="6236" w:type="dxa"/>
            <w:vAlign w:val="center"/>
          </w:tcPr>
          <w:p w:rsidR="00FA55D2" w:rsidRPr="00FA55D2" w:rsidRDefault="00FA55D2" w:rsidP="00FA55D2">
            <w:pPr>
              <w:spacing w:line="280" w:lineRule="atLeast"/>
              <w:rPr>
                <w:szCs w:val="20"/>
              </w:rPr>
            </w:pPr>
            <w:r w:rsidRPr="00FA55D2">
              <w:rPr>
                <w:szCs w:val="20"/>
              </w:rPr>
              <w:t>Příspěvek na úhradu při snížené úrovni hnojení (0 kg N/ha)</w:t>
            </w:r>
            <w:r w:rsidRPr="00FA55D2">
              <w:rPr>
                <w:rStyle w:val="Znakapoznpodarou"/>
                <w:szCs w:val="20"/>
              </w:rPr>
              <w:footnoteReference w:id="2"/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  <w:r w:rsidRPr="00FA55D2">
              <w:rPr>
                <w:bCs/>
                <w:szCs w:val="20"/>
              </w:rPr>
              <w:t>1 959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</w:p>
        </w:tc>
      </w:tr>
      <w:tr w:rsidR="00FA55D2" w:rsidRPr="00FA55D2" w:rsidTr="00B718CF">
        <w:tc>
          <w:tcPr>
            <w:tcW w:w="6236" w:type="dxa"/>
            <w:vAlign w:val="center"/>
          </w:tcPr>
          <w:p w:rsidR="00FA55D2" w:rsidRPr="00FA55D2" w:rsidRDefault="00FA55D2" w:rsidP="00FA55D2">
            <w:pPr>
              <w:spacing w:line="280" w:lineRule="atLeast"/>
              <w:rPr>
                <w:szCs w:val="20"/>
              </w:rPr>
            </w:pPr>
            <w:r w:rsidRPr="00FA55D2">
              <w:rPr>
                <w:szCs w:val="20"/>
              </w:rPr>
              <w:t xml:space="preserve">Rozdíl příspěvků na úhradu 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szCs w:val="20"/>
              </w:rPr>
            </w:pPr>
            <w:r w:rsidRPr="00FA55D2">
              <w:rPr>
                <w:bCs/>
                <w:szCs w:val="20"/>
              </w:rPr>
              <w:t>2 224</w:t>
            </w:r>
          </w:p>
        </w:tc>
      </w:tr>
      <w:tr w:rsidR="00FA55D2" w:rsidRPr="00B718CF" w:rsidTr="00B718CF">
        <w:tc>
          <w:tcPr>
            <w:tcW w:w="6236" w:type="dxa"/>
            <w:shd w:val="clear" w:color="auto" w:fill="C2D69B"/>
            <w:vAlign w:val="center"/>
          </w:tcPr>
          <w:p w:rsidR="00FA55D2" w:rsidRPr="00FA55D2" w:rsidRDefault="00FA55D2" w:rsidP="00FA55D2">
            <w:pPr>
              <w:spacing w:line="280" w:lineRule="atLeast"/>
              <w:rPr>
                <w:b/>
                <w:bCs/>
                <w:szCs w:val="20"/>
              </w:rPr>
            </w:pPr>
            <w:r w:rsidRPr="00FA55D2">
              <w:rPr>
                <w:b/>
                <w:bCs/>
                <w:szCs w:val="20"/>
              </w:rPr>
              <w:t>Ztráta příjmu celkem</w:t>
            </w:r>
          </w:p>
        </w:tc>
        <w:tc>
          <w:tcPr>
            <w:tcW w:w="1417" w:type="dxa"/>
            <w:shd w:val="clear" w:color="auto" w:fill="C2D69B"/>
            <w:vAlign w:val="center"/>
          </w:tcPr>
          <w:p w:rsidR="00FA55D2" w:rsidRPr="00FA55D2" w:rsidRDefault="00FA55D2" w:rsidP="00B718CF">
            <w:pPr>
              <w:spacing w:line="280" w:lineRule="atLeast"/>
              <w:rPr>
                <w:b/>
                <w:bCs/>
                <w:szCs w:val="20"/>
              </w:rPr>
            </w:pPr>
          </w:p>
        </w:tc>
        <w:tc>
          <w:tcPr>
            <w:tcW w:w="1417" w:type="dxa"/>
            <w:shd w:val="clear" w:color="auto" w:fill="C2D69B"/>
            <w:vAlign w:val="center"/>
          </w:tcPr>
          <w:p w:rsidR="00FA55D2" w:rsidRPr="00FA55D2" w:rsidRDefault="00FA55D2" w:rsidP="00B718CF">
            <w:pPr>
              <w:spacing w:line="280" w:lineRule="atLeast"/>
              <w:jc w:val="right"/>
              <w:rPr>
                <w:b/>
                <w:bCs/>
                <w:szCs w:val="20"/>
              </w:rPr>
            </w:pPr>
            <w:r w:rsidRPr="00FA55D2">
              <w:rPr>
                <w:b/>
                <w:bCs/>
                <w:szCs w:val="20"/>
              </w:rPr>
              <w:t>2 224</w:t>
            </w:r>
          </w:p>
        </w:tc>
      </w:tr>
    </w:tbl>
    <w:p w:rsidR="00FA55D2" w:rsidRDefault="00FA55D2" w:rsidP="00FA55D2"/>
    <w:p w:rsidR="00FA55D2" w:rsidRPr="00A63793" w:rsidRDefault="00FA55D2" w:rsidP="00FA55D2"/>
    <w:tbl>
      <w:tblPr>
        <w:tblW w:w="9070" w:type="dxa"/>
        <w:tblInd w:w="108" w:type="dxa"/>
        <w:tblLook w:val="01E0" w:firstRow="1" w:lastRow="1" w:firstColumn="1" w:lastColumn="1" w:noHBand="0" w:noVBand="0"/>
      </w:tblPr>
      <w:tblGrid>
        <w:gridCol w:w="6236"/>
        <w:gridCol w:w="1417"/>
        <w:gridCol w:w="1417"/>
      </w:tblGrid>
      <w:tr w:rsidR="00FA55D2" w:rsidRPr="00FA55D2" w:rsidTr="00FA55D2">
        <w:tc>
          <w:tcPr>
            <w:tcW w:w="6236" w:type="dxa"/>
            <w:shd w:val="clear" w:color="auto" w:fill="C2D69B"/>
            <w:vAlign w:val="center"/>
          </w:tcPr>
          <w:p w:rsidR="00FA55D2" w:rsidRPr="00FA55D2" w:rsidRDefault="00FA55D2" w:rsidP="00E408C4">
            <w:pPr>
              <w:spacing w:after="60"/>
              <w:jc w:val="left"/>
              <w:rPr>
                <w:b/>
                <w:szCs w:val="20"/>
              </w:rPr>
            </w:pPr>
            <w:r w:rsidRPr="00FA55D2">
              <w:rPr>
                <w:b/>
                <w:szCs w:val="20"/>
              </w:rPr>
              <w:t>Oblasti národních parků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after="60" w:line="280" w:lineRule="atLeast"/>
              <w:jc w:val="right"/>
              <w:rPr>
                <w:b/>
                <w:bCs/>
                <w:szCs w:val="20"/>
              </w:rPr>
            </w:pPr>
            <w:r w:rsidRPr="00FA55D2">
              <w:rPr>
                <w:b/>
                <w:bCs/>
                <w:szCs w:val="20"/>
              </w:rPr>
              <w:t>Kč/ha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after="60" w:line="280" w:lineRule="atLeast"/>
              <w:jc w:val="right"/>
              <w:rPr>
                <w:b/>
                <w:bCs/>
                <w:szCs w:val="20"/>
              </w:rPr>
            </w:pPr>
            <w:r w:rsidRPr="00FA55D2">
              <w:rPr>
                <w:b/>
                <w:bCs/>
                <w:szCs w:val="20"/>
              </w:rPr>
              <w:t>Kč/ha</w:t>
            </w:r>
          </w:p>
        </w:tc>
      </w:tr>
      <w:tr w:rsidR="00FA55D2" w:rsidRPr="00FA55D2" w:rsidTr="00FA55D2">
        <w:tc>
          <w:tcPr>
            <w:tcW w:w="6236" w:type="dxa"/>
            <w:vAlign w:val="center"/>
          </w:tcPr>
          <w:p w:rsidR="00FA55D2" w:rsidRPr="00FA55D2" w:rsidRDefault="00FA55D2" w:rsidP="00E408C4">
            <w:pPr>
              <w:spacing w:line="280" w:lineRule="atLeast"/>
              <w:rPr>
                <w:b/>
                <w:bCs/>
                <w:i/>
                <w:iCs/>
                <w:szCs w:val="20"/>
              </w:rPr>
            </w:pPr>
            <w:r w:rsidRPr="00FA55D2">
              <w:rPr>
                <w:b/>
                <w:bCs/>
                <w:i/>
                <w:iCs/>
                <w:szCs w:val="20"/>
              </w:rPr>
              <w:t>Ztráta příjmu (</w:t>
            </w:r>
            <w:proofErr w:type="spellStart"/>
            <w:r w:rsidRPr="00FA55D2">
              <w:rPr>
                <w:b/>
                <w:bCs/>
                <w:i/>
                <w:iCs/>
                <w:szCs w:val="20"/>
              </w:rPr>
              <w:t>income</w:t>
            </w:r>
            <w:proofErr w:type="spellEnd"/>
            <w:r w:rsidRPr="00FA55D2">
              <w:rPr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FA55D2">
              <w:rPr>
                <w:b/>
                <w:bCs/>
                <w:i/>
                <w:iCs/>
                <w:szCs w:val="20"/>
              </w:rPr>
              <w:t>foregone</w:t>
            </w:r>
            <w:proofErr w:type="spellEnd"/>
            <w:r w:rsidRPr="00FA55D2">
              <w:rPr>
                <w:b/>
                <w:bCs/>
                <w:i/>
                <w:iCs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</w:p>
        </w:tc>
      </w:tr>
      <w:tr w:rsidR="00FA55D2" w:rsidRPr="00FA55D2" w:rsidTr="00FA55D2">
        <w:tc>
          <w:tcPr>
            <w:tcW w:w="6236" w:type="dxa"/>
            <w:vAlign w:val="center"/>
          </w:tcPr>
          <w:p w:rsidR="00FA55D2" w:rsidRPr="00FA55D2" w:rsidRDefault="00FA55D2" w:rsidP="00E408C4">
            <w:pPr>
              <w:spacing w:line="280" w:lineRule="atLeast"/>
              <w:rPr>
                <w:szCs w:val="20"/>
              </w:rPr>
            </w:pPr>
            <w:r w:rsidRPr="00FA55D2">
              <w:rPr>
                <w:szCs w:val="20"/>
              </w:rPr>
              <w:t>Příspěvek na úhradu při obvyklé úrovni hnojení</w:t>
            </w:r>
            <w:r w:rsidRPr="00FA55D2">
              <w:rPr>
                <w:rStyle w:val="Znakapoznpodarou"/>
                <w:szCs w:val="20"/>
              </w:rPr>
              <w:footnoteReference w:id="3"/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  <w:r w:rsidRPr="00FA55D2">
              <w:rPr>
                <w:bCs/>
                <w:szCs w:val="20"/>
              </w:rPr>
              <w:t>4 183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</w:p>
        </w:tc>
      </w:tr>
      <w:tr w:rsidR="00FA55D2" w:rsidRPr="00FA55D2" w:rsidTr="00FA55D2">
        <w:tc>
          <w:tcPr>
            <w:tcW w:w="6236" w:type="dxa"/>
            <w:vAlign w:val="center"/>
          </w:tcPr>
          <w:p w:rsidR="00FA55D2" w:rsidRPr="00FA55D2" w:rsidRDefault="00FA55D2" w:rsidP="00E408C4">
            <w:pPr>
              <w:spacing w:line="280" w:lineRule="atLeast"/>
              <w:rPr>
                <w:szCs w:val="20"/>
              </w:rPr>
            </w:pPr>
            <w:r w:rsidRPr="00FA55D2">
              <w:rPr>
                <w:szCs w:val="20"/>
              </w:rPr>
              <w:t xml:space="preserve">Příspěvek na úhradu při </w:t>
            </w:r>
            <w:r>
              <w:rPr>
                <w:szCs w:val="20"/>
              </w:rPr>
              <w:t>vyloučení průmyslových hnojiv</w:t>
            </w:r>
            <w:r>
              <w:rPr>
                <w:rStyle w:val="Znakapoznpodarou"/>
                <w:szCs w:val="20"/>
              </w:rPr>
              <w:footnoteReference w:id="4"/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  <w:r>
              <w:rPr>
                <w:bCs/>
                <w:szCs w:val="20"/>
              </w:rPr>
              <w:t>2</w:t>
            </w:r>
            <w:r w:rsidRPr="00FA55D2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220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</w:p>
        </w:tc>
      </w:tr>
      <w:tr w:rsidR="00FA55D2" w:rsidRPr="00FA55D2" w:rsidTr="00FA55D2">
        <w:tc>
          <w:tcPr>
            <w:tcW w:w="6236" w:type="dxa"/>
            <w:vAlign w:val="center"/>
          </w:tcPr>
          <w:p w:rsidR="00FA55D2" w:rsidRPr="00FA55D2" w:rsidRDefault="00FA55D2" w:rsidP="00E408C4">
            <w:pPr>
              <w:spacing w:line="280" w:lineRule="atLeast"/>
              <w:rPr>
                <w:szCs w:val="20"/>
              </w:rPr>
            </w:pPr>
            <w:r w:rsidRPr="00FA55D2">
              <w:rPr>
                <w:szCs w:val="20"/>
              </w:rPr>
              <w:t xml:space="preserve">Rozdíl příspěvků na úhradu </w:t>
            </w: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szCs w:val="20"/>
              </w:rPr>
            </w:pPr>
            <w:r>
              <w:rPr>
                <w:szCs w:val="20"/>
              </w:rPr>
              <w:t>1 963</w:t>
            </w:r>
          </w:p>
        </w:tc>
      </w:tr>
      <w:tr w:rsidR="00FA55D2" w:rsidRPr="00FA55D2" w:rsidTr="00FA55D2">
        <w:tc>
          <w:tcPr>
            <w:tcW w:w="6236" w:type="dxa"/>
            <w:shd w:val="clear" w:color="auto" w:fill="C2D69B"/>
            <w:vAlign w:val="center"/>
          </w:tcPr>
          <w:p w:rsidR="00FA55D2" w:rsidRPr="00FA55D2" w:rsidRDefault="00FA55D2" w:rsidP="00E408C4">
            <w:pPr>
              <w:spacing w:line="280" w:lineRule="atLeast"/>
              <w:rPr>
                <w:b/>
                <w:bCs/>
                <w:szCs w:val="20"/>
              </w:rPr>
            </w:pPr>
            <w:r w:rsidRPr="00FA55D2">
              <w:rPr>
                <w:b/>
                <w:bCs/>
                <w:szCs w:val="20"/>
              </w:rPr>
              <w:t>Ztráta příjmu celkem</w:t>
            </w:r>
          </w:p>
        </w:tc>
        <w:tc>
          <w:tcPr>
            <w:tcW w:w="1417" w:type="dxa"/>
            <w:shd w:val="clear" w:color="auto" w:fill="C2D69B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b/>
                <w:bCs/>
                <w:szCs w:val="20"/>
              </w:rPr>
            </w:pPr>
          </w:p>
        </w:tc>
        <w:tc>
          <w:tcPr>
            <w:tcW w:w="1417" w:type="dxa"/>
            <w:shd w:val="clear" w:color="auto" w:fill="C2D69B"/>
            <w:vAlign w:val="center"/>
          </w:tcPr>
          <w:p w:rsidR="00FA55D2" w:rsidRPr="00FA55D2" w:rsidRDefault="00FA55D2" w:rsidP="00E408C4">
            <w:pPr>
              <w:spacing w:line="280" w:lineRule="atLeast"/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1 963</w:t>
            </w:r>
          </w:p>
        </w:tc>
      </w:tr>
    </w:tbl>
    <w:p w:rsidR="00441B02" w:rsidRDefault="00441B02"/>
    <w:sectPr w:rsidR="00441B02" w:rsidSect="009510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FA1" w:rsidRDefault="00DC1FA1" w:rsidP="00FA55D2">
      <w:r>
        <w:separator/>
      </w:r>
    </w:p>
  </w:endnote>
  <w:endnote w:type="continuationSeparator" w:id="0">
    <w:p w:rsidR="00DC1FA1" w:rsidRDefault="00DC1FA1" w:rsidP="00FA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5730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35201"/>
      <w:docPartObj>
        <w:docPartGallery w:val="Page Numbers (Bottom of Page)"/>
        <w:docPartUnique/>
      </w:docPartObj>
    </w:sdtPr>
    <w:sdtEndPr>
      <w:rPr>
        <w:szCs w:val="20"/>
      </w:rPr>
    </w:sdtEndPr>
    <w:sdtContent>
      <w:p w:rsidR="00F10877" w:rsidRPr="00F10877" w:rsidRDefault="00FA55D2">
        <w:pPr>
          <w:pStyle w:val="Zpat"/>
          <w:jc w:val="center"/>
          <w:rPr>
            <w:szCs w:val="20"/>
          </w:rPr>
        </w:pPr>
        <w:r w:rsidRPr="00F10877">
          <w:rPr>
            <w:szCs w:val="20"/>
          </w:rPr>
          <w:fldChar w:fldCharType="begin"/>
        </w:r>
        <w:r w:rsidRPr="00F10877">
          <w:rPr>
            <w:szCs w:val="20"/>
          </w:rPr>
          <w:instrText>PAGE   \* MERGEFORMAT</w:instrText>
        </w:r>
        <w:r w:rsidRPr="00F10877">
          <w:rPr>
            <w:szCs w:val="20"/>
          </w:rPr>
          <w:fldChar w:fldCharType="separate"/>
        </w:r>
        <w:r w:rsidR="00573022">
          <w:rPr>
            <w:noProof/>
            <w:szCs w:val="20"/>
          </w:rPr>
          <w:t>1</w:t>
        </w:r>
        <w:r w:rsidRPr="00F10877">
          <w:rPr>
            <w:szCs w:val="20"/>
          </w:rPr>
          <w:fldChar w:fldCharType="end"/>
        </w:r>
      </w:p>
    </w:sdtContent>
  </w:sdt>
  <w:p w:rsidR="00F10877" w:rsidRDefault="0057302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5730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FA1" w:rsidRDefault="00DC1FA1" w:rsidP="00FA55D2">
      <w:r>
        <w:separator/>
      </w:r>
    </w:p>
  </w:footnote>
  <w:footnote w:type="continuationSeparator" w:id="0">
    <w:p w:rsidR="00DC1FA1" w:rsidRDefault="00DC1FA1" w:rsidP="00FA55D2">
      <w:r>
        <w:continuationSeparator/>
      </w:r>
    </w:p>
  </w:footnote>
  <w:footnote w:id="1">
    <w:p w:rsidR="00FA55D2" w:rsidRPr="00B718CF" w:rsidRDefault="00FA55D2" w:rsidP="00B718CF">
      <w:pPr>
        <w:pStyle w:val="Textpoznpodarou"/>
        <w:spacing w:before="60"/>
        <w:rPr>
          <w:i/>
          <w:sz w:val="18"/>
        </w:rPr>
      </w:pPr>
      <w:r w:rsidRPr="00B718CF">
        <w:rPr>
          <w:rStyle w:val="Znakapoznpodarou"/>
          <w:i/>
          <w:sz w:val="18"/>
        </w:rPr>
        <w:footnoteRef/>
      </w:r>
      <w:r w:rsidRPr="00B718CF">
        <w:rPr>
          <w:i/>
          <w:sz w:val="18"/>
        </w:rPr>
        <w:t xml:space="preserve"> </w:t>
      </w:r>
      <w:r w:rsidR="00B718CF" w:rsidRPr="00B718CF">
        <w:rPr>
          <w:i/>
          <w:sz w:val="18"/>
        </w:rPr>
        <w:t>Š</w:t>
      </w:r>
      <w:r w:rsidRPr="00B718CF">
        <w:rPr>
          <w:i/>
          <w:sz w:val="18"/>
        </w:rPr>
        <w:t>etření Nákladovost zemědělských výrobků (2009</w:t>
      </w:r>
      <w:r w:rsidR="00B718CF">
        <w:rPr>
          <w:sz w:val="18"/>
          <w:szCs w:val="18"/>
        </w:rPr>
        <w:t>–</w:t>
      </w:r>
      <w:r w:rsidRPr="00B718CF">
        <w:rPr>
          <w:i/>
          <w:sz w:val="18"/>
        </w:rPr>
        <w:t>2012)</w:t>
      </w:r>
    </w:p>
  </w:footnote>
  <w:footnote w:id="2">
    <w:p w:rsidR="00FA55D2" w:rsidRPr="00B718CF" w:rsidRDefault="00FA55D2" w:rsidP="00B718CF">
      <w:pPr>
        <w:pStyle w:val="Textpoznpodarou"/>
        <w:spacing w:before="60"/>
        <w:rPr>
          <w:i/>
          <w:sz w:val="18"/>
        </w:rPr>
      </w:pPr>
      <w:r w:rsidRPr="00B718CF">
        <w:rPr>
          <w:rStyle w:val="Znakapoznpodarou"/>
          <w:i/>
          <w:sz w:val="18"/>
        </w:rPr>
        <w:footnoteRef/>
      </w:r>
      <w:r w:rsidRPr="00B718CF">
        <w:rPr>
          <w:i/>
          <w:sz w:val="18"/>
        </w:rPr>
        <w:t xml:space="preserve"> </w:t>
      </w:r>
      <w:proofErr w:type="spellStart"/>
      <w:r w:rsidRPr="00B718CF">
        <w:rPr>
          <w:i/>
          <w:sz w:val="18"/>
        </w:rPr>
        <w:t>Agronormativy</w:t>
      </w:r>
      <w:proofErr w:type="spellEnd"/>
      <w:r w:rsidRPr="00B718CF">
        <w:rPr>
          <w:i/>
          <w:sz w:val="18"/>
        </w:rPr>
        <w:t xml:space="preserve"> (2013), VÚRV: Výživa a hnojení travních a jetelino</w:t>
      </w:r>
      <w:r w:rsidR="00B718CF">
        <w:rPr>
          <w:i/>
          <w:sz w:val="18"/>
        </w:rPr>
        <w:t>-</w:t>
      </w:r>
      <w:r w:rsidRPr="00B718CF">
        <w:rPr>
          <w:i/>
          <w:sz w:val="18"/>
        </w:rPr>
        <w:t>travních porostů, šetření ÚZEI 2012, 2013</w:t>
      </w:r>
    </w:p>
  </w:footnote>
  <w:footnote w:id="3">
    <w:p w:rsidR="00FA55D2" w:rsidRPr="00B718CF" w:rsidRDefault="00FA55D2" w:rsidP="00B718CF">
      <w:pPr>
        <w:pStyle w:val="Textpoznpodarou"/>
        <w:spacing w:before="60"/>
        <w:rPr>
          <w:i/>
          <w:sz w:val="18"/>
        </w:rPr>
      </w:pPr>
      <w:r w:rsidRPr="00B718CF">
        <w:rPr>
          <w:rStyle w:val="Znakapoznpodarou"/>
          <w:i/>
          <w:sz w:val="18"/>
        </w:rPr>
        <w:footnoteRef/>
      </w:r>
      <w:r w:rsidRPr="00B718CF">
        <w:rPr>
          <w:i/>
          <w:sz w:val="18"/>
        </w:rPr>
        <w:t xml:space="preserve"> </w:t>
      </w:r>
      <w:r w:rsidR="00B718CF" w:rsidRPr="00B718CF">
        <w:rPr>
          <w:i/>
          <w:sz w:val="18"/>
        </w:rPr>
        <w:t>Š</w:t>
      </w:r>
      <w:r w:rsidRPr="00B718CF">
        <w:rPr>
          <w:i/>
          <w:sz w:val="18"/>
        </w:rPr>
        <w:t>etření Nákladovost zemědělských výrobků (2009</w:t>
      </w:r>
      <w:r w:rsidR="00B718CF">
        <w:rPr>
          <w:sz w:val="18"/>
          <w:szCs w:val="18"/>
        </w:rPr>
        <w:t>–</w:t>
      </w:r>
      <w:r w:rsidRPr="00B718CF">
        <w:rPr>
          <w:i/>
          <w:sz w:val="18"/>
        </w:rPr>
        <w:t>2012)</w:t>
      </w:r>
    </w:p>
  </w:footnote>
  <w:footnote w:id="4">
    <w:p w:rsidR="00FA55D2" w:rsidRPr="00B718CF" w:rsidRDefault="00FA55D2" w:rsidP="00B718CF">
      <w:pPr>
        <w:pStyle w:val="Textpoznpodarou"/>
        <w:spacing w:before="60"/>
        <w:rPr>
          <w:i/>
        </w:rPr>
      </w:pPr>
      <w:r w:rsidRPr="00B718CF">
        <w:rPr>
          <w:rStyle w:val="Znakapoznpodarou"/>
          <w:i/>
        </w:rPr>
        <w:footnoteRef/>
      </w:r>
      <w:r w:rsidRPr="00B718CF">
        <w:rPr>
          <w:i/>
        </w:rPr>
        <w:t xml:space="preserve"> </w:t>
      </w:r>
      <w:proofErr w:type="spellStart"/>
      <w:r w:rsidRPr="00B718CF">
        <w:rPr>
          <w:i/>
          <w:sz w:val="18"/>
        </w:rPr>
        <w:t>Agronormativy</w:t>
      </w:r>
      <w:proofErr w:type="spellEnd"/>
      <w:r w:rsidRPr="00B718CF">
        <w:rPr>
          <w:i/>
          <w:sz w:val="18"/>
        </w:rPr>
        <w:t xml:space="preserve"> (2013), VÚRV: Výživa a hnojení travních a </w:t>
      </w:r>
      <w:proofErr w:type="spellStart"/>
      <w:r w:rsidRPr="00B718CF">
        <w:rPr>
          <w:i/>
          <w:sz w:val="18"/>
        </w:rPr>
        <w:t>jetelinotravních</w:t>
      </w:r>
      <w:proofErr w:type="spellEnd"/>
      <w:r w:rsidRPr="00B718CF">
        <w:rPr>
          <w:i/>
          <w:sz w:val="18"/>
        </w:rPr>
        <w:t xml:space="preserve"> porostů, šetření ÚZEI 2012, 2013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5730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57302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5730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D2"/>
    <w:rsid w:val="000813B2"/>
    <w:rsid w:val="00176D3A"/>
    <w:rsid w:val="002524A8"/>
    <w:rsid w:val="00441B02"/>
    <w:rsid w:val="00573022"/>
    <w:rsid w:val="00B718CF"/>
    <w:rsid w:val="00DC1FA1"/>
    <w:rsid w:val="00FA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55D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D2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nhideWhenUsed/>
    <w:qFormat/>
    <w:rsid w:val="002524A8"/>
    <w:pPr>
      <w:keepNext/>
      <w:keepLines/>
      <w:spacing w:before="40"/>
      <w:outlineLvl w:val="1"/>
    </w:pPr>
    <w:rPr>
      <w:rFonts w:ascii="Candara" w:eastAsiaTheme="majorEastAsia" w:hAnsi="Candara" w:cstheme="majorBidi"/>
      <w:b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524A8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  <w:sz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FA55D2"/>
    <w:pPr>
      <w:tabs>
        <w:tab w:val="num" w:pos="1726"/>
      </w:tabs>
      <w:spacing w:before="240" w:after="60"/>
      <w:ind w:left="1726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55D2"/>
    <w:rPr>
      <w:rFonts w:ascii="Arial" w:eastAsiaTheme="majorEastAsia" w:hAnsi="Arial" w:cstheme="majorBidi"/>
      <w:b/>
      <w:sz w:val="32"/>
      <w:szCs w:val="32"/>
      <w:lang w:eastAsia="cs-CZ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"/>
    <w:rsid w:val="002524A8"/>
    <w:rPr>
      <w:rFonts w:ascii="Candara" w:eastAsiaTheme="majorEastAsia" w:hAnsi="Candara" w:cstheme="majorBidi"/>
      <w:b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524A8"/>
    <w:rPr>
      <w:rFonts w:ascii="Palatino Linotype" w:eastAsiaTheme="majorEastAsia" w:hAnsi="Palatino Linotype" w:cstheme="majorBidi"/>
      <w:b/>
      <w:color w:val="1F3763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524A8"/>
    <w:pPr>
      <w:pBdr>
        <w:bottom w:val="single" w:sz="4" w:space="1" w:color="auto"/>
      </w:pBdr>
      <w:contextualSpacing/>
      <w:jc w:val="center"/>
    </w:pPr>
    <w:rPr>
      <w:rFonts w:ascii="Candara" w:eastAsiaTheme="majorEastAsia" w:hAnsi="Candar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524A8"/>
    <w:rPr>
      <w:rFonts w:ascii="Candara" w:eastAsiaTheme="majorEastAsia" w:hAnsi="Candara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524A8"/>
    <w:pPr>
      <w:ind w:left="720"/>
      <w:contextualSpacing/>
    </w:pPr>
  </w:style>
  <w:style w:type="character" w:customStyle="1" w:styleId="Nadpis9Char">
    <w:name w:val="Nadpis 9 Char"/>
    <w:basedOn w:val="Standardnpsmoodstavce"/>
    <w:link w:val="Nadpis9"/>
    <w:uiPriority w:val="9"/>
    <w:rsid w:val="00FA55D2"/>
    <w:rPr>
      <w:rFonts w:ascii="Arial" w:eastAsia="Times New Roman" w:hAnsi="Arial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55D2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55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A55D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A55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5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A55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5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55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55D2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55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55D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55D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55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55D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55D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D2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nhideWhenUsed/>
    <w:qFormat/>
    <w:rsid w:val="002524A8"/>
    <w:pPr>
      <w:keepNext/>
      <w:keepLines/>
      <w:spacing w:before="40"/>
      <w:outlineLvl w:val="1"/>
    </w:pPr>
    <w:rPr>
      <w:rFonts w:ascii="Candara" w:eastAsiaTheme="majorEastAsia" w:hAnsi="Candara" w:cstheme="majorBidi"/>
      <w:b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524A8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  <w:sz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FA55D2"/>
    <w:pPr>
      <w:tabs>
        <w:tab w:val="num" w:pos="1726"/>
      </w:tabs>
      <w:spacing w:before="240" w:after="60"/>
      <w:ind w:left="1726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55D2"/>
    <w:rPr>
      <w:rFonts w:ascii="Arial" w:eastAsiaTheme="majorEastAsia" w:hAnsi="Arial" w:cstheme="majorBidi"/>
      <w:b/>
      <w:sz w:val="32"/>
      <w:szCs w:val="32"/>
      <w:lang w:eastAsia="cs-CZ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"/>
    <w:rsid w:val="002524A8"/>
    <w:rPr>
      <w:rFonts w:ascii="Candara" w:eastAsiaTheme="majorEastAsia" w:hAnsi="Candara" w:cstheme="majorBidi"/>
      <w:b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524A8"/>
    <w:rPr>
      <w:rFonts w:ascii="Palatino Linotype" w:eastAsiaTheme="majorEastAsia" w:hAnsi="Palatino Linotype" w:cstheme="majorBidi"/>
      <w:b/>
      <w:color w:val="1F3763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524A8"/>
    <w:pPr>
      <w:pBdr>
        <w:bottom w:val="single" w:sz="4" w:space="1" w:color="auto"/>
      </w:pBdr>
      <w:contextualSpacing/>
      <w:jc w:val="center"/>
    </w:pPr>
    <w:rPr>
      <w:rFonts w:ascii="Candara" w:eastAsiaTheme="majorEastAsia" w:hAnsi="Candar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524A8"/>
    <w:rPr>
      <w:rFonts w:ascii="Candara" w:eastAsiaTheme="majorEastAsia" w:hAnsi="Candara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524A8"/>
    <w:pPr>
      <w:ind w:left="720"/>
      <w:contextualSpacing/>
    </w:pPr>
  </w:style>
  <w:style w:type="character" w:customStyle="1" w:styleId="Nadpis9Char">
    <w:name w:val="Nadpis 9 Char"/>
    <w:basedOn w:val="Standardnpsmoodstavce"/>
    <w:link w:val="Nadpis9"/>
    <w:uiPriority w:val="9"/>
    <w:rsid w:val="00FA55D2"/>
    <w:rPr>
      <w:rFonts w:ascii="Arial" w:eastAsia="Times New Roman" w:hAnsi="Arial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55D2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55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A55D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A55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5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A55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5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55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55D2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55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55D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55D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55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55D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Základní písma">
      <a:majorFont>
        <a:latin typeface="Candar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95854-4865-446A-8A44-95D141D1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Čapková Michaela</dc:creator>
  <cp:lastModifiedBy>Hertel Roman</cp:lastModifiedBy>
  <cp:revision>3</cp:revision>
  <dcterms:created xsi:type="dcterms:W3CDTF">2019-12-16T12:27:00Z</dcterms:created>
  <dcterms:modified xsi:type="dcterms:W3CDTF">2020-01-27T10:36:00Z</dcterms:modified>
</cp:coreProperties>
</file>