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A3" w:rsidRDefault="00623FA3" w:rsidP="00623FA3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89574280"/>
      <w:bookmarkStart w:id="1" w:name="_Toc391845206"/>
      <w:r>
        <w:rPr>
          <w:rFonts w:ascii="Times New Roman" w:hAnsi="Times New Roman"/>
          <w:sz w:val="28"/>
          <w:szCs w:val="28"/>
        </w:rPr>
        <w:t>Příloha č. 9</w:t>
      </w:r>
    </w:p>
    <w:p w:rsidR="00623FA3" w:rsidRPr="00A63793" w:rsidRDefault="00623FA3" w:rsidP="00623FA3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63793">
        <w:rPr>
          <w:rFonts w:ascii="Times New Roman" w:hAnsi="Times New Roman"/>
          <w:sz w:val="28"/>
          <w:szCs w:val="28"/>
        </w:rPr>
        <w:t xml:space="preserve">Platby </w:t>
      </w:r>
      <w:r>
        <w:rPr>
          <w:rFonts w:ascii="Times New Roman" w:hAnsi="Times New Roman"/>
          <w:sz w:val="28"/>
          <w:szCs w:val="28"/>
        </w:rPr>
        <w:t>-</w:t>
      </w:r>
      <w:r w:rsidRPr="00A63793">
        <w:rPr>
          <w:rFonts w:ascii="Times New Roman" w:hAnsi="Times New Roman"/>
          <w:sz w:val="28"/>
          <w:szCs w:val="28"/>
        </w:rPr>
        <w:t xml:space="preserve"> Lesnicko-environmentální a klimatické služby a ochrana lesů</w:t>
      </w:r>
      <w:bookmarkEnd w:id="0"/>
      <w:bookmarkEnd w:id="1"/>
      <w:r w:rsidRPr="00A63793">
        <w:rPr>
          <w:rFonts w:ascii="Times New Roman" w:hAnsi="Times New Roman"/>
          <w:sz w:val="28"/>
          <w:szCs w:val="28"/>
        </w:rPr>
        <w:t xml:space="preserve"> </w:t>
      </w:r>
    </w:p>
    <w:p w:rsidR="00623FA3" w:rsidRPr="00804E46" w:rsidRDefault="00623FA3" w:rsidP="00623FA3"/>
    <w:p w:rsidR="00623FA3" w:rsidRPr="00623FA3" w:rsidRDefault="00623FA3" w:rsidP="00623FA3">
      <w:pPr>
        <w:rPr>
          <w:b/>
        </w:rPr>
      </w:pPr>
      <w:r w:rsidRPr="00623FA3">
        <w:rPr>
          <w:b/>
        </w:rPr>
        <w:t>15.1.1 Zachování porostního typu hospodářského souboru</w:t>
      </w:r>
    </w:p>
    <w:p w:rsidR="00623FA3" w:rsidRPr="00804E46" w:rsidRDefault="00623FA3" w:rsidP="00623FA3"/>
    <w:p w:rsidR="00623FA3" w:rsidRPr="00623FA3" w:rsidRDefault="00623FA3" w:rsidP="00C92901">
      <w:r w:rsidRPr="00623FA3">
        <w:t>Východiska pro výpočet plateb</w:t>
      </w:r>
    </w:p>
    <w:p w:rsidR="00623FA3" w:rsidRPr="00A63793" w:rsidRDefault="00623FA3" w:rsidP="00C92901">
      <w:pPr>
        <w:rPr>
          <w:b/>
        </w:rPr>
      </w:pPr>
    </w:p>
    <w:p w:rsidR="00623FA3" w:rsidRPr="00A63793" w:rsidRDefault="00623FA3" w:rsidP="00C92901">
      <w:pPr>
        <w:numPr>
          <w:ilvl w:val="0"/>
          <w:numId w:val="2"/>
        </w:numPr>
      </w:pPr>
      <w:r w:rsidRPr="00A63793">
        <w:t>Vychází se ze skutečnosti, že se jedná o závazky nad rámec požadavků stanovených vnitrostátními právními předpisy, jedná se o kompenzaci dodatečných nákladů a ušlých příjmů příjemců podpory v důsledku přijatých závazků.</w:t>
      </w:r>
    </w:p>
    <w:p w:rsidR="00623FA3" w:rsidRPr="00A63793" w:rsidRDefault="00623FA3" w:rsidP="00C92901">
      <w:pPr>
        <w:numPr>
          <w:ilvl w:val="0"/>
          <w:numId w:val="2"/>
        </w:numPr>
      </w:pPr>
      <w:r w:rsidRPr="00A63793">
        <w:t>Doba trvání závazku je 5 let.</w:t>
      </w:r>
    </w:p>
    <w:p w:rsidR="00623FA3" w:rsidRPr="00A63793" w:rsidRDefault="00623FA3" w:rsidP="00C92901">
      <w:pPr>
        <w:numPr>
          <w:ilvl w:val="0"/>
          <w:numId w:val="2"/>
        </w:numPr>
      </w:pPr>
      <w:r w:rsidRPr="00A63793">
        <w:t>Roční sazba na hektar je limitována max. 200 EUR/ha na rok.</w:t>
      </w:r>
    </w:p>
    <w:p w:rsidR="00623FA3" w:rsidRPr="00A63793" w:rsidRDefault="00623FA3" w:rsidP="00C92901">
      <w:pPr>
        <w:numPr>
          <w:ilvl w:val="0"/>
          <w:numId w:val="2"/>
        </w:numPr>
      </w:pPr>
      <w:r w:rsidRPr="00A63793">
        <w:t>Platba je založena na kompenzaci újmy v důsledku odložení mýtí těžby po dobu trvání závazku, takže je zachován stávající podporovaný porostní typ hospodářského souboru, který má nižší hospodářské využití (jedlový, dubový, bukový, ostatní listnatý, topolový, nízký les – pařeziny).</w:t>
      </w:r>
    </w:p>
    <w:p w:rsidR="00623FA3" w:rsidRPr="00A63793" w:rsidRDefault="00623FA3" w:rsidP="00C92901"/>
    <w:p w:rsidR="00623FA3" w:rsidRPr="00A63793" w:rsidRDefault="00623FA3" w:rsidP="00C92901">
      <w:pPr>
        <w:rPr>
          <w:b/>
        </w:rPr>
      </w:pPr>
      <w:r w:rsidRPr="00A63793">
        <w:rPr>
          <w:b/>
        </w:rPr>
        <w:t>Stanovení platby</w:t>
      </w:r>
    </w:p>
    <w:p w:rsidR="00623FA3" w:rsidRPr="00A63793" w:rsidRDefault="00623FA3" w:rsidP="00C92901">
      <w:r w:rsidRPr="00A63793">
        <w:t xml:space="preserve">U </w:t>
      </w:r>
      <w:r>
        <w:t xml:space="preserve">operace </w:t>
      </w:r>
      <w:r w:rsidRPr="00A63793">
        <w:t>Zachování porostního typu hospodářského souboru je možno rozlišit dvě odlišné situace</w:t>
      </w:r>
      <w:r w:rsidRPr="00C92901">
        <w:t>,</w:t>
      </w:r>
      <w:r w:rsidRPr="00A63793">
        <w:t xml:space="preserve"> a sice buď ponechání lesního porostu bez </w:t>
      </w:r>
      <w:proofErr w:type="spellStart"/>
      <w:r w:rsidRPr="00A63793">
        <w:t>smýcení</w:t>
      </w:r>
      <w:proofErr w:type="spellEnd"/>
      <w:r w:rsidRPr="00A63793">
        <w:t xml:space="preserve"> – </w:t>
      </w:r>
      <w:r w:rsidRPr="00A63793">
        <w:rPr>
          <w:u w:val="single"/>
        </w:rPr>
        <w:t>většinová situace</w:t>
      </w:r>
      <w:r w:rsidRPr="00A63793">
        <w:t xml:space="preserve"> nebo </w:t>
      </w:r>
      <w:proofErr w:type="spellStart"/>
      <w:r w:rsidRPr="00A63793">
        <w:t>smýcení</w:t>
      </w:r>
      <w:proofErr w:type="spellEnd"/>
      <w:r w:rsidRPr="00A63793">
        <w:t xml:space="preserve"> lesa a zachování obdobné dřevinné skladby, obdobného porostního typu jako u předchozího porostu – menšinová situace. Ekonomická ztráta způsobena prodloužením obmýtí je 4 498 Kč/ha za rok. Transakční náklady jsou zahrnuty ve výši 264 Kč/ha za rok.</w:t>
      </w:r>
    </w:p>
    <w:p w:rsidR="00623FA3" w:rsidRPr="00A63793" w:rsidRDefault="00623FA3" w:rsidP="00623FA3">
      <w:pPr>
        <w:ind w:right="562"/>
      </w:pPr>
    </w:p>
    <w:p w:rsidR="00623FA3" w:rsidRPr="00A63793" w:rsidRDefault="00623FA3" w:rsidP="00623FA3">
      <w:pPr>
        <w:shd w:val="clear" w:color="auto" w:fill="C2D69B" w:themeFill="accent3" w:themeFillTint="99"/>
        <w:ind w:right="562"/>
        <w:jc w:val="center"/>
      </w:pPr>
      <w:r w:rsidRPr="00A63793">
        <w:rPr>
          <w:b/>
        </w:rPr>
        <w:t>Celková sazba je stanovena ve výši 4 762 Kč/ha za rok.</w:t>
      </w:r>
    </w:p>
    <w:p w:rsidR="00623FA3" w:rsidRPr="00A63793" w:rsidRDefault="00623FA3" w:rsidP="00623FA3"/>
    <w:p w:rsidR="00623FA3" w:rsidRPr="00A63793" w:rsidRDefault="00623FA3" w:rsidP="00623FA3">
      <w:pPr>
        <w:rPr>
          <w:b/>
        </w:rPr>
      </w:pPr>
      <w:r w:rsidRPr="00A63793">
        <w:rPr>
          <w:b/>
        </w:rPr>
        <w:t>Způsob výpočtu platby</w:t>
      </w:r>
    </w:p>
    <w:p w:rsidR="00623FA3" w:rsidRDefault="00623FA3" w:rsidP="00623FA3">
      <w:pPr>
        <w:ind w:right="562"/>
      </w:pPr>
    </w:p>
    <w:p w:rsidR="00623FA3" w:rsidRPr="00A63793" w:rsidRDefault="00623FA3" w:rsidP="00C92901">
      <w:r w:rsidRPr="00A63793">
        <w:t>Kalkulace ekonomické ztráty byla provedena pro většinovou situaci, tj. pro odložení mýtní těžby po dobu 5 let, která je z řady dalších druhů ekonomických újem nejvýznamnější, tj. ekonomická ztráta způsobená vlastníkům lesa z důvodu prodlouženého obmýtí.</w:t>
      </w:r>
    </w:p>
    <w:p w:rsidR="00623FA3" w:rsidRDefault="00623FA3" w:rsidP="00623FA3">
      <w:pPr>
        <w:ind w:right="562"/>
      </w:pPr>
    </w:p>
    <w:p w:rsidR="006C74D8" w:rsidRDefault="006C74D8" w:rsidP="00623FA3">
      <w:pPr>
        <w:ind w:right="562"/>
      </w:pPr>
      <w:r w:rsidRPr="006C74D8">
        <w:t xml:space="preserve">Sazba je konstruovaná na základě návrhu nové vyhlášky č. 55/1999 Sb. (Matějíček, J. – </w:t>
      </w:r>
      <w:proofErr w:type="spellStart"/>
      <w:r w:rsidRPr="006C74D8">
        <w:t>Prčina</w:t>
      </w:r>
      <w:proofErr w:type="spellEnd"/>
      <w:r w:rsidRPr="006C74D8">
        <w:t>, A.: Podklady pro návrh nové vyhlášky o způsobu výpočtu výše újmy nebo škody způsobené na lesích, verze k 5. 8. 2013, ÚHÚL Brandýs nad Labem, srpen 2013) s modifikovaným metodickým přístupem výpočtu výše ztráty z prodloužení obmýtí, kdy místo vzorce pro výpočet jednorázové škody je použito matematického výrazu pro výpočet roční škody r.</w:t>
      </w:r>
    </w:p>
    <w:p w:rsidR="006C74D8" w:rsidRPr="00A63793" w:rsidRDefault="006C74D8" w:rsidP="00623FA3">
      <w:pPr>
        <w:ind w:right="562"/>
      </w:pPr>
    </w:p>
    <w:p w:rsidR="00623FA3" w:rsidRPr="00A63793" w:rsidRDefault="00623FA3" w:rsidP="00623FA3">
      <w:pPr>
        <w:rPr>
          <w:i/>
        </w:rPr>
      </w:pPr>
      <w:r w:rsidRPr="00A63793">
        <w:rPr>
          <w:b/>
        </w:rPr>
        <w:t xml:space="preserve">                                                                      Hlp</w:t>
      </w:r>
      <w:r w:rsidRPr="00A63793">
        <w:rPr>
          <w:b/>
          <w:vertAlign w:val="subscript"/>
        </w:rPr>
        <w:t>u1</w:t>
      </w:r>
      <w:r w:rsidRPr="00A63793">
        <w:rPr>
          <w:b/>
        </w:rPr>
        <w:t xml:space="preserve"> . 1,0p</w:t>
      </w:r>
      <w:r w:rsidRPr="00A63793">
        <w:rPr>
          <w:b/>
          <w:vertAlign w:val="superscript"/>
        </w:rPr>
        <w:t>u2-u1</w:t>
      </w:r>
      <w:r w:rsidRPr="00A63793">
        <w:rPr>
          <w:b/>
        </w:rPr>
        <w:t xml:space="preserve"> -  Hlp</w:t>
      </w:r>
      <w:r w:rsidRPr="00A63793">
        <w:rPr>
          <w:b/>
          <w:vertAlign w:val="subscript"/>
        </w:rPr>
        <w:t>u1</w:t>
      </w:r>
    </w:p>
    <w:p w:rsidR="00623FA3" w:rsidRPr="00A63793" w:rsidRDefault="00623FA3" w:rsidP="00623FA3">
      <w:pPr>
        <w:jc w:val="center"/>
        <w:rPr>
          <w:b/>
          <w:vertAlign w:val="superscript"/>
        </w:rPr>
      </w:pPr>
      <w:proofErr w:type="gramStart"/>
      <w:r w:rsidRPr="00A63793">
        <w:rPr>
          <w:b/>
        </w:rPr>
        <w:t xml:space="preserve">r </w:t>
      </w:r>
      <w:r w:rsidRPr="00A63793">
        <w:rPr>
          <w:b/>
          <w:vertAlign w:val="subscript"/>
        </w:rPr>
        <w:t xml:space="preserve"> </w:t>
      </w:r>
      <w:r w:rsidRPr="00A63793">
        <w:rPr>
          <w:b/>
        </w:rPr>
        <w:t>=</w:t>
      </w:r>
      <w:proofErr w:type="gramEnd"/>
      <w:r w:rsidRPr="00A63793">
        <w:rPr>
          <w:b/>
        </w:rPr>
        <w:t xml:space="preserve"> </w:t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sym w:font="Symbol" w:char="F0BE"/>
      </w:r>
      <w:r w:rsidRPr="00A63793">
        <w:rPr>
          <w:b/>
        </w:rPr>
        <w:t xml:space="preserve">  </w:t>
      </w:r>
    </w:p>
    <w:p w:rsidR="00623FA3" w:rsidRPr="00A63793" w:rsidRDefault="00623FA3" w:rsidP="00623FA3">
      <w:pPr>
        <w:rPr>
          <w:b/>
        </w:rPr>
      </w:pPr>
      <w:r w:rsidRPr="00A63793">
        <w:rPr>
          <w:b/>
        </w:rPr>
        <w:t xml:space="preserve">                                                                                u</w:t>
      </w:r>
      <w:r w:rsidRPr="00A63793">
        <w:rPr>
          <w:b/>
          <w:vertAlign w:val="subscript"/>
        </w:rPr>
        <w:t>2</w:t>
      </w:r>
      <w:r w:rsidRPr="00A63793">
        <w:rPr>
          <w:b/>
        </w:rPr>
        <w:t xml:space="preserve"> – u</w:t>
      </w:r>
      <w:r w:rsidRPr="00A63793">
        <w:rPr>
          <w:b/>
          <w:vertAlign w:val="subscript"/>
        </w:rPr>
        <w:t>1</w:t>
      </w:r>
    </w:p>
    <w:p w:rsidR="00623FA3" w:rsidRPr="00A63793" w:rsidRDefault="00623FA3" w:rsidP="00623FA3"/>
    <w:p w:rsidR="00623FA3" w:rsidRPr="00A63793" w:rsidRDefault="00623FA3" w:rsidP="00623FA3">
      <w:pPr>
        <w:ind w:right="562"/>
      </w:pPr>
    </w:p>
    <w:p w:rsidR="00623FA3" w:rsidRPr="00A63793" w:rsidRDefault="00623FA3" w:rsidP="00623FA3">
      <w:pPr>
        <w:ind w:right="562"/>
      </w:pPr>
      <w:r w:rsidRPr="00A63793">
        <w:t xml:space="preserve">kde </w:t>
      </w:r>
    </w:p>
    <w:p w:rsidR="00623FA3" w:rsidRPr="00A63793" w:rsidRDefault="00623FA3" w:rsidP="00623FA3">
      <w:pPr>
        <w:ind w:left="540" w:right="562" w:hanging="540"/>
      </w:pPr>
      <w:r w:rsidRPr="00A63793">
        <w:t>r</w:t>
      </w:r>
      <w:r w:rsidRPr="00A63793">
        <w:tab/>
      </w:r>
      <w:r w:rsidRPr="00A63793">
        <w:rPr>
          <w:vertAlign w:val="subscript"/>
        </w:rPr>
        <w:t xml:space="preserve"> </w:t>
      </w:r>
      <w:r w:rsidRPr="00A63793">
        <w:t>= roční škoda v důsledku prodloužení obmýtí, v Kč</w:t>
      </w:r>
    </w:p>
    <w:p w:rsidR="00623FA3" w:rsidRPr="00A63793" w:rsidRDefault="00623FA3" w:rsidP="00623FA3">
      <w:pPr>
        <w:numPr>
          <w:ilvl w:val="12"/>
          <w:numId w:val="0"/>
        </w:numPr>
        <w:ind w:left="540" w:right="562" w:hanging="540"/>
        <w:rPr>
          <w:iCs/>
        </w:rPr>
      </w:pPr>
      <w:r w:rsidRPr="00A63793">
        <w:t>Hlp</w:t>
      </w:r>
      <w:r w:rsidRPr="00A63793">
        <w:rPr>
          <w:vertAlign w:val="subscript"/>
        </w:rPr>
        <w:t xml:space="preserve">u1 </w:t>
      </w:r>
      <w:r w:rsidRPr="00A63793">
        <w:t>=</w:t>
      </w:r>
      <w:r w:rsidRPr="00A63793">
        <w:rPr>
          <w:b/>
        </w:rPr>
        <w:t xml:space="preserve"> </w:t>
      </w:r>
      <w:r w:rsidRPr="00A63793">
        <w:rPr>
          <w:iCs/>
        </w:rPr>
        <w:t xml:space="preserve">hodnota lesního porostu ve věku původního obmýtí </w:t>
      </w:r>
      <w:r w:rsidRPr="00A63793">
        <w:rPr>
          <w:iCs/>
          <w:u w:val="single"/>
        </w:rPr>
        <w:t>u</w:t>
      </w:r>
      <w:r w:rsidRPr="00A63793">
        <w:rPr>
          <w:iCs/>
          <w:u w:val="single"/>
          <w:vertAlign w:val="subscript"/>
        </w:rPr>
        <w:t>1</w:t>
      </w:r>
      <w:r w:rsidRPr="00A63793">
        <w:rPr>
          <w:iCs/>
        </w:rPr>
        <w:t xml:space="preserve"> </w:t>
      </w:r>
    </w:p>
    <w:p w:rsidR="00623FA3" w:rsidRPr="00A63793" w:rsidRDefault="00623FA3" w:rsidP="00623FA3">
      <w:pPr>
        <w:numPr>
          <w:ilvl w:val="12"/>
          <w:numId w:val="0"/>
        </w:numPr>
        <w:ind w:right="562"/>
        <w:rPr>
          <w:iCs/>
        </w:rPr>
      </w:pPr>
      <w:r w:rsidRPr="00A63793">
        <w:rPr>
          <w:iCs/>
        </w:rPr>
        <w:t>u</w:t>
      </w:r>
      <w:r w:rsidRPr="00A63793">
        <w:rPr>
          <w:iCs/>
          <w:vertAlign w:val="subscript"/>
        </w:rPr>
        <w:t>1</w:t>
      </w:r>
      <w:r w:rsidRPr="00A63793">
        <w:rPr>
          <w:iCs/>
        </w:rPr>
        <w:t xml:space="preserve">     = doba původního obmýtí </w:t>
      </w:r>
      <w:r w:rsidRPr="00A63793">
        <w:rPr>
          <w:iCs/>
          <w:u w:val="single"/>
        </w:rPr>
        <w:t>u</w:t>
      </w:r>
      <w:r w:rsidRPr="00A63793">
        <w:rPr>
          <w:iCs/>
          <w:u w:val="single"/>
          <w:vertAlign w:val="subscript"/>
        </w:rPr>
        <w:t>1</w:t>
      </w:r>
    </w:p>
    <w:p w:rsidR="00623FA3" w:rsidRPr="00A63793" w:rsidRDefault="00623FA3" w:rsidP="00623FA3">
      <w:pPr>
        <w:numPr>
          <w:ilvl w:val="12"/>
          <w:numId w:val="0"/>
        </w:numPr>
        <w:ind w:right="562"/>
        <w:rPr>
          <w:iCs/>
        </w:rPr>
      </w:pPr>
      <w:r w:rsidRPr="00A63793">
        <w:rPr>
          <w:iCs/>
        </w:rPr>
        <w:t>u</w:t>
      </w:r>
      <w:r w:rsidRPr="00A63793">
        <w:rPr>
          <w:iCs/>
          <w:vertAlign w:val="subscript"/>
        </w:rPr>
        <w:t>2</w:t>
      </w:r>
      <w:r w:rsidRPr="00A63793">
        <w:rPr>
          <w:iCs/>
        </w:rPr>
        <w:t xml:space="preserve">     = doba nařízeného (prodlouženého) obmýtí </w:t>
      </w:r>
      <w:r w:rsidRPr="00A63793">
        <w:rPr>
          <w:iCs/>
          <w:u w:val="single"/>
        </w:rPr>
        <w:t>u</w:t>
      </w:r>
      <w:r w:rsidRPr="00A63793">
        <w:rPr>
          <w:iCs/>
          <w:u w:val="single"/>
          <w:vertAlign w:val="subscript"/>
        </w:rPr>
        <w:t>2</w:t>
      </w:r>
    </w:p>
    <w:p w:rsidR="00623FA3" w:rsidRPr="00A63793" w:rsidRDefault="00623FA3" w:rsidP="00623FA3">
      <w:pPr>
        <w:numPr>
          <w:ilvl w:val="12"/>
          <w:numId w:val="0"/>
        </w:numPr>
        <w:ind w:right="562"/>
        <w:rPr>
          <w:iCs/>
        </w:rPr>
      </w:pPr>
      <w:proofErr w:type="gramStart"/>
      <w:r w:rsidRPr="00A63793">
        <w:rPr>
          <w:iCs/>
        </w:rPr>
        <w:t>p      = úroková</w:t>
      </w:r>
      <w:proofErr w:type="gramEnd"/>
      <w:r w:rsidRPr="00A63793">
        <w:rPr>
          <w:iCs/>
        </w:rPr>
        <w:t xml:space="preserve"> míra ve výši 0,84  %</w:t>
      </w:r>
    </w:p>
    <w:p w:rsidR="00623FA3" w:rsidRPr="00A63793" w:rsidRDefault="00623FA3" w:rsidP="00623FA3">
      <w:pPr>
        <w:ind w:right="562"/>
      </w:pPr>
    </w:p>
    <w:p w:rsidR="00623FA3" w:rsidRPr="00A63793" w:rsidRDefault="00623FA3" w:rsidP="00623FA3">
      <w:pPr>
        <w:rPr>
          <w:i/>
        </w:rPr>
      </w:pPr>
      <w:r w:rsidRPr="00A63793">
        <w:rPr>
          <w:i/>
        </w:rPr>
        <w:t>Poznámka: Úroková míra ve výši 0,84 % je zde použita na základě propočtů vnitřní úrokové míry provedené v roce 2011 při aktualizaci oceňovacích modelů. Výraz 1,0pu2-u1 (úročitel) při p = 0,84 % představuje hodnotu 1,182106867.</w:t>
      </w:r>
    </w:p>
    <w:p w:rsidR="00623FA3" w:rsidRPr="00A63793" w:rsidRDefault="00623FA3" w:rsidP="00623FA3"/>
    <w:p w:rsidR="00623FA3" w:rsidRPr="00A63793" w:rsidRDefault="00623FA3" w:rsidP="00623FA3">
      <w:pPr>
        <w:rPr>
          <w:i/>
        </w:rPr>
      </w:pPr>
      <w:r w:rsidRPr="00A63793">
        <w:rPr>
          <w:i/>
        </w:rPr>
        <w:t xml:space="preserve">Hodnota roční škody je stanovena prostřednictvím hodnoty Thlpu1 (hodnota lesního porostu při plném zkamenění), která byla vypočtena v rámci aktualizovaných oceňovacích modelů a upravena na hodnotu Hlpu1 o vliv nižšího </w:t>
      </w:r>
      <w:proofErr w:type="spellStart"/>
      <w:r w:rsidRPr="00A63793">
        <w:rPr>
          <w:i/>
        </w:rPr>
        <w:t>zakmenění</w:t>
      </w:r>
      <w:proofErr w:type="spellEnd"/>
      <w:r w:rsidRPr="00A63793">
        <w:rPr>
          <w:i/>
        </w:rPr>
        <w:t xml:space="preserve"> v obmýtí (0,85) a o cenové srážky z důvodu určitého procenta hniloby v mýtních a přestárlých porostech (-16 %) pro zreálnění hodnoty dřeva na pni. </w:t>
      </w:r>
    </w:p>
    <w:p w:rsidR="00623FA3" w:rsidRPr="00A63793" w:rsidRDefault="00623FA3" w:rsidP="00623FA3"/>
    <w:p w:rsidR="00623FA3" w:rsidRPr="00A63793" w:rsidRDefault="00623FA3" w:rsidP="00623FA3">
      <w:r w:rsidRPr="00A63793">
        <w:t>Výpočet roční škody je vypočten z prodlouženého obmýtí na období 20 let (u2 – u1 = 20) na základě nejvyššího obmýtí, jehož rozpětí podle jednotlivých skupin dřevin je stanoveno v příloze č. 28 k vyhlášce č. 441/2013 Sb., k provedení zákona o oceňování majetku (oceňovací vyhláška).</w:t>
      </w:r>
    </w:p>
    <w:p w:rsidR="00623FA3" w:rsidRDefault="00623FA3" w:rsidP="00623FA3">
      <w:pPr>
        <w:rPr>
          <w:b/>
        </w:rPr>
      </w:pPr>
    </w:p>
    <w:p w:rsidR="006C74D8" w:rsidRDefault="006C74D8" w:rsidP="00623FA3">
      <w:pPr>
        <w:rPr>
          <w:b/>
        </w:rPr>
      </w:pPr>
    </w:p>
    <w:p w:rsidR="006C74D8" w:rsidRPr="009B4AFB" w:rsidRDefault="006C74D8" w:rsidP="006C74D8">
      <w:pPr>
        <w:jc w:val="center"/>
        <w:rPr>
          <w:bCs/>
        </w:rPr>
      </w:pPr>
      <w:r w:rsidRPr="009B4AFB">
        <w:rPr>
          <w:bCs/>
        </w:rPr>
        <w:t>Výpočet roční škody při prodloužení obmýtí v Kč/ha/rok a EUR/ha/rok</w:t>
      </w:r>
    </w:p>
    <w:tbl>
      <w:tblPr>
        <w:tblW w:w="5850" w:type="dxa"/>
        <w:jc w:val="center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"/>
        <w:gridCol w:w="975"/>
        <w:gridCol w:w="780"/>
        <w:gridCol w:w="1100"/>
        <w:gridCol w:w="1100"/>
        <w:gridCol w:w="1100"/>
      </w:tblGrid>
      <w:tr w:rsidR="006C74D8" w:rsidRPr="006C74D8" w:rsidTr="006C74D8">
        <w:trPr>
          <w:trHeight w:val="270"/>
          <w:jc w:val="center"/>
        </w:trPr>
        <w:tc>
          <w:tcPr>
            <w:tcW w:w="916" w:type="dxa"/>
            <w:vMerge w:val="restart"/>
            <w:shd w:val="clear" w:color="auto" w:fill="E6E6E6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Dřevina</w:t>
            </w:r>
          </w:p>
        </w:tc>
        <w:tc>
          <w:tcPr>
            <w:tcW w:w="975" w:type="dxa"/>
            <w:vMerge w:val="restart"/>
            <w:shd w:val="clear" w:color="auto" w:fill="E6E6E6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Rozpětí obmýtí (let)</w:t>
            </w:r>
          </w:p>
        </w:tc>
        <w:tc>
          <w:tcPr>
            <w:tcW w:w="764" w:type="dxa"/>
            <w:vMerge w:val="restart"/>
            <w:shd w:val="clear" w:color="auto" w:fill="E6E6E6"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Bonita</w:t>
            </w:r>
          </w:p>
        </w:tc>
        <w:tc>
          <w:tcPr>
            <w:tcW w:w="3195" w:type="dxa"/>
            <w:gridSpan w:val="3"/>
            <w:shd w:val="clear" w:color="auto" w:fill="E6E6E6"/>
            <w:noWrap/>
            <w:vAlign w:val="center"/>
          </w:tcPr>
          <w:p w:rsidR="006C74D8" w:rsidRPr="006C74D8" w:rsidRDefault="006C74D8" w:rsidP="006C74D8">
            <w:pPr>
              <w:jc w:val="center"/>
              <w:rPr>
                <w:bCs/>
              </w:rPr>
            </w:pPr>
            <w:r w:rsidRPr="006C74D8">
              <w:rPr>
                <w:bCs/>
              </w:rPr>
              <w:t>Roční škoda při prodloužení obmýtí</w:t>
            </w:r>
          </w:p>
        </w:tc>
      </w:tr>
      <w:tr w:rsidR="006C74D8" w:rsidRPr="006C74D8" w:rsidTr="006C74D8">
        <w:trPr>
          <w:trHeight w:val="270"/>
          <w:jc w:val="center"/>
        </w:trPr>
        <w:tc>
          <w:tcPr>
            <w:tcW w:w="916" w:type="dxa"/>
            <w:vMerge/>
            <w:shd w:val="clear" w:color="auto" w:fill="E6E6E6"/>
            <w:noWrap/>
            <w:vAlign w:val="bottom"/>
          </w:tcPr>
          <w:p w:rsidR="006C74D8" w:rsidRPr="00487F73" w:rsidRDefault="006C74D8" w:rsidP="006C74D8">
            <w:pPr>
              <w:rPr>
                <w:bCs/>
              </w:rPr>
            </w:pPr>
          </w:p>
        </w:tc>
        <w:tc>
          <w:tcPr>
            <w:tcW w:w="975" w:type="dxa"/>
            <w:vMerge/>
            <w:shd w:val="clear" w:color="auto" w:fill="E6E6E6"/>
            <w:noWrap/>
            <w:vAlign w:val="bottom"/>
          </w:tcPr>
          <w:p w:rsidR="006C74D8" w:rsidRPr="00487F73" w:rsidRDefault="006C74D8" w:rsidP="006C74D8">
            <w:pPr>
              <w:rPr>
                <w:bCs/>
              </w:rPr>
            </w:pPr>
          </w:p>
        </w:tc>
        <w:tc>
          <w:tcPr>
            <w:tcW w:w="764" w:type="dxa"/>
            <w:vMerge/>
            <w:shd w:val="clear" w:color="auto" w:fill="E6E6E6"/>
            <w:vAlign w:val="bottom"/>
          </w:tcPr>
          <w:p w:rsidR="006C74D8" w:rsidRPr="00487F73" w:rsidRDefault="006C74D8" w:rsidP="006C74D8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E6E6E6"/>
            <w:noWrap/>
            <w:vAlign w:val="center"/>
          </w:tcPr>
          <w:p w:rsidR="006C74D8" w:rsidRPr="00487F73" w:rsidRDefault="006C74D8" w:rsidP="006C74D8">
            <w:pPr>
              <w:rPr>
                <w:bCs/>
              </w:rPr>
            </w:pPr>
            <w:r w:rsidRPr="00487F73">
              <w:rPr>
                <w:bCs/>
              </w:rPr>
              <w:t>120-140</w:t>
            </w:r>
          </w:p>
        </w:tc>
        <w:tc>
          <w:tcPr>
            <w:tcW w:w="1094" w:type="dxa"/>
            <w:shd w:val="clear" w:color="auto" w:fill="E6E6E6"/>
            <w:noWrap/>
            <w:vAlign w:val="center"/>
          </w:tcPr>
          <w:p w:rsidR="006C74D8" w:rsidRPr="00487F73" w:rsidRDefault="006C74D8" w:rsidP="006C74D8">
            <w:pPr>
              <w:rPr>
                <w:bCs/>
              </w:rPr>
            </w:pPr>
            <w:r w:rsidRPr="00487F73">
              <w:rPr>
                <w:bCs/>
              </w:rPr>
              <w:t>140-160</w:t>
            </w:r>
          </w:p>
        </w:tc>
        <w:tc>
          <w:tcPr>
            <w:tcW w:w="1007" w:type="dxa"/>
            <w:shd w:val="clear" w:color="auto" w:fill="E6E6E6"/>
            <w:vAlign w:val="center"/>
          </w:tcPr>
          <w:p w:rsidR="006C74D8" w:rsidRPr="00487F73" w:rsidRDefault="006C74D8" w:rsidP="006C74D8">
            <w:pPr>
              <w:rPr>
                <w:bCs/>
              </w:rPr>
            </w:pPr>
            <w:r w:rsidRPr="00487F73">
              <w:rPr>
                <w:bCs/>
              </w:rPr>
              <w:t>160-180</w:t>
            </w:r>
          </w:p>
        </w:tc>
      </w:tr>
      <w:tr w:rsidR="006C74D8" w:rsidRPr="006C74D8" w:rsidTr="006C74D8">
        <w:trPr>
          <w:trHeight w:val="270"/>
          <w:jc w:val="center"/>
        </w:trPr>
        <w:tc>
          <w:tcPr>
            <w:tcW w:w="916" w:type="dxa"/>
            <w:vMerge/>
            <w:shd w:val="clear" w:color="auto" w:fill="E6E6E6"/>
            <w:noWrap/>
            <w:vAlign w:val="bottom"/>
          </w:tcPr>
          <w:p w:rsidR="006C74D8" w:rsidRPr="00487F73" w:rsidRDefault="006C74D8" w:rsidP="006C74D8">
            <w:pPr>
              <w:rPr>
                <w:bCs/>
              </w:rPr>
            </w:pPr>
          </w:p>
        </w:tc>
        <w:tc>
          <w:tcPr>
            <w:tcW w:w="975" w:type="dxa"/>
            <w:vMerge/>
            <w:tcBorders>
              <w:bottom w:val="single" w:sz="8" w:space="0" w:color="auto"/>
            </w:tcBorders>
            <w:shd w:val="clear" w:color="auto" w:fill="E6E6E6"/>
            <w:noWrap/>
            <w:vAlign w:val="bottom"/>
          </w:tcPr>
          <w:p w:rsidR="006C74D8" w:rsidRPr="00487F73" w:rsidRDefault="006C74D8" w:rsidP="006C74D8">
            <w:pPr>
              <w:rPr>
                <w:bCs/>
              </w:rPr>
            </w:pPr>
          </w:p>
        </w:tc>
        <w:tc>
          <w:tcPr>
            <w:tcW w:w="764" w:type="dxa"/>
            <w:vMerge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6C74D8" w:rsidRPr="00487F73" w:rsidRDefault="006C74D8" w:rsidP="006C74D8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E6E6E6"/>
            <w:noWrap/>
            <w:vAlign w:val="center"/>
          </w:tcPr>
          <w:p w:rsidR="006C74D8" w:rsidRPr="00487F73" w:rsidRDefault="006C74D8" w:rsidP="006C74D8">
            <w:pPr>
              <w:rPr>
                <w:bCs/>
              </w:rPr>
            </w:pPr>
            <w:r w:rsidRPr="00487F73">
              <w:rPr>
                <w:bCs/>
              </w:rPr>
              <w:t>Kč/ha/rok</w:t>
            </w:r>
          </w:p>
        </w:tc>
        <w:tc>
          <w:tcPr>
            <w:tcW w:w="1094" w:type="dxa"/>
            <w:shd w:val="clear" w:color="auto" w:fill="E6E6E6"/>
            <w:noWrap/>
            <w:vAlign w:val="center"/>
          </w:tcPr>
          <w:p w:rsidR="006C74D8" w:rsidRPr="00487F73" w:rsidRDefault="006C74D8" w:rsidP="006C74D8">
            <w:pPr>
              <w:rPr>
                <w:bCs/>
              </w:rPr>
            </w:pPr>
            <w:r w:rsidRPr="00487F73">
              <w:rPr>
                <w:bCs/>
              </w:rPr>
              <w:t>Kč/ha/rok</w:t>
            </w:r>
          </w:p>
        </w:tc>
        <w:tc>
          <w:tcPr>
            <w:tcW w:w="1007" w:type="dxa"/>
            <w:shd w:val="clear" w:color="auto" w:fill="E6E6E6"/>
            <w:vAlign w:val="center"/>
          </w:tcPr>
          <w:p w:rsidR="006C74D8" w:rsidRPr="00487F73" w:rsidRDefault="006C74D8" w:rsidP="006C74D8">
            <w:pPr>
              <w:rPr>
                <w:bCs/>
              </w:rPr>
            </w:pPr>
            <w:r w:rsidRPr="00487F73">
              <w:rPr>
                <w:bCs/>
              </w:rPr>
              <w:t>Kč/ha/rok</w:t>
            </w:r>
          </w:p>
        </w:tc>
      </w:tr>
      <w:tr w:rsidR="006C74D8" w:rsidRPr="006C74D8" w:rsidTr="006C74D8">
        <w:trPr>
          <w:trHeight w:val="270"/>
          <w:jc w:val="center"/>
        </w:trPr>
        <w:tc>
          <w:tcPr>
            <w:tcW w:w="916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SM</w:t>
            </w:r>
          </w:p>
        </w:tc>
        <w:tc>
          <w:tcPr>
            <w:tcW w:w="975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80-120</w:t>
            </w:r>
          </w:p>
        </w:tc>
        <w:tc>
          <w:tcPr>
            <w:tcW w:w="764" w:type="dxa"/>
            <w:shd w:val="clear" w:color="auto" w:fill="E6E6E6"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3</w:t>
            </w: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5 481</w:t>
            </w: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</w:tr>
      <w:tr w:rsidR="006C74D8" w:rsidRPr="006C74D8" w:rsidTr="006C74D8">
        <w:trPr>
          <w:trHeight w:val="270"/>
          <w:jc w:val="center"/>
        </w:trPr>
        <w:tc>
          <w:tcPr>
            <w:tcW w:w="916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BO</w:t>
            </w:r>
          </w:p>
        </w:tc>
        <w:tc>
          <w:tcPr>
            <w:tcW w:w="975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80-120</w:t>
            </w:r>
          </w:p>
        </w:tc>
        <w:tc>
          <w:tcPr>
            <w:tcW w:w="764" w:type="dxa"/>
            <w:shd w:val="clear" w:color="auto" w:fill="E6E6E6"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4</w:t>
            </w: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1 840</w:t>
            </w: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</w:tr>
      <w:tr w:rsidR="006C74D8" w:rsidRPr="006C74D8" w:rsidTr="006C74D8">
        <w:trPr>
          <w:trHeight w:val="270"/>
          <w:jc w:val="center"/>
        </w:trPr>
        <w:tc>
          <w:tcPr>
            <w:tcW w:w="916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DB</w:t>
            </w:r>
          </w:p>
        </w:tc>
        <w:tc>
          <w:tcPr>
            <w:tcW w:w="975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120-160</w:t>
            </w:r>
          </w:p>
        </w:tc>
        <w:tc>
          <w:tcPr>
            <w:tcW w:w="764" w:type="dxa"/>
            <w:shd w:val="clear" w:color="auto" w:fill="E6E6E6"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4</w:t>
            </w: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6 928</w:t>
            </w:r>
          </w:p>
        </w:tc>
      </w:tr>
      <w:tr w:rsidR="006C74D8" w:rsidRPr="006C74D8" w:rsidTr="006C74D8">
        <w:trPr>
          <w:trHeight w:val="270"/>
          <w:jc w:val="center"/>
        </w:trPr>
        <w:tc>
          <w:tcPr>
            <w:tcW w:w="916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BK</w:t>
            </w:r>
          </w:p>
        </w:tc>
        <w:tc>
          <w:tcPr>
            <w:tcW w:w="975" w:type="dxa"/>
            <w:shd w:val="clear" w:color="auto" w:fill="E6E6E6"/>
            <w:noWrap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100-140</w:t>
            </w:r>
          </w:p>
        </w:tc>
        <w:tc>
          <w:tcPr>
            <w:tcW w:w="764" w:type="dxa"/>
            <w:shd w:val="clear" w:color="auto" w:fill="E6E6E6"/>
            <w:vAlign w:val="bottom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3</w:t>
            </w: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  <w:noWrap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  <w:r w:rsidRPr="006C74D8">
              <w:rPr>
                <w:bCs/>
              </w:rPr>
              <w:t>3 741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C74D8" w:rsidRPr="006C74D8" w:rsidRDefault="006C74D8" w:rsidP="006C74D8">
            <w:pPr>
              <w:rPr>
                <w:bCs/>
              </w:rPr>
            </w:pPr>
          </w:p>
        </w:tc>
      </w:tr>
    </w:tbl>
    <w:p w:rsidR="006C74D8" w:rsidRPr="009B4AFB" w:rsidRDefault="006C74D8" w:rsidP="006C74D8">
      <w:pPr>
        <w:jc w:val="center"/>
        <w:rPr>
          <w:i/>
        </w:rPr>
      </w:pPr>
      <w:r w:rsidRPr="009B4AFB">
        <w:rPr>
          <w:i/>
        </w:rPr>
        <w:t>Zdroj: Oceňovací modely (DAVID, MATĚJÍČEK, 2011)</w:t>
      </w:r>
    </w:p>
    <w:p w:rsidR="006C74D8" w:rsidRPr="006C74D8" w:rsidRDefault="006C74D8" w:rsidP="006C74D8">
      <w:pPr>
        <w:rPr>
          <w:b/>
        </w:rPr>
      </w:pPr>
    </w:p>
    <w:p w:rsidR="006C74D8" w:rsidRPr="00034C57" w:rsidRDefault="006C74D8" w:rsidP="006C74D8">
      <w:r w:rsidRPr="00034C57">
        <w:t>Jako průměrná sazba z prodloužení obmýtí byl stanoven průměr z roční škody za 4 skupiny dřevin uvedené v tabulce.</w:t>
      </w:r>
    </w:p>
    <w:p w:rsidR="006C74D8" w:rsidRPr="00034C57" w:rsidRDefault="006C74D8" w:rsidP="006C74D8"/>
    <w:p w:rsidR="006C74D8" w:rsidRPr="00034C57" w:rsidRDefault="006C74D8" w:rsidP="006C74D8">
      <w:r w:rsidRPr="00034C57">
        <w:t xml:space="preserve">5 481 + 1 840 + 6 928 + 3 741  = 17 990 </w:t>
      </w:r>
      <w:proofErr w:type="gramStart"/>
      <w:r w:rsidRPr="00034C57">
        <w:t>Kč : 4 dřevinami</w:t>
      </w:r>
      <w:proofErr w:type="gramEnd"/>
      <w:r w:rsidRPr="00034C57">
        <w:t xml:space="preserve"> = 4 498 Kč/ha/rok</w:t>
      </w:r>
    </w:p>
    <w:p w:rsidR="006C74D8" w:rsidRDefault="006C74D8" w:rsidP="00623FA3">
      <w:pPr>
        <w:rPr>
          <w:b/>
        </w:rPr>
      </w:pPr>
    </w:p>
    <w:p w:rsidR="006C74D8" w:rsidRDefault="006C74D8" w:rsidP="006C74D8">
      <w:pPr>
        <w:ind w:left="1260" w:hanging="1260"/>
        <w:jc w:val="center"/>
      </w:pPr>
      <w:r>
        <w:rPr>
          <w:b/>
        </w:rPr>
        <w:t>S</w:t>
      </w:r>
      <w:r>
        <w:t>azba z ekonomické ztráty způsobené prodloužením obmýtí</w:t>
      </w:r>
    </w:p>
    <w:tbl>
      <w:tblPr>
        <w:tblW w:w="44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4803"/>
      </w:tblGrid>
      <w:tr w:rsidR="006C74D8" w:rsidTr="00B222E9">
        <w:trPr>
          <w:jc w:val="center"/>
        </w:trPr>
        <w:tc>
          <w:tcPr>
            <w:tcW w:w="2121" w:type="pct"/>
            <w:tcBorders>
              <w:bottom w:val="single" w:sz="4" w:space="0" w:color="auto"/>
            </w:tcBorders>
            <w:shd w:val="clear" w:color="auto" w:fill="E6E6E6"/>
          </w:tcPr>
          <w:p w:rsidR="006C74D8" w:rsidRPr="006C74D8" w:rsidRDefault="006C74D8" w:rsidP="00B222E9">
            <w:pPr>
              <w:jc w:val="center"/>
            </w:pPr>
          </w:p>
        </w:tc>
        <w:tc>
          <w:tcPr>
            <w:tcW w:w="2879" w:type="pct"/>
            <w:tcBorders>
              <w:bottom w:val="nil"/>
            </w:tcBorders>
            <w:shd w:val="clear" w:color="auto" w:fill="E6E6E6"/>
          </w:tcPr>
          <w:p w:rsidR="006C74D8" w:rsidRPr="006C74D8" w:rsidRDefault="006C74D8" w:rsidP="00B222E9">
            <w:pPr>
              <w:jc w:val="center"/>
            </w:pPr>
            <w:r w:rsidRPr="006C74D8">
              <w:t xml:space="preserve">Roční sazba  </w:t>
            </w:r>
          </w:p>
        </w:tc>
      </w:tr>
      <w:tr w:rsidR="006C74D8" w:rsidTr="00B222E9">
        <w:trPr>
          <w:jc w:val="center"/>
        </w:trPr>
        <w:tc>
          <w:tcPr>
            <w:tcW w:w="2121" w:type="pct"/>
            <w:shd w:val="clear" w:color="auto" w:fill="E6E6E6"/>
          </w:tcPr>
          <w:p w:rsidR="006C74D8" w:rsidRPr="006C74D8" w:rsidRDefault="006C74D8" w:rsidP="00B222E9">
            <w:pPr>
              <w:jc w:val="center"/>
            </w:pPr>
            <w:r w:rsidRPr="006C74D8">
              <w:t>Ztráta z prodloužení obmýtí</w:t>
            </w:r>
          </w:p>
        </w:tc>
        <w:tc>
          <w:tcPr>
            <w:tcW w:w="2879" w:type="pct"/>
            <w:shd w:val="clear" w:color="auto" w:fill="auto"/>
          </w:tcPr>
          <w:p w:rsidR="006C74D8" w:rsidRPr="00034C57" w:rsidRDefault="006C74D8" w:rsidP="00B222E9">
            <w:pPr>
              <w:jc w:val="center"/>
            </w:pPr>
            <w:r w:rsidRPr="00034C57">
              <w:t>4 498</w:t>
            </w:r>
          </w:p>
        </w:tc>
      </w:tr>
      <w:tr w:rsidR="006C74D8" w:rsidTr="00B222E9">
        <w:trPr>
          <w:jc w:val="center"/>
        </w:trPr>
        <w:tc>
          <w:tcPr>
            <w:tcW w:w="2121" w:type="pct"/>
            <w:shd w:val="clear" w:color="auto" w:fill="E6E6E6"/>
          </w:tcPr>
          <w:p w:rsidR="006C74D8" w:rsidRPr="006C74D8" w:rsidRDefault="006C74D8" w:rsidP="00B222E9">
            <w:pPr>
              <w:jc w:val="center"/>
            </w:pPr>
            <w:r w:rsidRPr="006C74D8">
              <w:t xml:space="preserve">Transakční náklady </w:t>
            </w:r>
          </w:p>
        </w:tc>
        <w:tc>
          <w:tcPr>
            <w:tcW w:w="2879" w:type="pct"/>
            <w:shd w:val="clear" w:color="auto" w:fill="auto"/>
          </w:tcPr>
          <w:p w:rsidR="006C74D8" w:rsidRPr="00034C57" w:rsidRDefault="006C74D8" w:rsidP="00B222E9">
            <w:pPr>
              <w:jc w:val="center"/>
            </w:pPr>
            <w:r w:rsidRPr="00034C57">
              <w:t>264</w:t>
            </w:r>
          </w:p>
        </w:tc>
      </w:tr>
      <w:tr w:rsidR="006C74D8" w:rsidTr="00B222E9">
        <w:trPr>
          <w:jc w:val="center"/>
        </w:trPr>
        <w:tc>
          <w:tcPr>
            <w:tcW w:w="2121" w:type="pct"/>
            <w:shd w:val="clear" w:color="auto" w:fill="E6E6E6"/>
          </w:tcPr>
          <w:p w:rsidR="006C74D8" w:rsidRPr="006C74D8" w:rsidRDefault="006C74D8" w:rsidP="00B222E9">
            <w:pPr>
              <w:jc w:val="center"/>
            </w:pPr>
            <w:r w:rsidRPr="006C74D8">
              <w:t>Celkem v Kč/ha/rok</w:t>
            </w:r>
          </w:p>
        </w:tc>
        <w:tc>
          <w:tcPr>
            <w:tcW w:w="2879" w:type="pct"/>
            <w:shd w:val="clear" w:color="auto" w:fill="auto"/>
          </w:tcPr>
          <w:p w:rsidR="006C74D8" w:rsidRPr="006C74D8" w:rsidRDefault="006C74D8" w:rsidP="00B222E9">
            <w:pPr>
              <w:jc w:val="center"/>
              <w:rPr>
                <w:highlight w:val="red"/>
              </w:rPr>
            </w:pPr>
            <w:r w:rsidRPr="006C74D8">
              <w:t xml:space="preserve"> 4 762</w:t>
            </w:r>
          </w:p>
        </w:tc>
      </w:tr>
    </w:tbl>
    <w:p w:rsidR="006C74D8" w:rsidRDefault="006C74D8" w:rsidP="00623FA3">
      <w:pPr>
        <w:rPr>
          <w:b/>
        </w:rPr>
      </w:pPr>
    </w:p>
    <w:p w:rsidR="006C74D8" w:rsidRPr="00A63793" w:rsidRDefault="006C74D8" w:rsidP="00623FA3">
      <w:pPr>
        <w:rPr>
          <w:b/>
        </w:rPr>
      </w:pPr>
    </w:p>
    <w:p w:rsidR="00623FA3" w:rsidRPr="00A63793" w:rsidRDefault="00623FA3" w:rsidP="00623FA3">
      <w:r w:rsidRPr="00A63793">
        <w:t>Do transakčních nákladů byly zahrnuty náklady na administraci spojené s uzavřením závazku. Jedná se o administrativní přípravu porostů pro zařazení, které zahrnuje zpracování podkladů z lesního hospodářského plánu nebo osnovy, terénní prověření aktuálnosti dat a administraci podkladů nutných pro zařazení. Dále byla započítána každoroční administrace spojená s uzavřením závazku. Jedná se o administrativní kontrolu dat a terénní kontrolu plnění závazku.</w:t>
      </w:r>
    </w:p>
    <w:p w:rsidR="00CA1B15" w:rsidRDefault="00CA1B15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623FA3" w:rsidRPr="00A63793" w:rsidRDefault="00623FA3" w:rsidP="00623FA3">
      <w:pPr>
        <w:rPr>
          <w:b/>
        </w:rPr>
      </w:pPr>
      <w:r>
        <w:rPr>
          <w:b/>
        </w:rPr>
        <w:lastRenderedPageBreak/>
        <w:t xml:space="preserve">15.2.1 </w:t>
      </w:r>
      <w:r w:rsidRPr="00A63793">
        <w:rPr>
          <w:b/>
        </w:rPr>
        <w:t>Ochrana a reprodukce genofondu lesních dřevin</w:t>
      </w:r>
    </w:p>
    <w:p w:rsidR="00623FA3" w:rsidRPr="00A63793" w:rsidRDefault="00623FA3" w:rsidP="00623FA3"/>
    <w:p w:rsidR="00623FA3" w:rsidRPr="00623FA3" w:rsidRDefault="00623FA3" w:rsidP="00623FA3">
      <w:r w:rsidRPr="00623FA3">
        <w:t>Východiska pro výpočet plateb</w:t>
      </w:r>
    </w:p>
    <w:p w:rsidR="00623FA3" w:rsidRPr="00A63793" w:rsidRDefault="00623FA3" w:rsidP="00623FA3"/>
    <w:p w:rsidR="00623FA3" w:rsidRPr="00A63793" w:rsidRDefault="00623FA3" w:rsidP="00623FA3">
      <w:pPr>
        <w:numPr>
          <w:ilvl w:val="0"/>
          <w:numId w:val="2"/>
        </w:numPr>
      </w:pPr>
      <w:r w:rsidRPr="00A63793">
        <w:t>Vychází se ze skutečnosti, že se jedná o závazky nad rámec požadavků stanovených vnitrostátními právními předpisy, jedná se o kompenzaci dodatečných nákladů a ušlých příjmů příjemců podpory v důsledku přijatých závazků.</w:t>
      </w:r>
    </w:p>
    <w:p w:rsidR="00623FA3" w:rsidRPr="00A63793" w:rsidRDefault="00623FA3" w:rsidP="00623FA3">
      <w:pPr>
        <w:numPr>
          <w:ilvl w:val="0"/>
          <w:numId w:val="2"/>
        </w:numPr>
      </w:pPr>
      <w:r w:rsidRPr="00A63793">
        <w:t>Doba trvání závazku je 5 let.</w:t>
      </w:r>
    </w:p>
    <w:p w:rsidR="00623FA3" w:rsidRPr="00A63793" w:rsidRDefault="00623FA3" w:rsidP="00623FA3">
      <w:pPr>
        <w:numPr>
          <w:ilvl w:val="0"/>
          <w:numId w:val="2"/>
        </w:numPr>
      </w:pPr>
      <w:r w:rsidRPr="00A63793">
        <w:t>Roční sazba na hektar je limitována max. 200 EUR/ha/rok.</w:t>
      </w:r>
    </w:p>
    <w:p w:rsidR="00623FA3" w:rsidRPr="00A63793" w:rsidRDefault="00623FA3" w:rsidP="00623FA3">
      <w:pPr>
        <w:numPr>
          <w:ilvl w:val="0"/>
          <w:numId w:val="2"/>
        </w:numPr>
      </w:pPr>
      <w:r w:rsidRPr="00A63793">
        <w:t xml:space="preserve">Platba je založena na standardizovaných jednorázových nákladech na sběr osiva šetrnějším způsobem (probíhá 1 x za dobu trvání závazku), které jsou přepočteny na rok trvání závazku. </w:t>
      </w:r>
    </w:p>
    <w:p w:rsidR="00623FA3" w:rsidRPr="00A63793" w:rsidRDefault="00623FA3" w:rsidP="00623FA3"/>
    <w:p w:rsidR="00623FA3" w:rsidRPr="00A63793" w:rsidRDefault="00623FA3" w:rsidP="00623FA3">
      <w:pPr>
        <w:rPr>
          <w:b/>
        </w:rPr>
      </w:pPr>
      <w:r w:rsidRPr="00A63793">
        <w:rPr>
          <w:b/>
        </w:rPr>
        <w:t>Stanovení platby</w:t>
      </w:r>
    </w:p>
    <w:p w:rsidR="00623FA3" w:rsidRDefault="00623FA3" w:rsidP="00623FA3"/>
    <w:p w:rsidR="00623FA3" w:rsidRPr="00A63793" w:rsidRDefault="00623FA3" w:rsidP="00623FA3">
      <w:r w:rsidRPr="00A63793">
        <w:t>Ekonomická ztráta způsobena sběrem osiva šetrnějším způsobem je 1 672 Kč/ha za rok. Transakční náklady jsou zahrnuty ve výši 264 Kč/ha za rok.</w:t>
      </w:r>
    </w:p>
    <w:p w:rsidR="00623FA3" w:rsidRPr="00A63793" w:rsidRDefault="00623FA3" w:rsidP="00623FA3">
      <w:pPr>
        <w:rPr>
          <w:b/>
        </w:rPr>
      </w:pPr>
    </w:p>
    <w:p w:rsidR="00623FA3" w:rsidRPr="00A63793" w:rsidRDefault="00623FA3" w:rsidP="00C92901">
      <w:pPr>
        <w:shd w:val="clear" w:color="auto" w:fill="C2D69B" w:themeFill="accent3" w:themeFillTint="99"/>
        <w:jc w:val="center"/>
      </w:pPr>
      <w:r w:rsidRPr="00A63793">
        <w:rPr>
          <w:b/>
        </w:rPr>
        <w:t>Celková sazba je stanovena ve výši 1 936 Kč/ha za rok.</w:t>
      </w:r>
    </w:p>
    <w:p w:rsidR="00623FA3" w:rsidRPr="00A63793" w:rsidRDefault="00623FA3" w:rsidP="00623FA3">
      <w:pPr>
        <w:rPr>
          <w:b/>
        </w:rPr>
      </w:pPr>
    </w:p>
    <w:p w:rsidR="00623FA3" w:rsidRPr="00A63793" w:rsidRDefault="00623FA3" w:rsidP="00623FA3">
      <w:pPr>
        <w:rPr>
          <w:b/>
        </w:rPr>
      </w:pPr>
      <w:r w:rsidRPr="00A63793">
        <w:rPr>
          <w:b/>
        </w:rPr>
        <w:t>Způsob výpočtu platby</w:t>
      </w:r>
    </w:p>
    <w:p w:rsidR="00623FA3" w:rsidRDefault="00623FA3" w:rsidP="00623FA3"/>
    <w:p w:rsidR="00623FA3" w:rsidRPr="00A63793" w:rsidRDefault="00623FA3" w:rsidP="00623FA3">
      <w:r w:rsidRPr="00A63793">
        <w:t xml:space="preserve">U </w:t>
      </w:r>
      <w:r>
        <w:t>operace</w:t>
      </w:r>
      <w:r w:rsidRPr="00A63793">
        <w:t xml:space="preserve"> Ochrana a reprodukce genofondu lesních dřevin byly průměrné náklady počítány pro jednotlivé druhy dřevin. Platby byly stanoveny na základě ekonomických dat o sběru osiva v jednom semenném roce. Celkové náklady na sběr osiva byly rozpočítány na období pětiletého závazku. Vzhledem k rozložení semenných roků v průběhu obmýtí lesních porostů nelze uvažovat se sběrem každoročně. Sběr plodů a semen lesních dřevin byl vztažen na 1 ha na 15 stromů.</w:t>
      </w:r>
    </w:p>
    <w:p w:rsidR="00623FA3" w:rsidRDefault="00623FA3" w:rsidP="00623FA3"/>
    <w:p w:rsidR="009B4AFB" w:rsidRDefault="009B4AFB" w:rsidP="00623FA3">
      <w:r w:rsidRPr="009B4AFB">
        <w:t>Sběr plodů a semen lesních dřevin vztaženo na 1 ha (skutečný sběr na průměrném počtu stromů na 1 ha)</w:t>
      </w:r>
    </w:p>
    <w:p w:rsidR="00CA1B15" w:rsidRDefault="00CA1B15" w:rsidP="00623FA3"/>
    <w:tbl>
      <w:tblPr>
        <w:tblW w:w="9043" w:type="dxa"/>
        <w:jc w:val="center"/>
        <w:tblInd w:w="-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7"/>
        <w:gridCol w:w="1277"/>
        <w:gridCol w:w="1277"/>
        <w:gridCol w:w="1277"/>
        <w:gridCol w:w="1624"/>
        <w:gridCol w:w="1591"/>
      </w:tblGrid>
      <w:tr w:rsidR="009B4AFB" w:rsidRPr="009B4AFB" w:rsidTr="00CA1B15">
        <w:trPr>
          <w:trHeight w:val="717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9B4AFB">
            <w:pPr>
              <w:jc w:val="center"/>
              <w:rPr>
                <w:b/>
                <w:bCs/>
                <w:color w:val="000000"/>
              </w:rPr>
            </w:pPr>
            <w:r w:rsidRPr="00CA1B1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CA1B15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Sběr na stojících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CA1B15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Sběr na zemi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CA1B15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Rozdíl (stojící-na zemi)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CA1B15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Průměrné náklady 1 semenného roku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CA1B15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Rozpuštění na 5 roků platebního období</w:t>
            </w:r>
          </w:p>
        </w:tc>
      </w:tr>
      <w:tr w:rsidR="009B4AFB" w:rsidRPr="009B4AFB" w:rsidTr="00CA1B15">
        <w:trPr>
          <w:trHeight w:val="267"/>
          <w:jc w:val="center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9B4AFB">
            <w:pPr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Kč/ha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Kč/ha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Kč/ha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Kč/ha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</w:rPr>
            </w:pPr>
            <w:r w:rsidRPr="00CA1B15">
              <w:rPr>
                <w:color w:val="000000"/>
                <w:sz w:val="22"/>
                <w:szCs w:val="22"/>
              </w:rPr>
              <w:t>Kč/ha/rok</w:t>
            </w:r>
          </w:p>
        </w:tc>
      </w:tr>
      <w:tr w:rsidR="009B4AFB" w:rsidRPr="009B4AFB" w:rsidTr="00CA1B15">
        <w:trPr>
          <w:trHeight w:val="56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AFB" w:rsidRPr="00CA1B15" w:rsidRDefault="009B4AFB" w:rsidP="009B4AFB">
            <w:pPr>
              <w:jc w:val="left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Jehličnaté porosty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8 116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1 611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AFB" w:rsidRPr="00CA1B15" w:rsidRDefault="009B4AFB" w:rsidP="009B4AFB">
            <w:pPr>
              <w:jc w:val="center"/>
              <w:rPr>
                <w:sz w:val="22"/>
                <w:szCs w:val="22"/>
              </w:rPr>
            </w:pPr>
            <w:r w:rsidRPr="00CA1B15">
              <w:rPr>
                <w:sz w:val="22"/>
                <w:szCs w:val="22"/>
              </w:rPr>
              <w:t>6 505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1 301</w:t>
            </w:r>
          </w:p>
        </w:tc>
      </w:tr>
      <w:tr w:rsidR="009B4AFB" w:rsidRPr="009B4AFB" w:rsidTr="00CA1B15">
        <w:trPr>
          <w:trHeight w:val="28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AFB" w:rsidRPr="00CA1B15" w:rsidRDefault="009B4AFB" w:rsidP="009B4AFB">
            <w:pPr>
              <w:jc w:val="left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Listnaté porosty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sz w:val="22"/>
                <w:szCs w:val="22"/>
              </w:rPr>
            </w:pPr>
            <w:r w:rsidRPr="00CA1B15">
              <w:rPr>
                <w:sz w:val="22"/>
                <w:szCs w:val="22"/>
              </w:rPr>
              <w:t>10 217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2 043</w:t>
            </w:r>
          </w:p>
        </w:tc>
      </w:tr>
      <w:tr w:rsidR="009B4AFB" w:rsidRPr="009B4AFB" w:rsidTr="00CA1B15">
        <w:trPr>
          <w:trHeight w:val="1401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AFB" w:rsidRPr="00CA1B15" w:rsidRDefault="009B4AFB" w:rsidP="009B4AFB">
            <w:pPr>
              <w:jc w:val="left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 xml:space="preserve">Průměr nákladů za </w:t>
            </w:r>
            <w:proofErr w:type="spellStart"/>
            <w:r w:rsidRPr="00CA1B15">
              <w:rPr>
                <w:color w:val="000000"/>
                <w:sz w:val="22"/>
                <w:szCs w:val="22"/>
              </w:rPr>
              <w:t>jehl</w:t>
            </w:r>
            <w:proofErr w:type="spellEnd"/>
            <w:r w:rsidRPr="00CA1B15">
              <w:rPr>
                <w:color w:val="000000"/>
                <w:sz w:val="22"/>
                <w:szCs w:val="22"/>
              </w:rPr>
              <w:t xml:space="preserve">. a list. </w:t>
            </w:r>
            <w:proofErr w:type="gramStart"/>
            <w:r w:rsidRPr="00CA1B15">
              <w:rPr>
                <w:color w:val="000000"/>
                <w:sz w:val="22"/>
                <w:szCs w:val="22"/>
              </w:rPr>
              <w:t>porosty</w:t>
            </w:r>
            <w:proofErr w:type="gramEnd"/>
            <w:r w:rsidRPr="00CA1B15">
              <w:rPr>
                <w:color w:val="000000"/>
                <w:sz w:val="22"/>
                <w:szCs w:val="22"/>
              </w:rPr>
              <w:t xml:space="preserve"> při sběru z 15 stromů/1 ha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left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left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left"/>
              <w:rPr>
                <w:color w:val="000000"/>
                <w:sz w:val="22"/>
                <w:szCs w:val="22"/>
              </w:rPr>
            </w:pPr>
            <w:r w:rsidRPr="00CA1B1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sz w:val="22"/>
                <w:szCs w:val="22"/>
              </w:rPr>
            </w:pPr>
            <w:r w:rsidRPr="00CA1B15">
              <w:rPr>
                <w:sz w:val="22"/>
                <w:szCs w:val="22"/>
              </w:rPr>
              <w:t>8 361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4AFB" w:rsidRPr="00CA1B15" w:rsidRDefault="009B4AFB" w:rsidP="009B4AFB">
            <w:pPr>
              <w:jc w:val="center"/>
              <w:rPr>
                <w:sz w:val="22"/>
                <w:szCs w:val="22"/>
              </w:rPr>
            </w:pPr>
            <w:r w:rsidRPr="00CA1B15">
              <w:rPr>
                <w:sz w:val="22"/>
                <w:szCs w:val="22"/>
              </w:rPr>
              <w:t>1 672</w:t>
            </w:r>
          </w:p>
        </w:tc>
      </w:tr>
    </w:tbl>
    <w:p w:rsidR="009B4AFB" w:rsidRDefault="009B4AFB" w:rsidP="00623FA3"/>
    <w:p w:rsidR="00CA1B15" w:rsidRDefault="00CA1B15">
      <w:pPr>
        <w:spacing w:after="200" w:line="276" w:lineRule="auto"/>
        <w:jc w:val="left"/>
      </w:pPr>
      <w:r>
        <w:br w:type="page"/>
      </w:r>
    </w:p>
    <w:p w:rsidR="00034C57" w:rsidRPr="00034C57" w:rsidRDefault="00034C57" w:rsidP="00487F73">
      <w:pPr>
        <w:jc w:val="center"/>
        <w:rPr>
          <w:b/>
        </w:rPr>
      </w:pPr>
      <w:r w:rsidRPr="00034C57">
        <w:lastRenderedPageBreak/>
        <w:t>Sazba na podporu ochrany a reprodukce genofondu lesních dřevin</w:t>
      </w:r>
    </w:p>
    <w:tbl>
      <w:tblPr>
        <w:tblW w:w="6325" w:type="dxa"/>
        <w:jc w:val="center"/>
        <w:tblInd w:w="-1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356"/>
      </w:tblGrid>
      <w:tr w:rsidR="00034C57" w:rsidRPr="00034C57" w:rsidTr="00CA1B15">
        <w:trPr>
          <w:trHeight w:val="712"/>
          <w:jc w:val="center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34C57" w:rsidRPr="00034C57" w:rsidRDefault="00034C57" w:rsidP="00CA1B15">
            <w:pPr>
              <w:jc w:val="center"/>
            </w:pPr>
          </w:p>
          <w:p w:rsidR="00034C57" w:rsidRPr="00034C57" w:rsidRDefault="00034C57" w:rsidP="00CA1B15">
            <w:pPr>
              <w:jc w:val="center"/>
            </w:pPr>
            <w:r w:rsidRPr="00034C57">
              <w:t xml:space="preserve">Druh zvýšených </w:t>
            </w:r>
            <w:proofErr w:type="gramStart"/>
            <w:r w:rsidRPr="00034C57">
              <w:t>nákladů                   (druh</w:t>
            </w:r>
            <w:proofErr w:type="gramEnd"/>
            <w:r w:rsidRPr="00034C57">
              <w:t xml:space="preserve"> kompenzace)</w:t>
            </w:r>
          </w:p>
          <w:p w:rsidR="00034C57" w:rsidRPr="00034C57" w:rsidRDefault="00034C57" w:rsidP="00CA1B15">
            <w:pPr>
              <w:jc w:val="center"/>
            </w:pP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:rsidR="00034C57" w:rsidRPr="00034C57" w:rsidRDefault="00034C57" w:rsidP="00CA1B15">
            <w:pPr>
              <w:jc w:val="center"/>
            </w:pPr>
          </w:p>
          <w:p w:rsidR="00034C57" w:rsidRPr="00034C57" w:rsidRDefault="00034C57" w:rsidP="00CA1B15">
            <w:pPr>
              <w:jc w:val="center"/>
            </w:pPr>
            <w:r w:rsidRPr="00034C57">
              <w:t>Kč/ha/rok</w:t>
            </w:r>
          </w:p>
        </w:tc>
      </w:tr>
      <w:tr w:rsidR="00034C57" w:rsidRPr="00034C57" w:rsidTr="00CA1B15">
        <w:trPr>
          <w:jc w:val="center"/>
        </w:trPr>
        <w:tc>
          <w:tcPr>
            <w:tcW w:w="3969" w:type="dxa"/>
            <w:shd w:val="clear" w:color="auto" w:fill="auto"/>
          </w:tcPr>
          <w:p w:rsidR="00034C57" w:rsidRPr="00034C57" w:rsidRDefault="00034C57" w:rsidP="00034C57">
            <w:r w:rsidRPr="00034C57">
              <w:t xml:space="preserve">Sběr osiva </w:t>
            </w:r>
          </w:p>
        </w:tc>
        <w:tc>
          <w:tcPr>
            <w:tcW w:w="2356" w:type="dxa"/>
            <w:shd w:val="clear" w:color="auto" w:fill="auto"/>
          </w:tcPr>
          <w:p w:rsidR="00034C57" w:rsidRPr="00034C57" w:rsidRDefault="00034C57" w:rsidP="00034C57">
            <w:r w:rsidRPr="00034C57">
              <w:t>1 672</w:t>
            </w:r>
          </w:p>
        </w:tc>
      </w:tr>
      <w:tr w:rsidR="00034C57" w:rsidRPr="00034C57" w:rsidTr="00CA1B15">
        <w:trPr>
          <w:trHeight w:val="455"/>
          <w:jc w:val="center"/>
        </w:trPr>
        <w:tc>
          <w:tcPr>
            <w:tcW w:w="3969" w:type="dxa"/>
            <w:shd w:val="clear" w:color="auto" w:fill="auto"/>
          </w:tcPr>
          <w:p w:rsidR="00034C57" w:rsidRPr="00034C57" w:rsidRDefault="00034C57" w:rsidP="00034C57">
            <w:r w:rsidRPr="00034C57">
              <w:t>Transakční náklady</w:t>
            </w:r>
          </w:p>
        </w:tc>
        <w:tc>
          <w:tcPr>
            <w:tcW w:w="2356" w:type="dxa"/>
            <w:shd w:val="clear" w:color="auto" w:fill="auto"/>
          </w:tcPr>
          <w:p w:rsidR="00034C57" w:rsidRPr="00034C57" w:rsidRDefault="00034C57" w:rsidP="00034C57">
            <w:r w:rsidRPr="00034C57">
              <w:t>264</w:t>
            </w:r>
          </w:p>
        </w:tc>
      </w:tr>
      <w:tr w:rsidR="00034C57" w:rsidRPr="00034C57" w:rsidTr="00CA1B15">
        <w:trPr>
          <w:jc w:val="center"/>
        </w:trPr>
        <w:tc>
          <w:tcPr>
            <w:tcW w:w="3969" w:type="dxa"/>
            <w:shd w:val="clear" w:color="auto" w:fill="auto"/>
          </w:tcPr>
          <w:p w:rsidR="00034C57" w:rsidRPr="00034C57" w:rsidRDefault="00034C57" w:rsidP="00034C57">
            <w:r w:rsidRPr="00034C57">
              <w:t>Celkem</w:t>
            </w:r>
          </w:p>
        </w:tc>
        <w:tc>
          <w:tcPr>
            <w:tcW w:w="2356" w:type="dxa"/>
            <w:shd w:val="clear" w:color="auto" w:fill="auto"/>
          </w:tcPr>
          <w:p w:rsidR="00034C57" w:rsidRPr="00034C57" w:rsidRDefault="00034C57" w:rsidP="00034C57">
            <w:r w:rsidRPr="00034C57">
              <w:t>1 936</w:t>
            </w:r>
          </w:p>
        </w:tc>
      </w:tr>
    </w:tbl>
    <w:p w:rsidR="00034C57" w:rsidRPr="00034C57" w:rsidRDefault="00034C57" w:rsidP="00487F73">
      <w:pPr>
        <w:jc w:val="center"/>
        <w:rPr>
          <w:i/>
        </w:rPr>
      </w:pPr>
      <w:r w:rsidRPr="00034C57">
        <w:rPr>
          <w:i/>
        </w:rPr>
        <w:t>Zdroj:</w:t>
      </w:r>
      <w:r>
        <w:rPr>
          <w:i/>
        </w:rPr>
        <w:t xml:space="preserve"> </w:t>
      </w:r>
      <w:r w:rsidRPr="00034C57">
        <w:rPr>
          <w:i/>
        </w:rPr>
        <w:t>ÚHÚL</w:t>
      </w:r>
    </w:p>
    <w:p w:rsidR="00034C57" w:rsidRDefault="00034C57" w:rsidP="00623FA3"/>
    <w:p w:rsidR="00623FA3" w:rsidRPr="00A63793" w:rsidRDefault="00623FA3" w:rsidP="00623FA3">
      <w:bookmarkStart w:id="2" w:name="_GoBack"/>
      <w:bookmarkEnd w:id="2"/>
      <w:r w:rsidRPr="00A63793">
        <w:t>Do transakčních nákladů byly zahrnuty náklady na administraci spojené s uzavřením závazku. Jedná se o administrativní přípravu porostů pro zařazení, které zahrnuje zpracování podkladů z lesního hospodářského plánu nebo osnovy, terénní prověření aktuálnosti dat a administraci podkladů nutných pro zařazení. Dále byla započítána každoroční administrace spojená s uzavřením závazku. Jedná se o administrativní kontrolu dat a terénní kontrolu plnění závazku.</w:t>
      </w:r>
    </w:p>
    <w:p w:rsidR="009510E7" w:rsidRDefault="009510E7"/>
    <w:sectPr w:rsidR="009510E7" w:rsidSect="009510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B15" w:rsidRDefault="00CA1B15" w:rsidP="00CA1B15">
      <w:r>
        <w:separator/>
      </w:r>
    </w:p>
  </w:endnote>
  <w:endnote w:type="continuationSeparator" w:id="0">
    <w:p w:rsidR="00CA1B15" w:rsidRDefault="00CA1B15" w:rsidP="00CA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54012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A1B15" w:rsidRPr="00CA1B15" w:rsidRDefault="00CA1B15">
        <w:pPr>
          <w:pStyle w:val="Zpat"/>
          <w:jc w:val="center"/>
          <w:rPr>
            <w:sz w:val="20"/>
            <w:szCs w:val="20"/>
          </w:rPr>
        </w:pPr>
        <w:r w:rsidRPr="00CA1B15">
          <w:rPr>
            <w:sz w:val="20"/>
            <w:szCs w:val="20"/>
          </w:rPr>
          <w:fldChar w:fldCharType="begin"/>
        </w:r>
        <w:r w:rsidRPr="00CA1B15">
          <w:rPr>
            <w:sz w:val="20"/>
            <w:szCs w:val="20"/>
          </w:rPr>
          <w:instrText>PAGE   \* MERGEFORMAT</w:instrText>
        </w:r>
        <w:r w:rsidRPr="00CA1B1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CA1B15">
          <w:rPr>
            <w:sz w:val="20"/>
            <w:szCs w:val="20"/>
          </w:rPr>
          <w:fldChar w:fldCharType="end"/>
        </w:r>
      </w:p>
    </w:sdtContent>
  </w:sdt>
  <w:p w:rsidR="00CA1B15" w:rsidRDefault="00CA1B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B15" w:rsidRDefault="00CA1B15" w:rsidP="00CA1B15">
      <w:r>
        <w:separator/>
      </w:r>
    </w:p>
  </w:footnote>
  <w:footnote w:type="continuationSeparator" w:id="0">
    <w:p w:rsidR="00CA1B15" w:rsidRDefault="00CA1B15" w:rsidP="00CA1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abstractNum w:abstractNumId="1">
    <w:nsid w:val="7C3022BC"/>
    <w:multiLevelType w:val="hybridMultilevel"/>
    <w:tmpl w:val="59AEF2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A3"/>
    <w:rsid w:val="00034C57"/>
    <w:rsid w:val="00487F73"/>
    <w:rsid w:val="00623FA3"/>
    <w:rsid w:val="006C74D8"/>
    <w:rsid w:val="0081016A"/>
    <w:rsid w:val="008B3ACB"/>
    <w:rsid w:val="009510E7"/>
    <w:rsid w:val="009B4AFB"/>
    <w:rsid w:val="00C92901"/>
    <w:rsid w:val="00CA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F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23FA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23FA3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623FA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3FA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623FA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23FA3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4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4D8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A1B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1B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1B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1B1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F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23FA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23FA3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623FA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3FA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623FA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23FA3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4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4D8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A1B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1B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1B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1B1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991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4</cp:revision>
  <dcterms:created xsi:type="dcterms:W3CDTF">2015-03-25T11:12:00Z</dcterms:created>
  <dcterms:modified xsi:type="dcterms:W3CDTF">2015-04-24T06:47:00Z</dcterms:modified>
</cp:coreProperties>
</file>